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pPr>
      <w:r>
        <w:t>关键词： 家鸡；候选位点；证据成熟度；后关联分析；功能验证；基因组选择；基因编辑</w:t>
      </w:r>
    </w:p>
    <w:bookmarkEnd w:id="20"/>
    <w:bookmarkStart w:id="21" w:name="引言"/>
    <w:p>
      <w:pPr>
        <w:pStyle w:val="Heading2"/>
      </w:pPr>
      <w:r>
        <w:t xml:space="preserve">1 引言</w:t>
      </w:r>
    </w:p>
    <w:p>
      <w:pPr>
        <w:pStyle w:val="FirstParagraph"/>
      </w:pPr>
      <w: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pPr>
      <w: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et al., 2013）；多数复杂经济性状仍缺少同等验证深度（详见第 4 章）。</w:t>
      </w:r>
    </w:p>
    <w:p>
      <w:pPr>
        <w:pStyle w:val="BodyText"/>
      </w:pPr>
      <w: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pPr>
      <w:r>
        <w:t>本文采用叙述综述（narrative review）形式。检索以 PubMed、Web of Science 和 China National Knowledge Infrastructure（CNKI）为主，范围为 2000 年 1 月至 2024 年 12 月，部分关键文献延伸至 2025 年；关键词为 chicken/poultry 与 GWAS、QTL、causal variant、functional validation、genomic selection、marker-assisted selection（MAS）、gene editing 等组合。文献按性状和证据类型整理，优先纳入具有功能验证或机制证据的代表性位点；本文不做系统综述或 meta 分析。</w:t>
      </w:r>
    </w:p>
    <w:p>
      <w:pPr>
        <w:pStyle w:val="BodyText"/>
      </w:pPr>
      <w: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pPr>
      <w:r>
        <w:t xml:space="preserve">2 为什么候选信号不能直接等同于因果位点</w:t>
      </w:r>
    </w:p>
    <w:p>
      <w:pPr>
        <w:pStyle w:val="FirstParagraph"/>
      </w:pPr>
      <w: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pPr>
      <w:r>
        <w:t xml:space="preserve">2.1 GWAS、QTL 和选择信号的证据边界</w:t>
      </w:r>
    </w:p>
    <w:p>
      <w:pPr>
        <w:pStyle w:val="FirstParagraph"/>
      </w:pPr>
      <w: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这一标准在具体案例中如何兑现，可以从 PHIP 非编码变异和 rs734209466–IGFBP2/IGFBP5 调控链看到。前者提示非编码变异可能通过转录因子结合和 PHIP 表达影响颗粒细胞相关功能（Wang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pPr>
      <w: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功能实验是候选位点证据升级的关键环节，但不同实验体系提供的证据强度并不相同。报告基因实验可以检验某段序列是否具有调控活性；MPRA 可高通量测试大量候选调控片段；过表达、敲低或细胞模型可以判断某个基因是否影响细胞表型；CRISPRa/i 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pPr>
      <w: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更强的功能证据通常需要把候选变异、内源分子效应和体内表型连接起来。内源编辑、自然突变或等位基因导入、PGC 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第 2 章讨论了候选信号不能直接等同于因果位点。本章进一步把这种判断转化为可操作的证据成熟度框架，为候选位点的证据强度和应用边界提供一种更清楚的讨论语言。</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pPr>
      <w: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 xml:space="preserve">第三个维度是分子机制支持。机制支持的核心不是“这个基因看起来合理”，而是候选信号是否能够连接到目标组织、目标细胞类型、调控元件、分子 QTL、等位基因特异表达、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pPr>
      <w:r>
        <w:t>表 1 家鸡候选位点证据等级（C/B/B+/A）在四个证据维度上的典型判定特征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经验上，T2 至少要求：(1) 跨世代稳定性数据（不少于 2 代）；(2) 跨环境或跨场验证；(3) 与多性状选择指数的协调性评估；(4) 经济权重在该应用场景下的明确化。任一项缺失，原则上应保留在 T1 阶段。</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pPr>
      <w:r>
        <w:t>在本文中，该框架的用途更克制：它帮助组织已有文献，避免把候选线索提前包装成因果位点，也避免把功能验证结果直接等同于育种应用。下一章将应用该框架比较不同性状的代表性候选位点，并指出 variant-level A 在家鸡中的具体分布。</w:t>
      </w:r>
    </w:p>
    <w:bookmarkEnd w:id="30"/>
    <w:bookmarkEnd w:id="31"/>
    <w:bookmarkStart w:id="37" w:name="代表性性状和候选位点的证据成熟度比较"/>
    <w:p>
      <w:pPr>
        <w:pStyle w:val="Heading2"/>
      </w:pPr>
      <w:r>
        <w:t xml:space="preserve">4 代表性性状和候选位点的证据成熟度比较</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bookmarkStart w:id="32" w:name="生长胴体脂肪沉积与饲料效率"/>
    <w:p>
      <w:pPr>
        <w:pStyle w:val="Heading3"/>
      </w:pPr>
      <w:r>
        <w:t xml:space="preserve">4.1 生长、胴体、脂肪沉积与饲料效率</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pPr>
      <w:r>
        <w:t xml:space="preserve">在目前家鸡生长相关研究中，IGF2BP1 启动子缺失是证据链较强的代表案例。该案例的重要性不在于再次提出一个“生长候选基因”，而在于把泛基因组发现的参考缺失变异、启动子调控活性、IGF2BP1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w:t>
      </w:r>
      <w:r>
        <w:t xml:space="preserve"> </w:t>
      </w:r>
      <w:r>
        <w:rPr>
          <w:b/>
          <w:bCs/>
        </w:rPr>
        <w:t xml:space="preserve">variant-level B+ / T0</w:t>
      </w:r>
      <w:r>
        <w:t xml:space="preserve">：其变异明确度和机制支持较强，但仍缺少内源编辑、等位基因导入或更强体内因果验证，也尚未在目标商业群体中完成系统多性状评估。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 xml:space="preserve">脂肪沉积方向中，rs734209466–IGFBP2/IGFBP5 调控链提供了另一个机制证据较强的案例。该研究类型的价值在于把非编码变异、增强子活性、三维调控、靶基因表达和脂前体细胞功能联系起来，使候选信号不再停留在“显著 SNP 附近有脂肪代谢相关基因”的层面。依 3.2 节评级，rs734209466–IGFBP2/IGFBP5 调控链更适合定位为</w:t>
      </w:r>
      <w:r>
        <w:t xml:space="preserve"> </w:t>
      </w:r>
      <w:r>
        <w:rPr>
          <w:b/>
          <w:bCs/>
        </w:rPr>
        <w:t xml:space="preserve">variant-level B+ / T0</w:t>
      </w:r>
      <w:r>
        <w:t xml:space="preserve">：它提示了较清楚的调控路径，也为后续内源编辑、跨群体验证和目标育种群体效应评估提供了方向，但仍不能直接视为 A 级因果位点或成熟 MAS 标记。</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 xml:space="preserve">IMFNCR–PPARG 轴代表另一类证据：调控网络层面的机制案例。它能够帮助解释非编码 RNA、脂肪细胞分化和肌内脂肪沉积之间的联系，但从证据等级上看，它首先是基因调控轴证据，而不是明确自然变异位点证据。按上述维度判定，IMFNCR–PPARG 更适合定位为</w:t>
      </w:r>
      <w:r>
        <w:t xml:space="preserve"> </w:t>
      </w:r>
      <w:r>
        <w:rPr>
          <w:b/>
          <w:bCs/>
        </w:rPr>
        <w:t xml:space="preserve">gene/network-level B / T0</w:t>
      </w:r>
      <w:r>
        <w:t xml:space="preserve">：其机制解释力较强，但自然变异、等位基因效应、群体关联和体内表型之间尚未形成完整链条。它的主要价值在于提示肌内脂肪和肉质形成的调控机制，并为后续候选变异筛选和功能验证提供方向。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 xml:space="preserve">CCKAR 区段可以作为采食和生长方向中较高分辨率候选信号的补充案例。已有研究提示，CCKAR 相关区域可能参与采食行为、生长或能量摄入调控，并在分歧选择群体或精细定位研究中表现出较强候选价值。CCKAR 更适合暂定为</w:t>
      </w:r>
      <w:r>
        <w:t xml:space="preserve"> </w:t>
      </w:r>
      <w:r>
        <w:rPr>
          <w:b/>
          <w:bCs/>
        </w:rPr>
        <w:t xml:space="preserve">variant-level B / T0</w:t>
      </w:r>
      <w:r>
        <w:t xml:space="preserve">；若后续研究能够证明明确调控变异、等位基因效应和细胞或体内功能后果，则可上调为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 xml:space="preserve">MSTN 则适合作为 gene-level 与 variant-level 区分的教学性例子。MSTN 在哺乳动物肌肉发育中具有强功能证据，跨物种研究也支持其作为肌肉生长负调控因子的生物学重要性。然而，在家鸡自然群体内，MSTN 相关信号通常并不等同于类似 Belgian Blue 牛那样的明确主效自然变异。按 C/B/B+/A 标准，MSTN 在鸡内更适合被处理为</w:t>
      </w:r>
      <w:r>
        <w:t xml:space="preserve"> </w:t>
      </w:r>
      <w:r>
        <w:rPr>
          <w:b/>
          <w:bCs/>
        </w:rPr>
        <w:t xml:space="preserve">gene-level B / T0</w:t>
      </w:r>
      <w:r>
        <w:t xml:space="preserve"> </w:t>
      </w:r>
      <w:r>
        <w:t xml:space="preserve">或机制背景基因，而不是家鸡 variant-level A 位点。这个例子再次说明：某个基因具有强生物学功能，并不意味着家鸡群体中已经存在可直接用于育种的强效自然等位变异。</w:t>
      </w:r>
    </w:p>
    <w:p>
      <w:pPr>
        <w:pStyle w:val="BodyText"/>
      </w:pPr>
      <w:r>
        <w:t xml:space="preserve">除上述机制较强或较有代表性的案例外，生长和肉质研究中还频繁出现 IGF1、IGF1R、GHR、MYOD/MYF 家族、FABP3、FABP4、PPARG、LPL、CAPN1、CAST 等基因。这些基因在肌肉发育、脂肪代谢、蛋白降解或肉品质形成中具有明确生物学相关性，因此适合作为候选通路或功能背景讨论。这类基因多数应定位为</w:t>
      </w:r>
      <w:r>
        <w:t xml:space="preserve"> </w:t>
      </w:r>
      <w:r>
        <w:rPr>
          <w:b/>
          <w:bCs/>
        </w:rPr>
        <w:t xml:space="preserve">gene-level C–B / T0</w:t>
      </w:r>
      <w:r>
        <w:t xml:space="preserve">：若只是位于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 xml:space="preserve">饲料效率是更典型的复杂经济性状。采食量、增重、代谢率、肠道吸收、活动水平、免疫状态、热应激反应和肠道微生物都会影响饲料转化表现。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rPr>
          <w:b/>
          <w:bCs/>
        </w:rPr>
        <w:t xml:space="preserve">表 2 生长、胴体、脂肪沉积与饲料效率代表性候选位点的证据成熟度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pPr>
      <w:r>
        <w:t xml:space="preserve">4.2 繁殖产蛋与蛋品质</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pPr>
      <w:r>
        <w:t xml:space="preserve">从证据等级看，繁殖产蛋方向的大多数候选信号仍处于 B 或 C–B 阶段。PRLR 附近区域、NCAPG-FAM184B 区段以及鸡 Z 染色体（GGAZ）上若干区域在多个产蛋相关 GWAS 或关联研究中反复出现，说明这些区域具有较高验证优先级。对于尚未精细化到具体基因或变异的候选区段，本文采用 region-level 标签，表示证据仍停留在区域层面，尚未达到 gene-level 或 variant-level 解析度。依 3.2 节评级，这类信号更适合定位为</w:t>
      </w:r>
      <w:r>
        <w:t xml:space="preserve"> </w:t>
      </w:r>
      <w:r>
        <w:rPr>
          <w:b/>
          <w:bCs/>
        </w:rPr>
        <w:t xml:space="preserve">region-level B / T0</w:t>
      </w:r>
      <w:r>
        <w:t xml:space="preserve">：其重复性优于单次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w:t>
      </w:r>
    </w:p>
    <w:p>
      <w:pPr>
        <w:pStyle w:val="BodyText"/>
      </w:pPr>
      <w:r>
        <w:t xml:space="preserve">PHIP 非编码变异是产蛋性状中机制证据较强的代表。该类研究尝试将非编码变异、转录因子结合、PHIP 表达变化和卵巢颗粒细胞相关功能联系起来，使候选信号不再停留在“GWAS 峰附近有功能相关基因”的层面。按上述维度判定，PHIP 更适合定位为</w:t>
      </w:r>
      <w:r>
        <w:t xml:space="preserve"> </w:t>
      </w:r>
      <w:r>
        <w:rPr>
          <w:b/>
          <w:bCs/>
        </w:rPr>
        <w:t xml:space="preserve">variant-level B / T0</w:t>
      </w:r>
      <w:r>
        <w:t xml:space="preserve">，尚未达到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 xml:space="preserve">与产蛋数量相比，蛋壳颜色方向已有较接近 A 级的代表性案例。蓝壳性状中，SLCO1B3 5′侧翼区 EAV-HP 插入可导致其在壳腺中特异表达，并与胆绿素沉积和蓝壳形成相联系。该案例能够把具体变异、组织特异性表达和可见表型较清楚地连接起来，因此可定位为</w:t>
      </w:r>
      <w:r>
        <w:t xml:space="preserve"> </w:t>
      </w:r>
      <w:r>
        <w:rPr>
          <w:b/>
          <w:bCs/>
        </w:rPr>
        <w:t xml:space="preserve">variant-level A / T2（壳色管理场景）</w:t>
      </w:r>
      <w:r>
        <w:t xml:space="preserve">。这里的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 xml:space="preserve">褐壳色可以作为蓝壳的对照。褐壳主要与原卟啉 IX 沉积有关，涉及壳腺色素合成、转运和沉积过程，多项研究讨论了 HRG1、ABCG2 及其他色素代谢或转运相关候选基因。然而，与蓝壳 SLCO1B3 案例相比，褐壳通常呈多基因、连续变异和环境敏感特征，目前缺少一个能够稳定解释主要表型差异的单一 variant-level A 位点。依本文框架，褐壳色相关候选信号更适合定位为</w:t>
      </w:r>
      <w:r>
        <w:t xml:space="preserve"> </w:t>
      </w:r>
      <w:r>
        <w:rPr>
          <w:b/>
          <w:bCs/>
        </w:rPr>
        <w:t xml:space="preserve">gene/region-level C–B / T0–T1</w:t>
      </w:r>
      <w:r>
        <w:t xml:space="preserve">：部分候选基因具有生物学合理性和表达支持，但多数仍缺少明确自然变异、强功能验证和跨群体应用边界评估。</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 xml:space="preserve">繁殖内分泌相关基因也属于高生物学合理性、但证据等级容易被夸大的类别。FSHR、LHCGR、ESR1、ESR2、VIP、VIPR1、PRL、PRLR、GDF9、BMP15、STAR、CYP19A1 等基因在卵泡募集、排卵、类固醇合成、催乳素调控、抱窝性或卵巢功能中具有明确生理意义。然而，生理通路重要性并不等于群体中存在可直接利用的强效自然变异。除非具体研究能够提供明确等位变异、跨群体重复、靶组织分子效应和功能验证，否则这类基因更适合被作为</w:t>
      </w:r>
      <w:r>
        <w:t xml:space="preserve"> </w:t>
      </w:r>
      <w:r>
        <w:rPr>
          <w:b/>
          <w:bCs/>
        </w:rPr>
        <w:t xml:space="preserve">gene-level C–B / T0</w:t>
      </w:r>
      <w:r>
        <w:t xml:space="preserve"> </w:t>
      </w:r>
      <w:r>
        <w:t xml:space="preserve">的候选背景，而不是直接作为产蛋性能主效位点。</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rPr>
          <w:b/>
          <w:bCs/>
        </w:rPr>
        <w:t xml:space="preserve">表 3 繁殖产蛋与蛋品质代表性候选位点的证据成熟度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pPr>
      <w:r>
        <w:t xml:space="preserve">4.3 抗病与免疫性状</w:t>
      </w:r>
    </w:p>
    <w:p>
      <w:pPr>
        <w:pStyle w:val="FirstParagraph"/>
      </w:pPr>
      <w:r>
        <w:t xml:space="preserve">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 resistance，即降低病原复制或定植；有的更接近 tolerance，即在感染存在时维持健康和生产性能。因此，抗病候选位点的证据等级必须绑定具体病原、具体表型和具体感染模型，不能泛化为“抗病基因”。</w:t>
      </w:r>
    </w:p>
    <w:p>
      <w:pPr>
        <w:pStyle w:val="BodyText"/>
      </w:pPr>
      <w:r>
        <w:t xml:space="preserve">MHC-B 区域是家鸡抗病遗传研究中最经典、证据积累最多的免疫相关区域之一。不同 MHC-B 单倍型与马立克氏病、抗体反应、疫苗应答和多种免疫性状之间的关系已被长期讨论。对于具有强连锁、多基因构成，且单倍型层面证据强于单一变异层面的免疫复合区域，本文采用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 xml:space="preserve">禽流感宿主因子研究中，ANP32A 是当前功能证据最强的代表之一。编辑 ANP32A 可影响禽流感病毒聚合酶适配和复制，为理解宿主限制因子与病毒复制之间的关系提供了强功能证据。按本文框架，ANP32A 是非对称证据的典型代表：其</w:t>
      </w:r>
      <w:r>
        <w:t xml:space="preserve"> </w:t>
      </w:r>
      <w:r>
        <w:rPr>
          <w:b/>
          <w:bCs/>
        </w:rPr>
        <w:t xml:space="preserve">gene/target-level 可达到 A / T0–T1（高转化风险）</w:t>
      </w:r>
      <w:r>
        <w:t xml:space="preserve">，但其自然群体中的</w:t>
      </w:r>
      <w:r>
        <w:t xml:space="preserve"> </w:t>
      </w:r>
      <w:r>
        <w:rPr>
          <w:b/>
          <w:bCs/>
        </w:rPr>
        <w:t xml:space="preserve">variant-level 证据目前更适合定位为 B–C / T0</w:t>
      </w:r>
      <w:r>
        <w:t xml:space="preserve">。前者来自编辑或强扰动实验，确立了靶点在病毒复制中的功能作用；后者反映自然群体中尚缺少足以支持直接选择育种的可育种保护性等位变异。这两条评级不应合并为单一最高等级，这正是第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 xml:space="preserve">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相关变异和编辑研究为 ALV-J 易感性提供了重要机制线索；TVB 相关受体位点也长期用于解释不同 ALV 亚群的宿主易感差异。与 ANP32A 相比，这类受体位点有时同时具有靶点功能证据和一定自然变异证据。按本文框架，TVB/NHE1 受体相关证据可作为</w:t>
      </w:r>
      <w:r>
        <w:t xml:space="preserve"> </w:t>
      </w:r>
      <w:r>
        <w:rPr>
          <w:b/>
          <w:bCs/>
        </w:rPr>
        <w:t xml:space="preserve">gene/target-level A 或 B+ / T0–T1</w:t>
      </w:r>
      <w:r>
        <w:t xml:space="preserve"> </w:t>
      </w:r>
      <w:r>
        <w:t xml:space="preserve">的候选，同时其</w:t>
      </w:r>
      <w:r>
        <w:t xml:space="preserve"> </w:t>
      </w:r>
      <w:r>
        <w:rPr>
          <w:b/>
          <w:bCs/>
        </w:rPr>
        <w:t xml:space="preserve">variant-level 证据可暂定为 B–B+ / T0</w:t>
      </w:r>
      <w:r>
        <w:t xml:space="preserve">，具体等级取决于自然变异是否明确、是否具有跨群体稳定效应以及是否完成体内感染验证。该类案例说明，当抗病靶点同时存在可育种自然变异时，gene/target-level 与 variant-level 之间的非对称程度可能小于 ANP32A 这类宿主限制因子。</w:t>
      </w:r>
    </w:p>
    <w:p>
      <w:pPr>
        <w:pStyle w:val="BodyText"/>
      </w:pPr>
      <w:r>
        <w:t xml:space="preserve">除 MHC-B、ANP32A 和受体型抗病位点外，家鸡抗病研究中还经常出现 TLR4、TLR7、TLR15、IFITM3、MX1、OASL、SLC11A1、IL6、IL10、IFNG 等免疫相关基因。这些基因在先天免疫、干扰素通路、炎症反应、巨噬细胞功能、病毒限制或细菌清除中具有明确生物学意义。按 C/B/B+/A 标准，这类基因多数应定位为</w:t>
      </w:r>
      <w:r>
        <w:t xml:space="preserve"> </w:t>
      </w:r>
      <w:r>
        <w:rPr>
          <w:b/>
          <w:bCs/>
        </w:rPr>
        <w:t xml:space="preserve">gene-level C–B / T0</w:t>
      </w:r>
      <w:r>
        <w:t xml:space="preserve">：如果证据主要来自候选基因关联、差异表达或感染后表达变化，应判定为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 xml:space="preserve">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和转录组研究报道了与病毒载量、肿瘤发生、免疫反应或存活相关的候选区域和候选基因。这些研究对理解病理机制有价值，但多数信号仍应定位为</w:t>
      </w:r>
      <w:r>
        <w:t xml:space="preserve"> </w:t>
      </w:r>
      <w:r>
        <w:rPr>
          <w:b/>
          <w:bCs/>
        </w:rPr>
        <w:t xml:space="preserve">region/gene-level C–B / T0</w:t>
      </w:r>
      <w:r>
        <w:t xml:space="preserve">。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 xml:space="preserve">沙门氏菌抗性也是类似情形。SLC11A1、TLR4、LYZ、IL 家族和其他巨噬细胞或黏膜免疫相关基因常被作为候选基因讨论。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w:t>
      </w:r>
      <w:r>
        <w:t xml:space="preserve"> </w:t>
      </w:r>
      <w:r>
        <w:rPr>
          <w:b/>
          <w:bCs/>
        </w:rPr>
        <w:t xml:space="preserve">gene-level C–B / T0</w:t>
      </w:r>
      <w:r>
        <w:t xml:space="preserve">。它们适合作为机制研究和目标群体风险评估的候选对象，但在缺少稳定等位基因效应和干预验证前，不应作为直接选择标记。</w:t>
      </w:r>
    </w:p>
    <w:p>
      <w:pPr>
        <w:pStyle w:val="BodyText"/>
      </w:pPr>
      <w:r>
        <w:t xml:space="preserve">球虫病抗性研究同样需要区分免疫反应指标和真正的抗病育种价值。球虫感染后的病变评分、增重损失、卵囊排出量、肠道屏障功能、炎症因子表达和免疫细胞浸润，代表不同层面的表型。部分候选基因或 QTL 可能影响某一终点，但未必能同时改善生产性能和健康状态。与球虫相关的细胞因子、TLR 通路、黏膜免疫和肠道屏障候选基因，多数目前仍应定位为</w:t>
      </w:r>
      <w:r>
        <w:t xml:space="preserve"> </w:t>
      </w:r>
      <w:r>
        <w:rPr>
          <w:b/>
          <w:bCs/>
        </w:rPr>
        <w:t xml:space="preserve">gene/region-level C–B / T0</w:t>
      </w:r>
      <w:r>
        <w:t xml:space="preserve">。若仅有感染后差异表达或通路富集，应作为免疫反应线索处理；若具有跨群体 QTL、细胞功能验证或稳定挑战试验支持，可作为 B 级验证对象。</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rPr>
          <w:b/>
          <w:bCs/>
        </w:rPr>
        <w:t xml:space="preserve">表 4 抗病与免疫性状代表性候选位点的证据成熟度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pPr>
              <w:pStyle w:val="Compact"/>
              <w:jc w:val="left"/>
            </w:pPr>
            <w:r>
              <w:t xml:space="preserve">A 或 B+（gene/target）+ B–B+（variant）</w:t>
            </w:r>
          </w:p>
        </w:tc>
        <w:tc>
          <w:tcPr/>
          <w:p>
            <w:pPr>
              <w:pStyle w:val="Compact"/>
              <w:jc w:val="left"/>
            </w:pPr>
            <w:r>
              <w:t xml:space="preserve">T0–T1</w:t>
            </w:r>
          </w:p>
        </w:tc>
        <w:tc>
          <w:tcPr/>
          <w:p>
            <w:pPr>
              <w:pStyle w:val="Compact"/>
              <w:jc w:val="left"/>
            </w:pPr>
            <w:r>
              <w:t xml:space="preserve">病毒受体机制、编辑或自然变异影响易感性的证据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bl>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pPr>
      <w:r>
        <w:t xml:space="preserve">4.4 特色表型与地方适应</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pPr>
      <w:r>
        <w:t xml:space="preserve">黄肤是较早形成清晰证据链的经典案例之一。该性状与 BCDO2 在皮肤中的组织特异性调控变异有关，影响类胡萝卜素代谢和皮肤色素沉积。与普通“色素通路候选基因”不同，黄肤案例能够较好地连接候选变异、组织特异表达、代谢功能和可见表型。按本文框架，BCDO2 黄肤位点可定位为</w:t>
      </w:r>
      <w:r>
        <w:t xml:space="preserve"> </w:t>
      </w:r>
      <w:r>
        <w:rPr>
          <w:b/>
          <w:bCs/>
        </w:rPr>
        <w:t xml:space="preserve">variant-level A / T2（肤色管理场景）</w:t>
      </w:r>
      <w:r>
        <w:t xml:space="preserve">。这里的 T2 仅限于肤色识别、品种特征管理和相关商品性状分级，不能外推为生长性能、肉品质或地方适应能力的综合标记。</w:t>
      </w:r>
    </w:p>
    <w:p>
      <w:pPr>
        <w:pStyle w:val="BodyText"/>
      </w:pPr>
      <w:r>
        <w:t xml:space="preserve">纤维黑变是另一个典型的强证据可见表型。该表型与 EDN3 相关复杂结构变异和异常表达有关，能够解释皮肤、肌肉、骨膜和结缔组织等多组织黑色素沉积。EDN3 案例的意义在于，它不仅是一个色素候选基因，更将结构变异、基因表达改变和多组织黑色素沉积表型联系起来。依 3.2 节评级，EDN3 纤维黑变可定位为</w:t>
      </w:r>
      <w:r>
        <w:t xml:space="preserve"> </w:t>
      </w:r>
      <w:r>
        <w:rPr>
          <w:b/>
          <w:bCs/>
        </w:rPr>
        <w:t xml:space="preserve">variant-level A / T2（纤维黑变和乌骨性状管理场景）</w:t>
      </w:r>
      <w:r>
        <w:t xml:space="preserve">。不过，这一评级同样不能泛化：EDN3 可以作为乌骨或纤维黑变相关品种特征管理的强证据位点，但不能自动说明其对肉质、药用价值、抗病性或适应性的影响。</w:t>
      </w:r>
    </w:p>
    <w:p>
      <w:pPr>
        <w:pStyle w:val="BodyText"/>
      </w:pPr>
      <w:r>
        <w:t xml:space="preserve">冠型性状同样提供了可见表型强证据案例。豌豆冠与 SOX5 第 1 内含子中的重复序列扩增有关，说明非编码结构变异可以通过影响发育调控产生清楚形态表型。按上述维度判定，SOX5 豌豆冠可定位为</w:t>
      </w:r>
      <w:r>
        <w:t xml:space="preserve"> </w:t>
      </w:r>
      <w:r>
        <w:rPr>
          <w:b/>
          <w:bCs/>
        </w:rPr>
        <w:t xml:space="preserve">variant-level A / T2（品种特征和冠型管理场景）</w:t>
      </w:r>
      <w:r>
        <w:t xml:space="preserve">。这里的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 xml:space="preserve">玫瑰冠则提醒我们，即使强可见表型达到 variant-level A，也仍需单独评估多性状和繁殖风险。玫瑰冠与特定染色体倒位有关，该倒位能够解释冠型表型，但也被报道与雄性繁殖力或精子运动相关问题存在关联。按本文框架，玫瑰冠可定位为</w:t>
      </w:r>
      <w:r>
        <w:t xml:space="preserve"> </w:t>
      </w:r>
      <w:r>
        <w:rPr>
          <w:b/>
          <w:bCs/>
        </w:rPr>
        <w:t xml:space="preserve">variant-level A / T1–T2（需考虑繁殖风险）</w:t>
      </w:r>
      <w:r>
        <w:t xml:space="preserve">。其表型因果证据强，但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 xml:space="preserve">羽色多样性也是家鸡主效可见表型的重要组成部分。MC1R、ASIP、TYR、TYRP1、PMEL17 等色素通路基因与黑色、白色、斑驳、隐性白、显性白等羽色差异有关，部分变异已经具有较强的变异明确度和表型对应关系。依本文框架，部分羽色位点可达到</w:t>
      </w:r>
      <w:r>
        <w:t xml:space="preserve"> </w:t>
      </w:r>
      <w:r>
        <w:rPr>
          <w:b/>
          <w:bCs/>
        </w:rPr>
        <w:t xml:space="preserve">variant-level B+–A / T1–T2（羽色识别和市场偏好场景）</w:t>
      </w:r>
      <w:r>
        <w:t xml:space="preserve">。不过，羽色性状与适应性、生产性能或抗病性之间不存在简单因果关系。其 T 轴价值主要绑定品种识别、文化标识、保种、展览标准或特定市场偏好，而不能直接解释综合生产性能。</w:t>
      </w:r>
    </w:p>
    <w:p>
      <w:pPr>
        <w:pStyle w:val="BodyText"/>
      </w:pPr>
      <w:r>
        <w:t xml:space="preserve">除上述独立讨论的案例外，家鸡中还有一组典型主效可见位点常被用于品种识别和形态性状管理。例如，显性白羽与 PMEL17 相关变异有关，卷羽与 KRT75 相关变异有关，凤头与 HOXC 相关调控区域有关，毛脚或胫羽与肢体发育调控区域有关，丝羽与 PDSS2 相关区域有关，性连锁羽速 K 位点与 PRLR/SPEF2 相关复杂变异有关。这些位点共同的特点是：表型边界较清楚，变异或候选区域相对明确，应用场景多限于品种识别、保种、形态管理和市场偏好。它们可以为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 xml:space="preserve">驯化相关位点中，TSHR 是最常被讨论的代表之一。TSHR G558R 等变异与家鸡驯化、繁殖季节性改变和光周期反应相关，被认为可能参与从野生祖先季节性繁殖到家鸡相对持续繁殖能力的转变。该位点在群体遗传和驯化扫描中具有较强代表性，也具有明确的生殖内分泌生物学背景。按 C/B/B+/A 标准，TSHR 更适合定位为</w:t>
      </w:r>
      <w:r>
        <w:t xml:space="preserve"> </w:t>
      </w:r>
      <w:r>
        <w:rPr>
          <w:b/>
          <w:bCs/>
        </w:rPr>
        <w:t xml:space="preserve">variant-level B+ / T0（商业生产）或 T1（驯化机制研究与地方品种保护）</w:t>
      </w:r>
      <w:r>
        <w:t xml:space="preserve">。其不宜上调至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 xml:space="preserve">地方鸡特色性状还常涉及羽色、羽型、体型、行为、繁殖节律和文化偏好等外观或适应性特征。其中部分外观性状可能具有较强主效位点证据，适合用于品种识别和遗传资源管理；但适应性、生产性能和市场价值通常不是单一外观位点能够解释的。一个地方品种具有黑骨、黄肤、蓝壳或特殊冠型，并不意味着相关位点同时解释其肉质、抗病性、耐热性或文化价值。特色表型位点的 T 轴必须绑定具体用途：品种鉴定、保种、商品分级、文化标识或特定市场偏好，而不能泛化为综合性能改良工具。</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rPr>
          <w:b/>
          <w:bCs/>
        </w:rPr>
        <w:t xml:space="preserve">表 5 特色表型与地方适应代表性候选位点的证据成熟度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pPr>
              <w:pStyle w:val="Compact"/>
              <w:jc w:val="left"/>
            </w:pPr>
            <w:r>
              <w:t xml:space="preserve">羽型和形态相关位点（如 KRT75、HOXC 相关区、PDSS2、PRLR/SPEF2 等）</w:t>
            </w:r>
          </w:p>
        </w:tc>
        <w:tc>
          <w:tcPr/>
          <w:p>
            <w:pPr>
              <w:pStyle w:val="Compact"/>
              <w:jc w:val="left"/>
            </w:pPr>
            <w:r>
              <w:t xml:space="preserve">卷羽、凤头、丝羽、羽速等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t xml:space="preserve">注：特色表型中的 T2 多指品种识别、商品分级、保种、展览标准或特定市场管理场景，不代表综合生产性状或复杂适应性的应用成熟度。</w:t>
      </w:r>
    </w:p>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pPr>
      <w:r>
        <w:t xml:space="preserve">4.5 小结：复杂经济性状的现实证据上限</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pPr>
      <w:r>
        <w:rPr>
          <w:b/>
          <w:bCs/>
        </w:rPr>
        <w:t xml:space="preserve">表 6 第 4 章代表性性状的证据等级分布概览</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 xml:space="preserve">在本文框架中，功能验证不是所有证据中的普通加分项，而是 A 级证据的关键门槛。没有功能验证，候选位点即使具有较强统计重复性和机制解释，也通常只能停留在 B 或 B+。但不同功能实验的证据强度并不相同。报告基因、细胞模型、过表达、敲低、CRISPRa/i、高通量筛选和体外病原复制实验，可以证明候选序列或基因具有功能潜力；内源编辑、自然突变或等位基因导入、PGC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 xml:space="preserve">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 xml:space="preserve">MPRA、CRISPR 筛选或单细胞扰动命中</w:t>
            </w:r>
          </w:p>
        </w:tc>
        <w:tc>
          <w:tcPr/>
          <w:p>
            <w:pPr>
              <w:pStyle w:val="Compact"/>
              <w:jc w:val="left"/>
            </w:pPr>
            <w:r>
              <w:t xml:space="preserve">单基因验证、内源验证、目标组织和真实表型验证</w:t>
            </w:r>
          </w:p>
        </w:tc>
        <w:tc>
          <w:tcPr/>
          <w:p>
            <w:pPr>
              <w:pStyle w:val="Compact"/>
              <w:jc w:val="left"/>
            </w:pPr>
            <w:r>
              <w:t xml:space="preserve">gene/target-level A 或 B+，取决于是否完成体内因果验证</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 xml:space="preserve">表达差异是家鸡复杂性状研究中最常见的机制证据之一。高低表型组之间的差异表达、目标组织中的高表达、感染后诱导表达或发育阶段特异表达，能够提示候选基因可能参与相关生物过程。然而，表达相关本身不能区分原因和结果。一个基因在高脂和低脂个体之间差异表达，可能参与脂肪沉积，也可能只是脂肪细胞状态变化后的结果；一个基因在感染后上调，可能参与抗病，也可能只是炎症反应的一部分。因此，单纯差异表达通常只能把候选位点从 C 级线索推进到机制候选，不能直接形成强因果证据。</w:t>
      </w:r>
    </w:p>
    <w:p>
      <w:pPr>
        <w:pStyle w:val="BodyText"/>
      </w:pPr>
      <w:r>
        <w:t xml:space="preserve">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 xml:space="preserve">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和 rs734209466–IGFBP2/IGFBP5 这类案例的价值，正是在于把候选信号向这一链条推进；其不足，则在于仍需要更强的内源和体内证据来完成从 B/B+ 到 A 的跨越。</w:t>
      </w:r>
    </w:p>
    <w:bookmarkEnd w:id="38"/>
    <w:bookmarkStart w:id="39" w:name="从报告基因和细胞模型到内源编辑"/>
    <w:p>
      <w:pPr>
        <w:pStyle w:val="Heading3"/>
      </w:pPr>
      <w:r>
        <w:t xml:space="preserve">5.2 从报告基因和细胞模型到内源编辑</w:t>
      </w:r>
    </w:p>
    <w:p>
      <w:pPr>
        <w:pStyle w:val="FirstParagraph"/>
      </w:pPr>
      <w:r>
        <w:t xml:space="preserve">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实验也有明显边界：候选序列被放入人工载体和简化调控环境中，脱离了原生染色质、三维空间结构、细胞发育状态和组织微环境。因此，报告基因阳性说明“有调控潜力”，不等于证明“在体内目标组织中承担实际调控功能”。</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 xml:space="preserve">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 xml:space="preserve">家鸡功能验证的一个特殊挑战，是获得稳定的体内遗传模型比模式动物更困难。鸡胚胎发育、生殖细胞操作、世代周期、饲养成本和伦理监管都会限制大规模功能验证。PGC 介导编辑为家鸡提供了重要路径，因为它可以在生殖系层面进行基因编辑或等位基因操作，从而建立更接近真实遗传背景的体内模型。对于复杂性状候选位点，PGC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 xml:space="preserve">不过，体内功能验证仍不等于产业应用成熟。即使 PGC 编辑或体内模型证明某个变异或靶点具有功能，也仍需要目标育种群体中的等位基因频率、遗传背景依赖、多性状影响和经济权重评估。ANP32A 这类抗病靶点尤其说明这一点：即使在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 xml:space="preserve">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bCs/>
        </w:rPr>
        <w:t xml:space="preserve">候选构建</w:t>
      </w:r>
      <w:r>
        <w:t xml:space="preserve">：利用 GWAS、QTL、选择扫描、多组学共定位和功能注释建立候选位点集合。</w:t>
      </w:r>
    </w:p>
    <w:p>
      <w:pPr>
        <w:pStyle w:val="Compact"/>
        <w:numPr>
          <w:ilvl w:val="0"/>
          <w:numId w:val="1001"/>
        </w:numPr>
      </w:pPr>
      <w:r>
        <w:rPr>
          <w:b/>
          <w:bCs/>
        </w:rPr>
        <w:t xml:space="preserve">优先排序</w:t>
      </w:r>
      <w:r>
        <w:t xml:space="preserve">：利用 MPRA、CRISPR 筛选、单细胞扰动或其他高通量实验识别高验证价值候选。</w:t>
      </w:r>
    </w:p>
    <w:p>
      <w:pPr>
        <w:pStyle w:val="Compact"/>
        <w:numPr>
          <w:ilvl w:val="0"/>
          <w:numId w:val="1001"/>
        </w:numPr>
      </w:pPr>
      <w:r>
        <w:rPr>
          <w:b/>
          <w:bCs/>
        </w:rPr>
        <w:t xml:space="preserve">机制确认</w:t>
      </w:r>
      <w:r>
        <w:t xml:space="preserve">：通过等位基因特异表达、共定位、报告基因、细胞模型和调控元件验证确认候选机制。</w:t>
      </w:r>
    </w:p>
    <w:p>
      <w:pPr>
        <w:pStyle w:val="Compact"/>
        <w:numPr>
          <w:ilvl w:val="0"/>
          <w:numId w:val="1001"/>
        </w:numPr>
      </w:pPr>
      <w:r>
        <w:rPr>
          <w:b/>
          <w:bCs/>
        </w:rPr>
        <w:t xml:space="preserve">因果定性</w:t>
      </w:r>
      <w:r>
        <w:t xml:space="preserve">：通过内源编辑、PGC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 xml:space="preserve">标记辅助选择、基因组选择和基因编辑是覆盖不同证据等级与应用场景的并行工具，而非依次替代的三代技术。MAS 适用于少数效应明确、检测方便、与目标表型稳定相关的主效位点；GS 适用于多数多基因复杂经济性状；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 xml:space="preserve">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 xml:space="preserve">对于 B+ 位点，MAS 应更加谨慎。IGF2BP1 启动子缺失、rs734209466–IGFBP2/IGFBP5 调控链、TSHR 驯化相关变异以及部分受体型抗病位点，虽然具有较强机制证据或候选价值，但仍不宜直接作为 MAS 标记。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 xml:space="preserve">对于生长、饲料效率、产蛋持续性、肉质、蛋壳强度、复杂抗病性和地方适应等多基因经济性状，基因组选择仍应是主要改良工具。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 xml:space="preserve">GS 的优势在于不要求每个位点都被证明为因果变异，而是利用全基因组标记捕捉整体遗传值。对于高度多基因性状，GS 比 MAS 更符合遗传结构。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 xml:space="preserve">证据成熟度框架可以增强 GS，而不是与 GS 对立。B+ 或高可信 B 级位点可以作为功能先验，用于构建加权 GS 模型、贝叶斯模型或功能注释增强模型。比如，IGF2BP1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 xml:space="preserve">这类功能先验必须有权重边界。例如，在腹脂沉积 GS 模型中，rs734209466–IGFBP2/IGFBP5 区域具有具体候选变异和较强机制证据，可作为高权重先验位点，但其权重上限不应超过该位点在交叉验证中显示的解释力。在产蛋持续性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 xml:space="preserve">GS 的另一个关键前提是高质量表型。复杂性状的遗传评估不能只依赖更密集的基因型或更多多组学数据。饲料效率需要标准化个体采食记录，产蛋持续性需要纵向记录，肉质需要一致的屠宰和测定流程，抗病性状需要明确感染模型和终点，地方适应需要共同环境或跨环境表型。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 xml:space="preserve">基因编辑在家鸡遗传研究中的价值首先是功能验证，其次才是潜在育种工具。PGC 介导编辑、内源等位基因替换、结构变异重建、靶点敲除或敲入，可以帮助研究者判断候选变异或基因是否真正影响目标表型。对于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 xml:space="preserve">就证据非对称性而言，ANP32A 是</w:t>
      </w:r>
      <w:r>
        <w:t xml:space="preserve"> </w:t>
      </w:r>
      <w:r>
        <w:rPr>
          <w:b/>
          <w:bCs/>
        </w:rPr>
        <w:t xml:space="preserve">gene/target-level A + variant-level B–C</w:t>
      </w:r>
      <w:r>
        <w:t xml:space="preserve"> </w:t>
      </w:r>
      <w:r>
        <w:t xml:space="preserve">的极端非对称情形：编辑层面证据强，但自然群体可育种变异证据弱；TVB/NHE1 则代表非对称程度较轻的情形，靶点功能证据和自然变异证据部分重叠。就监管路径而言，ANP32A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 xml:space="preserve">基因编辑的 T 轴评估至少涉及三个独立维度。第一是监管路径。不同国家和地区对禽类基因编辑产品的监管态度差异很大，目标市场选择直接决定编辑应用的可行边界。中文行业读者在制定编辑应用策略时，应优先评估国内主流市场和目标出口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bCs/>
        </w:rPr>
        <w:t xml:space="preserve">SLCO1B3 EAV-HP 插入：variant-level A / T2 的成熟 MAS 应用。</w:t>
      </w:r>
      <w:r>
        <w:br/>
      </w:r>
      <w:r>
        <w:t xml:space="preserve">SLCO1B3 EAV-HP 插入是本文讨论中较成熟的 MAS 案例。其分型可通过常规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w:t>
      </w:r>
    </w:p>
    <w:p>
      <w:pPr>
        <w:pStyle w:val="BodyText"/>
      </w:pPr>
      <w:r>
        <w:t xml:space="preserve">与 SLCO1B3 这种已经达到 T2 的成熟应用案例不同，多数复杂经济性状的代表位点目前仍停留在 B+ 或 B 级。</w:t>
      </w:r>
    </w:p>
    <w:p>
      <w:pPr>
        <w:pStyle w:val="BodyText"/>
      </w:pPr>
      <w:r>
        <w:rPr>
          <w:b/>
          <w:bCs/>
        </w:rPr>
        <w:t xml:space="preserve">IGF2BP1 启动子缺失：variant-level B+ / T0 的验证优先位点。</w:t>
      </w:r>
      <w:r>
        <w:br/>
      </w:r>
      <w:r>
        <w:t xml:space="preserve">IGF2BP1 启动子缺失目前定位为 variant-level B+ / T0，不宜直接进入 MAS。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bCs/>
        </w:rPr>
        <w:t xml:space="preserve">rs734209466–IGFBP2/IGFBP5 调控链：variant-level B+ / T0 的高优先级调控候选。</w:t>
      </w:r>
      <w:r>
        <w:br/>
      </w:r>
      <w:r>
        <w:t xml:space="preserve">该调控链具有较完整的非编码调控机制证据，定位为 variant-level B+ / T0。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bCs/>
        </w:rPr>
        <w:t xml:space="preserve">PHIP 非编码变异：variant-level B / T0 的产蛋机制候选。</w:t>
      </w:r>
      <w:r>
        <w:br/>
      </w:r>
      <w:r>
        <w:t xml:space="preserve">PHIP 可以用于卵巢功能机制研究、目标群体验证和功能实验设计，但不宜写成产蛋数量标记。PHIP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bCs/>
        </w:rPr>
        <w:t xml:space="preserve">MHC-B 单倍型：haplotype/region-level B+ / T1 的特定疾病风险层。</w:t>
      </w:r>
      <w:r>
        <w:br/>
      </w:r>
      <w:r>
        <w:t xml:space="preserve">MHC-B 适合用于特定疾病背景下的风险评估和育种辅助决策，但不宜作为普适抗病标记。haplotype-level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bCs/>
        </w:rPr>
        <w:t xml:space="preserve">ANP32A：gene/target-level A 与 variant-level B–C 并存的非对称证据。</w:t>
      </w:r>
      <w:r>
        <w:br/>
      </w:r>
      <w:r>
        <w:t xml:space="preserve">ANP32A 在禽流感宿主因子研究中具有强功能价值，可作为基因编辑抗病策略和病毒适配机制研究的核心靶点；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pPr>
      <w:r>
        <w:t xml:space="preserve">7 瓶颈、未来方向与结论</w:t>
      </w:r>
    </w:p>
    <w:p>
      <w:pPr>
        <w:pStyle w:val="BodyText"/>
      </w:pPr>
      <w:r>
        <w:t xml:space="preserve">本文提出的证据成熟度框架（C/B/B+/A）与产业适用性轴（T0/T1/T2），其价值不在于给候选位点贴上新标签，而在于把“证据有多强”和“是否适合育种”两个问题显性地分开。第 4 章的评估显示，家鸡 variant-level A 证据主要集中于主效可见表型，多数复杂经济性状仍停留在 B/B+ 或 C/B 阶段。这一格局并非永久，它取决于当前方法学、群体资源和学科协作的具体限制。本章先讨论这些瓶颈，再指出最可能改变证据分布的方向，最后给出面向研究者和育种实践的结论。</w:t>
      </w:r>
    </w:p>
    <w:p>
      <w:pPr>
        <w:pStyle w:val="Heading3"/>
      </w:pPr>
      <w:r>
        <w:t xml:space="preserve">7.1 当前框架应用的主要瓶颈</w:t>
      </w:r>
    </w:p>
    <w:p>
      <w:pPr>
        <w:pStyle w:val="BodyText"/>
      </w:pPr>
      <w:r>
        <w:t xml:space="preserve">第一类是方法学瓶颈，集中在功能验证环节。如第 5 章所述，从 B+ 升级到 A 的关键不是证据数量，而是内源、体内或等位基因层面的因果验证。家鸡在这一环节受到三项具体限制：PGC 介导编辑的通量，决定能验证多少候选位点；内源等位基因替换的效率，决定能验证哪类变异，尤其是结构变异和调控变异；以及长期与多性状表型监测能力，决定能否完成 T 轴评估。鸡 PGC 的长期培养和生殖系传递虽已建立（van de Lavoir et al., 2006；Whyte et al., 2015），但单个验证项目的成本、世代周期和设施门槛，使系统性的等位基因替换在多数育种主体中仍不可行。这是 A 级证据稀缺的直接技术原因。</w:t>
      </w:r>
    </w:p>
    <w:p>
      <w:pPr>
        <w:pStyle w:val="BodyText"/>
      </w:pPr>
      <w:r>
        <w:t xml:space="preserve">第二类是群体瓶颈。家鸡白羽肉鸡、黄羽肉鸡、商业蛋鸡、地方品种和实验资源群体之间存在显著遗传背景差异，同一候选位点在不同群体中可能由不同因果变异驱动，效应方向和大小也可能改变。这意味着在某一群体中获得的 variant-level A 证据，不能自动推广到其他群体；因果异质性和跨群体迁移性必须作为独立问题评估。当前多数功能验证集中在少数研究群体，缺少系统的跨群体复核，这既限制了证据的可推广性，也使 T 轴评估难以脱离具体群体泛化。</w:t>
      </w:r>
    </w:p>
    <w:p>
      <w:pPr>
        <w:pStyle w:val="BodyText"/>
      </w:pPr>
      <w:r>
        <w:t xml:space="preserve">第三类是学科瓶颈。一方面，本文框架本身尚未完成评估者间一致性（inter-rater reliability）的形式化验证（见 3.5 节），其评级在不同研究者之间可能存在分歧。另一方面，基因组学与数量遗传学之间存在术语和标准的断层：前者关注单个变异的因果性，后者关注全基因组层面的预测与遗传增益。候选位点证据分级要真正服务于育种，需要这两套语言对接，例如把 variant-level 证据等级转化为 GS 模型中的功能先验权重。这种对接目前仍缺少公认的规范。</w:t>
      </w:r>
    </w:p>
    <w:p>
      <w:pPr>
        <w:pStyle w:val="Heading3"/>
      </w:pPr>
      <w:r>
        <w:t xml:space="preserve">7.2 未来最可能改变证据分布的方向</w:t>
      </w:r>
    </w:p>
    <w:p>
      <w:pPr>
        <w:pStyle w:val="BodyText"/>
      </w:pPr>
      <w:r>
        <w:t xml:space="preserve">第一，泛基因组与结构变异图谱。第 2 章已指出，家鸡若干强效表型并非由最显著 SNP 解释，而是涉及结构变异、拷贝数变化或参考基因组之外的非参考序列（Rice et al., 2023）。随着长读长测序和图泛基因组的普及，系统性识别结构变异将逐步改变“显著 SNP 不等于因果变异”的格局，使更多候选位点从 region-level 或 gene-level 推进到 variant-level。这是变异明确度维度最可能取得系统性进展的方向。</w:t>
      </w:r>
    </w:p>
    <w:p>
      <w:pPr>
        <w:pStyle w:val="BodyText"/>
      </w:pPr>
      <w:r>
        <w:t xml:space="preserve">第二，PGC 编辑通量的提升。如果生殖系编辑和等位基因替换的效率、规模和成本能够改善，功能验证将从“一次只能验证少数位点”转向“系统性筛查候选变异”。这直接决定 gene/target-level A 和 variant-level A 证据在未来五到十年能积累多少，也是把第 4 章中大量 B+ 候选推向 A 的核心前提。</w:t>
      </w:r>
    </w:p>
    <w:p>
      <w:pPr>
        <w:pStyle w:val="BodyText"/>
      </w:pPr>
      <w:r>
        <w:t xml:space="preserve">第三，地方品种功能基因组学协作网络。群体瓶颈的根本解法是跨群体、跨机构的协作：在统一表型标准和共同环境试验下，对地方品种和商业群体进行平行的基因型、表型与功能研究。这既能处理因果异质性和跨群体迁移性问题，也能把地方适应性状从当前的 region-level C–B 推向更高证据等级，同时服务于遗传资源保护。</w:t>
      </w:r>
    </w:p>
    <w:p>
      <w:pPr>
        <w:pStyle w:val="BodyText"/>
      </w:pPr>
      <w:r>
        <w:t xml:space="preserve">第四，评级框架的形式化验证。本文框架目前是启发式工具。若要发展为可用于数据库标注或指南制定的稳定体系，需要预先注册评分规则、建立覆盖不同性状类型的基准位点集、由多名独立评估者盲法评分并报告一致性指标（Strande et al., 2017）。这一步是把叙述性判断语言升级为可复现评价体系的必要条件。</w:t>
      </w:r>
    </w:p>
    <w:p>
      <w:pPr>
        <w:pStyle w:val="Heading3"/>
      </w:pPr>
      <w:r>
        <w:t xml:space="preserve">7.3 结论与对从业者的建议</w:t>
      </w:r>
    </w:p>
    <w:p>
      <w:pPr>
        <w:pStyle w:val="BodyText"/>
      </w:pPr>
      <w:r>
        <w:t xml:space="preserve">对研究者而言，本文框架的直接启示是把验证投入对准证据链的薄弱环节，而不是重复增加同类证据。一个已经具有多重表达和关联证据的候选位点，再增加一项差异表达分析，对其证据等级的提升有限；真正能推动升级的是内源编辑、体内模型或跨群体复核。明确一个位点“缺哪一环”，比反复确认“它看起来合理”更有价值。</w:t>
      </w:r>
    </w:p>
    <w:p>
      <w:pPr>
        <w:pStyle w:val="BodyText"/>
      </w:pPr>
      <w:r>
        <w:t xml:space="preserve">对育种企业而言，应区分证据轴和产业轴分别决策。复杂经济性状的长期改良仍应以基因组选择和多性状选择指数为主干；少数 variant-level A 主效位点可用于品种特征管理、商品分级和保种；B+ 位点主要用于排序和优先验证；基因编辑靶点则必须在监管、福利和病原生态约束下单独评估。工具选择还要结合自身资源：MAS 成本最低，GS 需要表型基础设施，编辑目前更适合大型主体或公共机构主导。其中，高质量、可比较、可用于遗传评估的表型记录体系，是比追加分子数据更基础、也更值得优先投入的方向。</w:t>
      </w:r>
    </w:p>
    <w:p>
      <w:pPr>
        <w:pStyle w:val="BodyText"/>
      </w:pPr>
      <w:r>
        <w:t xml:space="preserve">总之，家鸡精准育种的现实瓶颈不是候选信号太少，而是证据上限与性状结构、表型可测量性和功能验证可及性密切绑定。本文提出的证据成熟度框架，价值不在于产生新的评级，而在于为讨论提供一种共同语言，使候选位点的能力与限制都能被清楚地说出来：哪些只是线索，哪些值得验证，哪些已经可用，以及在什么场景下可用。在这个意义上，更明确的证据上限判断和更恰当的工具匹配，比候选基因清单的进一步扩张，更能推动家鸡复杂性状研究真正转化为育种价值。</w:t>
      </w:r>
    </w:p>
    <w:p>
      <w:pPr>
        <w:pStyle w:val="Heading2"/>
      </w:pPr>
      <w:r>
        <w:t>参考文献</w:t>
      </w:r>
    </w:p>
    <w:p>
      <w:pPr>
        <w:pStyle w:val="BodyText"/>
      </w:pPr>
      <w:r>
        <w:t>Animal QTLdb. Chicken QTLdb summary data by year and release. Release 58 (Dec. 29, 2025). https://www.animalgenome.org/cgi-bin/QTLdb/GG/summary?statu=&amp;summ=year. Accessed May 31, 2026.</w:t>
      </w:r>
    </w:p>
    <w:p>
      <w:pPr>
        <w:pStyle w:val="BodyText"/>
      </w:pPr>
      <w:r>
        <w:t>Dorshorst, B., Molin, A.-M., Rubin, C.-J., et al. 2011. A complex genomic rearrangement involving the endothelin 3 locus causes dermal hyperpigmentation in the chicken. PLoS Genetics 7:e1002412. https://doi.org/10.1371/journal.pgen.1002412.</w:t>
      </w:r>
    </w:p>
    <w:p>
      <w:pPr>
        <w:pStyle w:val="BodyText"/>
      </w:pPr>
      <w:r>
        <w:t>Elferink, M. G., Vallee, A. A., Jungerius, A. P., Crooijmans, R. P. M. A., and Groenen, M. A. M. 2008. Partial duplication of the PRLR and SPEF2 genes at the late feathering locus in chicken. BMC Genomics 9:391. https://doi.org/10.1186/1471-2164-9-391.</w:t>
      </w:r>
    </w:p>
    <w:p>
      <w:pPr>
        <w:pStyle w:val="BodyText"/>
      </w:pPr>
      <w:r>
        <w:t>Eriksson, J., Larson, G., Gunnarsson, U., et al. 2008. Identification of the yellow skin gene reveals a hybrid origin of the domestic chicken. PLoS Genetics 4:e1000010. https://doi.org/10.1371/journal.pgen.1000010.</w:t>
      </w:r>
    </w:p>
    <w:p>
      <w:pPr>
        <w:pStyle w:val="BodyText"/>
      </w:pPr>
      <w:r>
        <w:t>Fleiss, J. L. 1971. Measuring nominal scale agreement among many raters. Psychological Bulletin 76:378-382. https://doi.org/10.1037/h0031619.</w:t>
      </w:r>
    </w:p>
    <w:p>
      <w:pPr>
        <w:pStyle w:val="BodyText"/>
      </w:pPr>
      <w:r>
        <w:t>Giambartolomei, C., Vukcevic, D., Schadt, E. E., et al. 2014. Bayesian test for colocalisation between pairs of genetic association studies using summary statistics. PLoS Genetics 10:e1004383. https://doi.org/10.1371/journal.pgen.1004383.</w:t>
      </w:r>
    </w:p>
    <w:p>
      <w:pPr>
        <w:pStyle w:val="BodyText"/>
      </w:pPr>
      <w:r>
        <w:t>Guyatt, G. H., Oxman, A. D., Vist, G. E., et al. 2008. GRADE: an emerging consensus on rating quality of evidence and strength of recommendations. BMJ 336:924-926. https://doi.org/10.1136/bmj.39489.470347.AD.</w:t>
      </w:r>
    </w:p>
    <w:p>
      <w:pPr>
        <w:pStyle w:val="BodyText"/>
      </w:pPr>
      <w:r>
        <w:t>Hormozdiari, F., van de Bunt, M., Segre, A. V., et al. 2016. Colocalization of GWAS and eQTL signals detects target genes. American Journal of Human Genetics 99:1245-1260. https://doi.org/10.1016/j.ajhg.2016.10.003.</w:t>
      </w:r>
    </w:p>
    <w:p>
      <w:pPr>
        <w:pStyle w:val="BodyText"/>
      </w:pPr>
      <w:r>
        <w:t>Hu, Z.-L., Park, C. A., and Reecy, J. M. 2016. Developmental progress and current status of the Animal QTLdb. Nucleic Acids Research 44:D827-D833. https://doi.org/10.1093/nar/gkv1233.</w:t>
      </w:r>
    </w:p>
    <w:p>
      <w:pPr>
        <w:pStyle w:val="BodyText"/>
      </w:pPr>
      <w:r>
        <w:t>Idoko-Akoh, A., Goldhill, D. H., Sheppard, C. M., et al. 2023. Creating resistance to avian influenza infection through genome editing of the ANP32 gene family. Nature Communications 14:6136. https://doi.org/10.1038/s41467-023-41476-3.</w:t>
      </w:r>
    </w:p>
    <w:p>
      <w:pPr>
        <w:pStyle w:val="BodyText"/>
      </w:pPr>
      <w:r>
        <w:t>Inoue, F., and Ahituv, N. 2015. Decoding enhancers using massively parallel reporter assays. Genomics 106:159-164. https://doi.org/10.1016/j.ygeno.2015.06.005.</w:t>
      </w:r>
    </w:p>
    <w:p>
      <w:pPr>
        <w:pStyle w:val="BodyText"/>
      </w:pPr>
      <w:r>
        <w:t>Kampmann, M. 2018. CRISPRi and CRISPRa screens in mammalian cells for precision biology and medicine. ACS Chemical Biology 13:406-416. https://doi.org/10.1021/acschembio.7b00657.</w:t>
      </w:r>
    </w:p>
    <w:p>
      <w:pPr>
        <w:pStyle w:val="BodyText"/>
      </w:pPr>
      <w:r>
        <w:t>McHugh, M. L. 2012. Interrater reliability: the kappa statistic. Biochemia Medica 22:276-282. https://doi.org/10.11613/BM.2012.031.</w:t>
      </w:r>
    </w:p>
    <w:p>
      <w:pPr>
        <w:pStyle w:val="BodyText"/>
      </w:pPr>
      <w:r>
        <w:t>Rehm, H. L., Berg, J. S., Brooks, L. D., et al. 2015. ClinGen--the Clinical Genome Resource. New England Journal of Medicine 372:2235-2242. https://doi.org/10.1056/NEJMsr1406261.</w:t>
      </w:r>
    </w:p>
    <w:p>
      <w:pPr>
        <w:pStyle w:val="BodyText"/>
      </w:pPr>
      <w:r>
        <w:t>Rice, E. S., Alberdi, A., Alfieri, J., et al. 2023. A pangenome graph reference of 30 chicken genomes allows genotyping of large and complex structural variants. BMC Biology 21:267. https://doi.org/10.1186/s12915-023-01758-0.</w:t>
      </w:r>
    </w:p>
    <w:p>
      <w:pPr>
        <w:pStyle w:val="BodyText"/>
      </w:pPr>
      <w: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BodyText"/>
      </w:pPr>
      <w:r>
        <w:t>Shen, L., Bai, X., Zhao, L., et al. 2024. Integrative 3D genomics with multi-omics analysis and functional validation of genetic regulatory mechanisms of abdominal fat deposition in chickens. Nature Communications 15:9274. https://doi.org/10.1038/s41467-024-53692-6.</w:t>
      </w:r>
    </w:p>
    <w:p>
      <w:pPr>
        <w:pStyle w:val="BodyText"/>
      </w:pPr>
      <w: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BodyText"/>
      </w:pPr>
      <w:r>
        <w:t>van de Lavoir, M.-C., Diamond, J. H., Leighton, P. A., et al. 2006. Germline transmission of genetically modified primordial germ cells. Nature 441:766-769. https://doi.org/10.1038/nature04831.</w:t>
      </w:r>
    </w:p>
    <w:p>
      <w:pPr>
        <w:pStyle w:val="BodyText"/>
      </w:pPr>
      <w:r>
        <w:t>Wang, D., Zhu, Y., Dong, J., Zhi, Y., Wei, G., Kang, X., and Liu, X. 2025. Exploring the functional variations of key candidate genes affecting egg production by hypothalamic-pituitary-ovarian axis in chickens. Poultry Science 104:105027. https://doi.org/10.1016/j.psj.2025.105027.</w:t>
      </w:r>
    </w:p>
    <w:p>
      <w:pPr>
        <w:pStyle w:val="BodyText"/>
      </w:pPr>
      <w:r>
        <w:t>Wang, Z., Qu, L., Yao, J., et al. 2013. An EAV-HP insertion in 5 flanking region of SLCO1B3 causes blue eggshell in the chicken. PLoS Genetics 9:e1003183. https://doi.org/10.1371/journal.pgen.1003183.</w:t>
      </w:r>
    </w:p>
    <w:p>
      <w:pPr>
        <w:pStyle w:val="BodyText"/>
      </w:pPr>
      <w:r>
        <w:t>Whyte, J., Glover, J. D., Woodcock, M., et al. 2015. FGF, insulin, and SMAD signaling cooperate for avian primordial germ cell self-renewal. Stem Cell Reports 5:1171-1182. https://doi.org/10.1016/j.stemcr.2015.10.008.</w:t>
      </w:r>
    </w:p>
    <w:p>
      <w:pPr>
        <w:pStyle w:val="BodyText"/>
      </w:pPr>
      <w:r>
        <w:t>Wright, D., Boije, H., Meadows, J. R. S., et al. 2009. Copy number variation in intron 1 of SOX5 causes the pea-comb phenotype in chickens. PLoS Genetics 5:e1000512. https://doi.org/10.1371/journal.pgen.1000512.</w:t>
      </w:r>
    </w:p>
    <w:p>
      <w:pPr>
        <w:pStyle w:val="BodyText"/>
      </w:pPr>
      <w:r>
        <w:t>Zhu, Z., Zhang, F., Hu, H., et al. 2016. Integration of summary data from GWAS and eQTL studies predicts complex trait gene targets. Nature Genetics 48:481-487. https://doi.org/10.1038/ng.3538.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