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体内）。其共同特征是各自能说明什么、不能说明什么有清楚的范围限制。候选清单的长度并不等于证据的厚度：某个性状已经积累了大量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相关区域的复杂变异（Eriksson et al., 2008；Elferink et al., 2008；Wright et al., 2009）。这些案例说明，当显著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表达影响颗粒细胞相关功能；后者提示等位基因特异增强子和三维调控可能参与 IGFBP2/IGFBP5 表达及脂前体细胞表型调节（Shen et al., 2024；Wang et al., 2025）。这类研究明显强于普通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 xml:space="preserve">第 2 章讨论的是为什么候选信号不能直接等同于因果位点。本章进一步把这种判断转化为一个可操作的证据成熟度框架。这个框架的目的不是替代数量遗传评估，也不是建立已经被外部验证的正式指南，而是为家鸡复杂性状候选位点提供一种更清楚的讨论语言：一个信号目前是统计线索、机制候选、强验证对象，还是已经接近因果位点；它是否只具有生物学证据，还是已经具备进入具体育种场景的条件。</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 xml:space="preserve">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 xml:space="preserve">因此，本文采用“硬性门槛优先，总分辅助”的判断逻辑。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 xml:space="preserve">表 1 总结了 C、B、B+ 和 A 四级证据在四个维度上的典型表现。该表不是固定打分标准，而是用于提高判断透明度的操作性参照。实际评价时，应遵循“功能验证强度为 A 级硬门槛，其他维度可以增强证据链但不可替代硬门槛”的原则。</w:t>
      </w:r>
    </w:p>
    <w:p>
      <w:pPr>
        <w:pStyle w:val="BodyText"/>
      </w:pPr>
      <w:r>
        <w:rPr>
          <w:b/>
          <w:bCs/>
        </w:rPr>
        <w:t xml:space="preserve">表 1 家鸡候选位点 C、B、B+ 和 A 级证据的典型判定特征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r>
        <w:tc>
          <w:tcPr/>
          <w:p>
            <w:pPr>
              <w:pStyle w:val="Compact"/>
              <w:jc w:val="left"/>
            </w:pPr>
            <w:r>
              <w:t xml:space="preserve">典型用途</w:t>
            </w:r>
          </w:p>
        </w:tc>
        <w:tc>
          <w:tcPr/>
          <w:p>
            <w:pPr>
              <w:pStyle w:val="Compact"/>
              <w:jc w:val="left"/>
            </w:pPr>
            <w:r>
              <w:t xml:space="preserve">候选清单、假设生成、低权重功能先验、后续精细定位入口。</w:t>
            </w:r>
          </w:p>
        </w:tc>
        <w:tc>
          <w:tcPr/>
          <w:p>
            <w:pPr>
              <w:pStyle w:val="Compact"/>
              <w:jc w:val="left"/>
            </w:pPr>
            <w:r>
              <w:t xml:space="preserve">精细定位、跨群体验证、机制实验、GS 功能先验。</w:t>
            </w:r>
          </w:p>
        </w:tc>
        <w:tc>
          <w:tcPr/>
          <w:p>
            <w:pPr>
              <w:pStyle w:val="Compact"/>
              <w:jc w:val="left"/>
            </w:pPr>
            <w:r>
              <w:t xml:space="preserve">优先功能验证对象；不等同于应用成熟。</w:t>
            </w:r>
          </w:p>
        </w:tc>
        <w:tc>
          <w:tcPr/>
          <w:p>
            <w:pPr>
              <w:pStyle w:val="Compact"/>
              <w:jc w:val="left"/>
            </w:pPr>
            <w:r>
              <w:t xml:space="preserve">功能标记、主效位点管理或编辑靶点评估的候选前提；仍需 T 轴评估应用成熟度。</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 xml:space="preserve">A 级证据还需要进一步区分 variant-level A 和 gene/target-level A。二者都可以代表强功能证据，但解释对象和育种含义不同。</w:t>
      </w:r>
    </w:p>
    <w:p>
      <w:pPr>
        <w:pStyle w:val="BodyText"/>
      </w:pPr>
      <w:r>
        <w:t xml:space="preserve">variant-level A 指自然变异或单倍型层面的强证据。它要求候选变异或单倍型较明确，并且能够把变异、分子功能和表型后果连接起来。典型情况包括主效表型、寡基因表型或结构变异控制的可见性状。这类证据最接近功能标记或主效位点管理，因为它直接回答的是自然群体中哪个变异与表型形成有关。不过，即使是 variant-level A，也不等于无条件产业应用。是否应用仍取决于 T 轴：目标群体中是否存在该等位基因，效应是否稳定，是否影响其他性状，是否符合育种目标。</w:t>
      </w:r>
    </w:p>
    <w:p>
      <w:pPr>
        <w:pStyle w:val="BodyText"/>
      </w:pPr>
      <w:r>
        <w:t xml:space="preserve">gene/target-level A 指基因或靶点层面的强证据。它可以由编辑、敲除、敲入、体内模型或强扰动实验支持，说明某个基因或靶点对表型具有功能作用。抗病编辑研究中的宿主因子就是典型例子：编辑结果可以证明该靶点参与病毒复制或感染结局，但并不证明自然群体中存在可直接选择的功能等位变异，也不证明该靶点已经适合产业育种。对于 gene/target-level A，尤其需要在 T 轴中单独评估遗传背景、补偿通路、多性状影响、动物福利、病原逃逸、监管路径和产业接受度。</w:t>
      </w:r>
    </w:p>
    <w:p>
      <w:pPr>
        <w:pStyle w:val="BodyText"/>
      </w:pPr>
      <w:r>
        <w:t xml:space="preserve">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B+；这种“非对称证据”本身就是重要信息。它说明该靶点具有明确生物学功能，但尚不能证明自然群体中已有可直接利用的功能等位变异，也不能证明该靶点已经具备产业应用成熟度。</w:t>
      </w:r>
    </w:p>
    <w:p>
      <w:pPr>
        <w:pStyle w:val="BodyText"/>
      </w:pPr>
      <w:r>
        <w:t xml:space="preserve">这个区分可以避免两个方向的误读。第一，不能把 gene/target-level A 误写成自然变异层面的功能标记。第二，也不能因为某个自然变异尚未达到产业应用成熟度，就否定其生物学强证据。variant-level A 解决的是“自然变异是否具有强证据”，gene/target-level A 解决的是“基因或靶点是否具有强功能作用”，T 轴解决的是“是否适合具体育种应用”。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 xml:space="preserve">如果未来将该框架用于数据库标注、指南制定或正式证据评级，就需要进一步验证其一致性。较合理的做法是预先注册评分规则，选择覆盖主效表型、生长、产蛋、饲料效率、抗病和地方适应等不同类型的代表性位点，由多名独立评估者盲法评分，并报告评估者间一致性和分歧仲裁过程。只有经过这类验证后，框架才有可能从启发式判断工具进一步发展为较稳定的评价体系。</w:t>
      </w:r>
    </w:p>
    <w:p>
      <w:pPr>
        <w:pStyle w:val="BodyText"/>
      </w:pPr>
      <w:r>
        <w:t xml:space="preserve">在本文中，该框架的用途更克制：它帮助组织已有文献，避免把候选线索提前包装成因果位点，也避免把功能验证结果直接等同于育种应用。下一章将以这一框架为基础，比较不同性状中代表性候选位点的证据成熟度，并说明为什么当前家鸡中真正达到 variant-level A 的案例主要集中在主效、寡基因或结构变异控制的表型，而多数复杂经济性状仍处于机制候选或验证优先阶段。</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