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家鸡复杂性状候选位点的证据成熟度与育种转化边界：一个启发式框架</w:t>
      </w:r>
    </w:p>
    <w:p>
      <w:pPr>
        <w:pStyle w:val="Heading2"/>
        <w:jc w:val="left"/>
      </w:pPr>
      <w:r>
        <w:rPr>
          <w:rFonts w:ascii="宋体" w:hAnsi="宋体" w:eastAsia="宋体"/>
          <w:b/>
          <w:sz w:val="24"/>
        </w:rPr>
        <w:t>摘要</w:t>
      </w:r>
    </w:p>
    <w:p>
      <w:pPr>
        <w:spacing w:line="300" w:lineRule="auto"/>
        <w:ind w:firstLine="420"/>
      </w:pPr>
      <w:r>
        <w:rPr>
          <w:rFonts w:ascii="宋体" w:hAnsi="宋体" w:eastAsia="宋体"/>
          <w:b w:val="0"/>
          <w:sz w:val="21"/>
        </w:rPr>
        <w:t>家鸡复杂性状研究已通过 QTL、GWAS、选择扫描和多组学整合积累大量候选位点，但后关联阶段的关键问题已从“发现更多信号”转向“判断信号处于何种证据阶段”。本文提出一个启发式证据成熟度与育种转化框架，将候选位点证据划分为候选线索（C）、有重复或机制支持的候选（B）、高验证优先级候选（B+）和具有较完整因果链条的强证据（A），并用 T0/T1/T2 单独描述目标群体和产业场景中的转化适用性。基于代表性案例的校准显示，家鸡 variant-level A 证据主要集中于 SLCO1B3、BCDO2、EDN3 和 SOX5 等主效可见表型；生长、脂肪沉积、产蛋持续性、饲料效率和复杂抗病性状更多停留在 B+、B 或 C 阶段；抗病研究中还常出现 gene/target-level 强证据与自然群体 variant-level 证据不对称的情形。本文强调，统计关联、表达差异、功能注释和体外实验均不能单独证明可育种因果变异；内源、体内或等位基因层面的功能验证才可能推动证据进入 A 级。该框架的主要用途不是给候选位点贴固定标签，而是帮助研究者和育种者区分候选线索、验证优先对象和可转化标记，减少候选基因过度解释和育种工具错配。</w:t>
      </w:r>
    </w:p>
    <w:p>
      <w:pPr>
        <w:spacing w:line="300" w:lineRule="auto"/>
        <w:ind w:firstLine="420"/>
      </w:pPr>
      <w:r>
        <w:rPr>
          <w:rFonts w:ascii="宋体" w:hAnsi="宋体" w:eastAsia="宋体"/>
          <w:b w:val="0"/>
          <w:sz w:val="21"/>
        </w:rPr>
        <w:t>关键词：家鸡；候选位点；证据成熟度；后关联分析；功能验证；基因组选择；基因编辑</w:t>
      </w:r>
    </w:p>
    <w:p>
      <w:pPr>
        <w:pStyle w:val="Heading2"/>
        <w:jc w:val="left"/>
      </w:pPr>
      <w:r>
        <w:rPr>
          <w:rFonts w:ascii="宋体" w:hAnsi="宋体" w:eastAsia="宋体"/>
          <w:b/>
          <w:sz w:val="24"/>
        </w:rPr>
        <w:t>1 引言</w:t>
      </w:r>
    </w:p>
    <w:p>
      <w:pPr>
        <w:spacing w:line="300" w:lineRule="auto"/>
        <w:ind w:firstLine="420"/>
      </w:pPr>
      <w:r>
        <w:rPr>
          <w:rFonts w:ascii="宋体" w:hAnsi="宋体" w:eastAsia="宋体"/>
          <w:b w:val="0"/>
          <w:sz w:val="21"/>
        </w:rPr>
        <w:t>家鸡复杂性状研究已积累大量 QTL、GWAS、选择扫描、重测序和多组学候选信号。Chicken QTLdb 等数据库持续汇集 QTL、eQTL 和关联研究结果，说明信号发现本身已经不是唯一瓶颈（Hu et al., 2016；Animal QTLdb, accessed May 31, 2026）。更困难的问题是：这些信号中哪些只是候选线索，哪些值得优先功能验证，哪些已经足以支撑目标群体中的育种应用。</w:t>
      </w:r>
    </w:p>
    <w:p>
      <w:pPr>
        <w:spacing w:line="300" w:lineRule="auto"/>
        <w:ind w:firstLine="420"/>
      </w:pPr>
      <w:r>
        <w:rPr>
          <w:rFonts w:ascii="宋体" w:hAnsi="宋体" w:eastAsia="宋体"/>
          <w:b w:val="0"/>
          <w:sz w:val="21"/>
        </w:rPr>
        <w:t>这一问题在家鸡中尤其突出。少数主效可见表型已经形成较清楚的“变异—分子功能—表型”链条，例如黄肤、豌豆冠、纤维黑变和蓝壳等案例（Eriksson et al., 2008；Wright et al., 2009；Dorshorst et al., 2011；Wang Z. et al., 2013）。相比之下，生长、饲料效率、脂肪沉积、产蛋持续性、肉质和复杂抗病性状通常由多基因小效应、遗传背景、环境条件和多性状权衡共同决定。对于这些性状，显著关联区域或候选基因很容易被写得过满，却很难真正达到自然变异层面的因果证据。</w:t>
      </w:r>
    </w:p>
    <w:p>
      <w:pPr>
        <w:spacing w:line="300" w:lineRule="auto"/>
        <w:ind w:firstLine="420"/>
      </w:pPr>
      <w:r>
        <w:rPr>
          <w:rFonts w:ascii="宋体" w:hAnsi="宋体" w:eastAsia="宋体"/>
          <w:b w:val="0"/>
          <w:sz w:val="21"/>
        </w:rPr>
        <w:t>本文借鉴 ClinGen、ACMG/AMP 和 GRADE 等体系中关于证据权重、变异解释和应用分层的思想（Guyatt et al., 2008；Rehm et al., 2015；Richards et al., 2015），但不把临床框架机械移植到动物育种。家鸡复杂性状的证据判断至少需要同时回答两个不同问题：第一，候选位点的生物学证据有多强；第二，即使证据较强，它是否适合进入特定育种群体和产业场景。前者是 C/B/B+/A 轴，后者是 T0/T1/T2 轴。</w:t>
      </w:r>
    </w:p>
    <w:p>
      <w:pPr>
        <w:spacing w:line="300" w:lineRule="auto"/>
        <w:ind w:firstLine="420"/>
      </w:pPr>
      <w:r>
        <w:rPr>
          <w:rFonts w:ascii="宋体" w:hAnsi="宋体" w:eastAsia="宋体"/>
          <w:b w:val="0"/>
          <w:sz w:val="21"/>
        </w:rPr>
        <w:t>本文采用结构化叙述综述思路，优先纳入能够代表不同证据阶段的家鸡候选位点和功能研究。正文不试图穷举所有候选基因，而是选取少数能校准证据等级边界的案例；更完整的候选集合和评级依据置于补充表。这样的取舍是为了避免把文章写成候选基因清单，同时保留对复杂性状证据格局的系统判断。</w:t>
      </w:r>
    </w:p>
    <w:p>
      <w:pPr>
        <w:spacing w:line="300" w:lineRule="auto"/>
        <w:ind w:firstLine="420"/>
      </w:pPr>
      <w:r>
        <w:rPr>
          <w:rFonts w:ascii="宋体" w:hAnsi="宋体" w:eastAsia="宋体"/>
          <w:b w:val="0"/>
          <w:sz w:val="21"/>
        </w:rPr>
        <w:t>本文希望回答三个接近育种决策的问题：哪些结果只能作为候选线索；哪些结果值得优先进入功能验证；哪些结果已经具备进入目标育种群体验证和转化评估的基础。围绕这三个问题，文章先说明候选信号与因果位点之间的证据断层，再提出证据成熟度框架，随后用代表性案例校准等级边界，最后讨论功能验证和育种工具如何与证据阶段匹配。</w:t>
      </w:r>
    </w:p>
    <w:p>
      <w:pPr>
        <w:pStyle w:val="Heading2"/>
        <w:jc w:val="left"/>
      </w:pPr>
      <w:r>
        <w:rPr>
          <w:rFonts w:ascii="宋体" w:hAnsi="宋体" w:eastAsia="宋体"/>
          <w:b/>
          <w:sz w:val="24"/>
        </w:rPr>
        <w:t>2 候选信号为什么不能等同于因果位点</w:t>
      </w:r>
    </w:p>
    <w:p>
      <w:pPr>
        <w:spacing w:line="300" w:lineRule="auto"/>
        <w:ind w:firstLine="420"/>
      </w:pPr>
      <w:r>
        <w:rPr>
          <w:rFonts w:ascii="宋体" w:hAnsi="宋体" w:eastAsia="宋体"/>
          <w:b w:val="0"/>
          <w:sz w:val="21"/>
        </w:rPr>
        <w:t>候选位点研究最常见的误差，不是发现了错误信号，而是把不同层级的证据写成同一层级的结论。QTL、GWAS、选择信号、差异表达、多组学注释和体外功能实验都能增加候选信号的可信度，但它们回答的问题并不相同。只有明确这些边界，后续证据分级才有意义。</w:t>
      </w:r>
    </w:p>
    <w:p>
      <w:pPr>
        <w:pStyle w:val="Heading3"/>
        <w:jc w:val="left"/>
      </w:pPr>
      <w:r>
        <w:rPr>
          <w:rFonts w:ascii="宋体" w:hAnsi="宋体" w:eastAsia="宋体"/>
          <w:b/>
          <w:sz w:val="24"/>
        </w:rPr>
        <w:t>2.1 GWAS、QTL 和选择信号的证据边界</w:t>
      </w:r>
    </w:p>
    <w:p>
      <w:pPr>
        <w:spacing w:line="300" w:lineRule="auto"/>
        <w:ind w:firstLine="420"/>
      </w:pPr>
      <w:r>
        <w:rPr>
          <w:rFonts w:ascii="宋体" w:hAnsi="宋体" w:eastAsia="宋体"/>
          <w:b w:val="0"/>
          <w:sz w:val="21"/>
        </w:rPr>
        <w:t>QTL 和 GWAS 的主要价值在于定位与目标表型相关的遗传区段。QTL 依赖实验群体中的重组事件，GWAS 则依赖自然群体或育种群体中的连锁不平衡结构。二者都能提示“哪里可能有信号”，但不能单独回答“哪个变异导致了表型”。一个显著 SNP 附近存在功能相关基因，只能构成候选解释，不能直接证明该基因或该 SNP 是因果位点。</w:t>
      </w:r>
    </w:p>
    <w:p>
      <w:pPr>
        <w:spacing w:line="300" w:lineRule="auto"/>
        <w:ind w:firstLine="420"/>
      </w:pPr>
      <w:r>
        <w:rPr>
          <w:rFonts w:ascii="宋体" w:hAnsi="宋体" w:eastAsia="宋体"/>
          <w:b w:val="0"/>
          <w:sz w:val="21"/>
        </w:rPr>
        <w:t>选择扫描同样需要谨慎解释。驯化或人工选择信号可以提示某一区域经历过频率变化，但信号来源可能是目标性状选择，也可能是连锁拖带、群体历史、瓶颈、迁徙或参考基因组偏差。TSHR 等驯化相关位点具有重要生物学意义，但驯化扫描强信号并不自动等同于现代商业群体中可直接使用的生产性状标记（Rubin et al., 2010）。</w:t>
      </w:r>
    </w:p>
    <w:p>
      <w:pPr>
        <w:spacing w:line="300" w:lineRule="auto"/>
        <w:ind w:firstLine="420"/>
      </w:pPr>
      <w:r>
        <w:rPr>
          <w:rFonts w:ascii="宋体" w:hAnsi="宋体" w:eastAsia="宋体"/>
          <w:b w:val="0"/>
          <w:sz w:val="21"/>
        </w:rPr>
        <w:t>家鸡中多个强效可见表型还说明，最显著 SNP 往往并不是最终因果变异。结构变异、拷贝数变化、插入序列或组织特异性调控变异可能才是真正解释表型的单元。蓝壳、黄肤、豌豆冠和纤维黑变等案例的价值，正在于它们把关联区段进一步推进到较明确的变异或结构变异层面。</w:t>
      </w:r>
    </w:p>
    <w:p>
      <w:pPr>
        <w:pStyle w:val="Heading3"/>
        <w:jc w:val="left"/>
      </w:pPr>
      <w:r>
        <w:rPr>
          <w:rFonts w:ascii="宋体" w:hAnsi="宋体" w:eastAsia="宋体"/>
          <w:b/>
          <w:sz w:val="24"/>
        </w:rPr>
        <w:t>2.2 表达、多组学共定位和功能注释的解释边界</w:t>
      </w:r>
    </w:p>
    <w:p>
      <w:pPr>
        <w:spacing w:line="300" w:lineRule="auto"/>
        <w:ind w:firstLine="420"/>
      </w:pPr>
      <w:r>
        <w:rPr>
          <w:rFonts w:ascii="宋体" w:hAnsi="宋体" w:eastAsia="宋体"/>
          <w:b w:val="0"/>
          <w:sz w:val="21"/>
        </w:rPr>
        <w:t>转录组、表观组、染色质开放、三维互作和功能注释常被用于解释候选区域。目标组织高表达、差异表达、通路富集或候选 SNP 落在增强子附近，均能提高生物学合理性，但它们仍是机制支持而非因果证明。表达变化可能是性状原因，也可能是性状结果，或由共同上游因素同时驱动。</w:t>
      </w:r>
    </w:p>
    <w:p>
      <w:pPr>
        <w:spacing w:line="300" w:lineRule="auto"/>
        <w:ind w:firstLine="420"/>
      </w:pPr>
      <w:r>
        <w:rPr>
          <w:rFonts w:ascii="宋体" w:hAnsi="宋体" w:eastAsia="宋体"/>
          <w:b w:val="0"/>
          <w:sz w:val="21"/>
        </w:rPr>
        <w:t>更强的机制证据需要把遗传信号与分子表型连接起来。分子 QTL、共定位、等位基因特异表达、等位基因特异染色质开放和方向一致的调控证据，能够部分回答候选变异是否可能影响分子功能。即便如此，共定位仍受 LD 结构、样本量、组织选择和分子表型质量影响；等位基因特异表达也可能受测序偏倚、等位基因分型错误和细胞组成差异影响。</w:t>
      </w:r>
    </w:p>
    <w:p>
      <w:pPr>
        <w:spacing w:line="300" w:lineRule="auto"/>
        <w:ind w:firstLine="420"/>
      </w:pPr>
      <w:r>
        <w:rPr>
          <w:rFonts w:ascii="宋体" w:hAnsi="宋体" w:eastAsia="宋体"/>
          <w:b w:val="0"/>
          <w:sz w:val="21"/>
        </w:rPr>
        <w:t>因此，多组学结果最适合用于提升候选优先级，而不是单独完成因果定性。它们可以把 C 级候选推进到 B 或 B+，但如果缺少内源、体内或等位基因层面的验证，通常不应写成 A 级证据。</w:t>
      </w:r>
    </w:p>
    <w:p>
      <w:pPr>
        <w:pStyle w:val="Heading3"/>
        <w:jc w:val="left"/>
      </w:pPr>
      <w:r>
        <w:rPr>
          <w:rFonts w:ascii="宋体" w:hAnsi="宋体" w:eastAsia="宋体"/>
          <w:b/>
          <w:sz w:val="24"/>
        </w:rPr>
        <w:t>2.3 体外功能实验与体内因果证据的区别</w:t>
      </w:r>
    </w:p>
    <w:p>
      <w:pPr>
        <w:spacing w:line="300" w:lineRule="auto"/>
        <w:ind w:firstLine="420"/>
      </w:pPr>
      <w:r>
        <w:rPr>
          <w:rFonts w:ascii="宋体" w:hAnsi="宋体" w:eastAsia="宋体"/>
          <w:b w:val="0"/>
          <w:sz w:val="21"/>
        </w:rPr>
        <w:t>功能实验是候选位点证据升级的关键环节，但不同实验体系的证据强度并不相同。报告基因实验、MPRA、过表达、敲低、CRISPRa/i、细胞模型和体外病原复制实验能够证明候选序列或候选基因具有功能潜力；它们比单纯注释更强，却仍可能脱离目标组织、内源染色质环境、真实发育阶段和体内复杂表型。</w:t>
      </w:r>
    </w:p>
    <w:p>
      <w:pPr>
        <w:spacing w:line="300" w:lineRule="auto"/>
        <w:ind w:firstLine="420"/>
      </w:pPr>
      <w:r>
        <w:rPr>
          <w:rFonts w:ascii="宋体" w:hAnsi="宋体" w:eastAsia="宋体"/>
          <w:b w:val="0"/>
          <w:sz w:val="21"/>
        </w:rPr>
        <w:t>报告基因实验的边界尤其需要写清楚。阳性结果可以说明某段序列具有调控活性，或不同等位基因在人工载体中表现出活性差异，但不能直接说明该变异在原生染色质背景中足以驱动体内表型。细胞模型也类似：脂前体细胞分化、颗粒细胞增殖或体外病毒复制终点，均不能简单等同于胴体脂肪分布、全期产蛋持续性或生产环境中的抗病育种价值。</w:t>
      </w:r>
    </w:p>
    <w:p>
      <w:pPr>
        <w:spacing w:line="300" w:lineRule="auto"/>
        <w:ind w:firstLine="420"/>
      </w:pPr>
      <w:r>
        <w:rPr>
          <w:rFonts w:ascii="宋体" w:hAnsi="宋体" w:eastAsia="宋体"/>
          <w:b w:val="0"/>
          <w:sz w:val="21"/>
        </w:rPr>
        <w:t>更强的功能证据通常需要把候选变异、内源分子效应和体内表型连接起来。内源编辑、自然突变或等位基因导入、PGC 介导编辑、体内模型、救援实验以及目标群体中的等位基因效应验证，才更接近因果判定。第 3 章的 A 级门槛正是建立在这一证据强度差异之上。</w:t>
      </w:r>
    </w:p>
    <w:p>
      <w:pPr>
        <w:pStyle w:val="Heading2"/>
        <w:jc w:val="left"/>
      </w:pPr>
      <w:r>
        <w:rPr>
          <w:rFonts w:ascii="宋体" w:hAnsi="宋体" w:eastAsia="宋体"/>
          <w:b/>
          <w:sz w:val="24"/>
        </w:rPr>
        <w:t>3 家鸡候选位点的证据成熟度框架</w:t>
      </w:r>
    </w:p>
    <w:p>
      <w:pPr>
        <w:spacing w:line="300" w:lineRule="auto"/>
        <w:ind w:firstLine="420"/>
      </w:pPr>
      <w:r>
        <w:rPr>
          <w:rFonts w:ascii="宋体" w:hAnsi="宋体" w:eastAsia="宋体"/>
          <w:b w:val="0"/>
          <w:sz w:val="21"/>
        </w:rPr>
        <w:t>本文将候选位点证据分为 C、B、B+ 和 A 四个阶段，并用四个维度进行判断：变异明确度、统计重复性与稳健性、分子机制支持和功能验证强度。与单纯打分不同，本框架采用“硬性门槛优先、总分辅助”的逻辑：强功能验证是 A 级的关键门槛，其他维度再强也不能完全替代。</w:t>
      </w:r>
    </w:p>
    <w:p>
      <w:pPr>
        <w:jc w:val="center"/>
      </w:pPr>
      <w:r>
        <w:rPr>
          <w:rFonts w:ascii="宋体" w:hAnsi="宋体" w:eastAsia="宋体"/>
          <w:b/>
          <w:sz w:val="21"/>
        </w:rPr>
        <w:t>表 1 候选位点证据成熟度的四个维度</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tcPr>
          <w:p>
            <w:pPr>
              <w:spacing w:line="240" w:lineRule="auto"/>
            </w:pPr>
            <w:r/>
            <w:r>
              <w:rPr>
                <w:rFonts w:ascii="宋体" w:hAnsi="宋体" w:eastAsia="宋体"/>
                <w:b/>
                <w:sz w:val="16"/>
              </w:rPr>
              <w:t>证据维度</w:t>
            </w:r>
          </w:p>
        </w:tc>
        <w:tc>
          <w:tcPr>
            <w:tcW w:type="dxa" w:w="1949"/>
          </w:tcPr>
          <w:p>
            <w:pPr>
              <w:spacing w:line="240" w:lineRule="auto"/>
            </w:pPr>
            <w:r/>
            <w:r>
              <w:rPr>
                <w:rFonts w:ascii="宋体" w:hAnsi="宋体" w:eastAsia="宋体"/>
                <w:b/>
                <w:sz w:val="16"/>
              </w:rPr>
              <w:t>C：候选线索</w:t>
            </w:r>
          </w:p>
        </w:tc>
        <w:tc>
          <w:tcPr>
            <w:tcW w:type="dxa" w:w="1949"/>
          </w:tcPr>
          <w:p>
            <w:pPr>
              <w:spacing w:line="240" w:lineRule="auto"/>
            </w:pPr>
            <w:r/>
            <w:r>
              <w:rPr>
                <w:rFonts w:ascii="宋体" w:hAnsi="宋体" w:eastAsia="宋体"/>
                <w:b/>
                <w:sz w:val="16"/>
              </w:rPr>
              <w:t>B：机制或重复性支持</w:t>
            </w:r>
          </w:p>
        </w:tc>
        <w:tc>
          <w:tcPr>
            <w:tcW w:type="dxa" w:w="1949"/>
          </w:tcPr>
          <w:p>
            <w:pPr>
              <w:spacing w:line="240" w:lineRule="auto"/>
            </w:pPr>
            <w:r/>
            <w:r>
              <w:rPr>
                <w:rFonts w:ascii="宋体" w:hAnsi="宋体" w:eastAsia="宋体"/>
                <w:b/>
                <w:sz w:val="16"/>
              </w:rPr>
              <w:t>B+：高验证优先级</w:t>
            </w:r>
          </w:p>
        </w:tc>
        <w:tc>
          <w:tcPr>
            <w:tcW w:type="dxa" w:w="1949"/>
          </w:tcPr>
          <w:p>
            <w:pPr>
              <w:spacing w:line="240" w:lineRule="auto"/>
            </w:pPr>
            <w:r/>
            <w:r>
              <w:rPr>
                <w:rFonts w:ascii="宋体" w:hAnsi="宋体" w:eastAsia="宋体"/>
                <w:b/>
                <w:sz w:val="16"/>
              </w:rPr>
              <w:t>A：强功能证据</w:t>
            </w:r>
          </w:p>
        </w:tc>
      </w:tr>
      <w:tr>
        <w:tc>
          <w:tcPr>
            <w:tcW w:type="dxa" w:w="1949"/>
          </w:tcPr>
          <w:p>
            <w:pPr>
              <w:spacing w:line="240" w:lineRule="auto"/>
            </w:pPr>
            <w:r/>
            <w:r>
              <w:rPr>
                <w:rFonts w:ascii="宋体" w:hAnsi="宋体" w:eastAsia="宋体"/>
                <w:b w:val="0"/>
                <w:sz w:val="16"/>
              </w:rPr>
              <w:t>变异明确度</w:t>
            </w:r>
          </w:p>
        </w:tc>
        <w:tc>
          <w:tcPr>
            <w:tcW w:type="dxa" w:w="1949"/>
          </w:tcPr>
          <w:p>
            <w:pPr>
              <w:spacing w:line="240" w:lineRule="auto"/>
            </w:pPr>
            <w:r/>
            <w:r>
              <w:rPr>
                <w:rFonts w:ascii="宋体" w:hAnsi="宋体" w:eastAsia="宋体"/>
                <w:b w:val="0"/>
                <w:sz w:val="16"/>
              </w:rPr>
              <w:t>低分辨率 QTL 区间、GWAS 峰、最近基因注释或候选基因；因果变异未知。</w:t>
            </w:r>
          </w:p>
        </w:tc>
        <w:tc>
          <w:tcPr>
            <w:tcW w:type="dxa" w:w="1949"/>
          </w:tcPr>
          <w:p>
            <w:pPr>
              <w:spacing w:line="240" w:lineRule="auto"/>
            </w:pPr>
            <w:r/>
            <w:r>
              <w:rPr>
                <w:rFonts w:ascii="宋体" w:hAnsi="宋体" w:eastAsia="宋体"/>
                <w:b w:val="0"/>
                <w:sz w:val="16"/>
              </w:rPr>
              <w:t>候选区域已缩小，存在较可信候选变异、单倍型或结构变异，但 LD、分型或因果归属仍未充分排除。</w:t>
            </w:r>
          </w:p>
        </w:tc>
        <w:tc>
          <w:tcPr>
            <w:tcW w:type="dxa" w:w="1949"/>
          </w:tcPr>
          <w:p>
            <w:pPr>
              <w:spacing w:line="240" w:lineRule="auto"/>
            </w:pPr>
            <w:r/>
            <w:r>
              <w:rPr>
                <w:rFonts w:ascii="宋体" w:hAnsi="宋体" w:eastAsia="宋体"/>
                <w:b w:val="0"/>
                <w:sz w:val="16"/>
              </w:rPr>
              <w:t>候选变异、单倍型或结构变异相对明确，分型较可靠，并与机制证据或功能线索互相支持。</w:t>
            </w:r>
          </w:p>
        </w:tc>
        <w:tc>
          <w:tcPr>
            <w:tcW w:type="dxa" w:w="1949"/>
          </w:tcPr>
          <w:p>
            <w:pPr>
              <w:spacing w:line="240" w:lineRule="auto"/>
            </w:pPr>
            <w:r/>
            <w:r>
              <w:rPr>
                <w:rFonts w:ascii="宋体" w:hAnsi="宋体" w:eastAsia="宋体"/>
                <w:b w:val="0"/>
                <w:sz w:val="16"/>
              </w:rPr>
              <w:t>variant-level A 要求因果变异或单倍型证据较完整；gene/target-level A 要求功能靶点明确。</w:t>
            </w:r>
          </w:p>
        </w:tc>
      </w:tr>
      <w:tr>
        <w:tc>
          <w:tcPr>
            <w:tcW w:type="dxa" w:w="1949"/>
          </w:tcPr>
          <w:p>
            <w:pPr>
              <w:spacing w:line="240" w:lineRule="auto"/>
            </w:pPr>
            <w:r/>
            <w:r>
              <w:rPr>
                <w:rFonts w:ascii="宋体" w:hAnsi="宋体" w:eastAsia="宋体"/>
                <w:b w:val="0"/>
                <w:sz w:val="16"/>
              </w:rPr>
              <w:t>统计重复性与稳健性</w:t>
            </w:r>
          </w:p>
        </w:tc>
        <w:tc>
          <w:tcPr>
            <w:tcW w:type="dxa" w:w="1949"/>
          </w:tcPr>
          <w:p>
            <w:pPr>
              <w:spacing w:line="240" w:lineRule="auto"/>
            </w:pPr>
            <w:r/>
            <w:r>
              <w:rPr>
                <w:rFonts w:ascii="宋体" w:hAnsi="宋体" w:eastAsia="宋体"/>
                <w:b w:val="0"/>
                <w:sz w:val="16"/>
              </w:rPr>
              <w:t>单一群体、单一批次或单一模型发现；群体结构、表型定义或样本量可能影响结果。</w:t>
            </w:r>
          </w:p>
        </w:tc>
        <w:tc>
          <w:tcPr>
            <w:tcW w:type="dxa" w:w="1949"/>
          </w:tcPr>
          <w:p>
            <w:pPr>
              <w:spacing w:line="240" w:lineRule="auto"/>
            </w:pPr>
            <w:r/>
            <w:r>
              <w:rPr>
                <w:rFonts w:ascii="宋体" w:hAnsi="宋体" w:eastAsia="宋体"/>
                <w:b w:val="0"/>
                <w:sz w:val="16"/>
              </w:rPr>
              <w:t>在独立群体、相关性状、不同生产阶段或有限外部研究中有方向一致的支持。</w:t>
            </w:r>
          </w:p>
        </w:tc>
        <w:tc>
          <w:tcPr>
            <w:tcW w:type="dxa" w:w="1949"/>
          </w:tcPr>
          <w:p>
            <w:pPr>
              <w:spacing w:line="240" w:lineRule="auto"/>
            </w:pPr>
            <w:r/>
            <w:r>
              <w:rPr>
                <w:rFonts w:ascii="宋体" w:hAnsi="宋体" w:eastAsia="宋体"/>
                <w:b w:val="0"/>
                <w:sz w:val="16"/>
              </w:rPr>
              <w:t>多群体、多阶段、多性状或多模型证据相互支持，但仍需要更强因果验证。</w:t>
            </w:r>
          </w:p>
        </w:tc>
        <w:tc>
          <w:tcPr>
            <w:tcW w:type="dxa" w:w="1949"/>
          </w:tcPr>
          <w:p>
            <w:pPr>
              <w:spacing w:line="240" w:lineRule="auto"/>
            </w:pPr>
            <w:r/>
            <w:r>
              <w:rPr>
                <w:rFonts w:ascii="宋体" w:hAnsi="宋体" w:eastAsia="宋体"/>
                <w:b w:val="0"/>
                <w:sz w:val="16"/>
              </w:rPr>
              <w:t>统计证据与机制证据、功能证据方向一致；跨群体稳健性有助于提高可信度，但不能替代功能验证。</w:t>
            </w:r>
          </w:p>
        </w:tc>
      </w:tr>
      <w:tr>
        <w:tc>
          <w:tcPr>
            <w:tcW w:type="dxa" w:w="1949"/>
          </w:tcPr>
          <w:p>
            <w:pPr>
              <w:spacing w:line="240" w:lineRule="auto"/>
            </w:pPr>
            <w:r/>
            <w:r>
              <w:rPr>
                <w:rFonts w:ascii="宋体" w:hAnsi="宋体" w:eastAsia="宋体"/>
                <w:b w:val="0"/>
                <w:sz w:val="16"/>
              </w:rPr>
              <w:t>分子机制支持</w:t>
            </w:r>
          </w:p>
        </w:tc>
        <w:tc>
          <w:tcPr>
            <w:tcW w:type="dxa" w:w="1949"/>
          </w:tcPr>
          <w:p>
            <w:pPr>
              <w:spacing w:line="240" w:lineRule="auto"/>
            </w:pPr>
            <w:r/>
            <w:r>
              <w:rPr>
                <w:rFonts w:ascii="宋体" w:hAnsi="宋体" w:eastAsia="宋体"/>
                <w:b w:val="0"/>
                <w:sz w:val="16"/>
              </w:rPr>
              <w:t>最近基因注释、普通差异表达、通路富集或低分辨率功能注释。</w:t>
            </w:r>
          </w:p>
        </w:tc>
        <w:tc>
          <w:tcPr>
            <w:tcW w:type="dxa" w:w="1949"/>
          </w:tcPr>
          <w:p>
            <w:pPr>
              <w:spacing w:line="240" w:lineRule="auto"/>
            </w:pPr>
            <w:r/>
            <w:r>
              <w:rPr>
                <w:rFonts w:ascii="宋体" w:hAnsi="宋体" w:eastAsia="宋体"/>
                <w:b w:val="0"/>
                <w:sz w:val="16"/>
              </w:rPr>
              <w:t>目标组织表达、染色质开放、细胞类型定位、3D 互作或调控元件证据与候选信号相符。</w:t>
            </w:r>
          </w:p>
        </w:tc>
        <w:tc>
          <w:tcPr>
            <w:tcW w:type="dxa" w:w="1949"/>
          </w:tcPr>
          <w:p>
            <w:pPr>
              <w:spacing w:line="240" w:lineRule="auto"/>
            </w:pPr>
            <w:r/>
            <w:r>
              <w:rPr>
                <w:rFonts w:ascii="宋体" w:hAnsi="宋体" w:eastAsia="宋体"/>
                <w:b w:val="0"/>
                <w:sz w:val="16"/>
              </w:rPr>
              <w:t>分子 QTL 共定位、等位基因特异表达、等位基因特异调控或多个机制证据形成同向支持。</w:t>
            </w:r>
          </w:p>
        </w:tc>
        <w:tc>
          <w:tcPr>
            <w:tcW w:type="dxa" w:w="1949"/>
          </w:tcPr>
          <w:p>
            <w:pPr>
              <w:spacing w:line="240" w:lineRule="auto"/>
            </w:pPr>
            <w:r/>
            <w:r>
              <w:rPr>
                <w:rFonts w:ascii="宋体" w:hAnsi="宋体" w:eastAsia="宋体"/>
                <w:b w:val="0"/>
                <w:sz w:val="16"/>
              </w:rPr>
              <w:t>机制证据能够连接变异或靶点、分子效应和表型后果，并与强功能验证一致。</w:t>
            </w:r>
          </w:p>
        </w:tc>
      </w:tr>
      <w:tr>
        <w:tc>
          <w:tcPr>
            <w:tcW w:type="dxa" w:w="1949"/>
          </w:tcPr>
          <w:p>
            <w:pPr>
              <w:spacing w:line="240" w:lineRule="auto"/>
            </w:pPr>
            <w:r/>
            <w:r>
              <w:rPr>
                <w:rFonts w:ascii="宋体" w:hAnsi="宋体" w:eastAsia="宋体"/>
                <w:b w:val="0"/>
                <w:sz w:val="16"/>
              </w:rPr>
              <w:t>功能验证强度</w:t>
            </w:r>
          </w:p>
        </w:tc>
        <w:tc>
          <w:tcPr>
            <w:tcW w:type="dxa" w:w="1949"/>
          </w:tcPr>
          <w:p>
            <w:pPr>
              <w:spacing w:line="240" w:lineRule="auto"/>
            </w:pPr>
            <w:r/>
            <w:r>
              <w:rPr>
                <w:rFonts w:ascii="宋体" w:hAnsi="宋体" w:eastAsia="宋体"/>
                <w:b w:val="0"/>
                <w:sz w:val="16"/>
              </w:rPr>
              <w:t>无扰动实验；仅有相关性观察。</w:t>
            </w:r>
          </w:p>
        </w:tc>
        <w:tc>
          <w:tcPr>
            <w:tcW w:type="dxa" w:w="1949"/>
          </w:tcPr>
          <w:p>
            <w:pPr>
              <w:spacing w:line="240" w:lineRule="auto"/>
            </w:pPr>
            <w:r/>
            <w:r>
              <w:rPr>
                <w:rFonts w:ascii="宋体" w:hAnsi="宋体" w:eastAsia="宋体"/>
                <w:b w:val="0"/>
                <w:sz w:val="16"/>
              </w:rPr>
              <w:t>报告基因、MPRA、过表达、敲低、细胞模型、CRISPRa/i 或体外实验提供初步功能支持。</w:t>
            </w:r>
          </w:p>
        </w:tc>
        <w:tc>
          <w:tcPr>
            <w:tcW w:type="dxa" w:w="1949"/>
          </w:tcPr>
          <w:p>
            <w:pPr>
              <w:spacing w:line="240" w:lineRule="auto"/>
            </w:pPr>
            <w:r/>
            <w:r>
              <w:rPr>
                <w:rFonts w:ascii="宋体" w:hAnsi="宋体" w:eastAsia="宋体"/>
                <w:b w:val="0"/>
                <w:sz w:val="16"/>
              </w:rPr>
              <w:t>多种中等强度功能证据互相印证，但缺少内源、体内或自然变异层面的强验证。</w:t>
            </w:r>
          </w:p>
        </w:tc>
        <w:tc>
          <w:tcPr>
            <w:tcW w:type="dxa" w:w="1949"/>
          </w:tcPr>
          <w:p>
            <w:pPr>
              <w:spacing w:line="240" w:lineRule="auto"/>
            </w:pPr>
            <w:r/>
            <w:r>
              <w:rPr>
                <w:rFonts w:ascii="宋体" w:hAnsi="宋体" w:eastAsia="宋体"/>
                <w:b w:val="0"/>
                <w:sz w:val="16"/>
              </w:rPr>
              <w:t>硬门槛：内源编辑、自然突变或等位基因导入、PGC 编辑、体内模型、救援实验，或同等说服力的体内因果证据。</w:t>
            </w:r>
          </w:p>
        </w:tc>
      </w:tr>
    </w:tbl>
    <w:p/>
    <w:p>
      <w:pPr>
        <w:pStyle w:val="Heading3"/>
        <w:jc w:val="left"/>
      </w:pPr>
      <w:r>
        <w:rPr>
          <w:rFonts w:ascii="宋体" w:hAnsi="宋体" w:eastAsia="宋体"/>
          <w:b/>
          <w:sz w:val="24"/>
        </w:rPr>
        <w:t>3.1 四个证据维度</w:t>
      </w:r>
    </w:p>
    <w:p>
      <w:pPr>
        <w:spacing w:line="300" w:lineRule="auto"/>
        <w:ind w:firstLine="420"/>
      </w:pPr>
      <w:r>
        <w:rPr>
          <w:rFonts w:ascii="宋体" w:hAnsi="宋体" w:eastAsia="宋体"/>
          <w:b w:val="0"/>
          <w:sz w:val="21"/>
        </w:rPr>
        <w:t>变异明确度评价候选信号是否已经从宽泛的 QTL 区间、GWAS 峰或最近基因注释推进到具体等位变异、结构变异、单倍型或可验证靶点。对于自然群体中的育种标记，variant-level 证据比 region-level 或 gene-level 证据更接近应用。</w:t>
      </w:r>
    </w:p>
    <w:p>
      <w:pPr>
        <w:spacing w:line="300" w:lineRule="auto"/>
        <w:ind w:firstLine="420"/>
      </w:pPr>
      <w:r>
        <w:rPr>
          <w:rFonts w:ascii="宋体" w:hAnsi="宋体" w:eastAsia="宋体"/>
          <w:b w:val="0"/>
          <w:sz w:val="21"/>
        </w:rPr>
        <w:t>统计重复性与稳健性评价信号是否能在独立群体、相关性状、不同生产阶段、不同模型或不同环境中保持方向一致。单一群体发现的显著信号容易受到样本量、群体结构、表型定义和统计模型影响；重复性可以提高可信度，但不能替代机制证据和功能验证。</w:t>
      </w:r>
    </w:p>
    <w:p>
      <w:pPr>
        <w:spacing w:line="300" w:lineRule="auto"/>
        <w:ind w:firstLine="420"/>
      </w:pPr>
      <w:r>
        <w:rPr>
          <w:rFonts w:ascii="宋体" w:hAnsi="宋体" w:eastAsia="宋体"/>
          <w:b w:val="0"/>
          <w:sz w:val="21"/>
        </w:rPr>
        <w:t>分子机制支持评价候选变异或靶点是否能连接到目标组织、细胞类型、表达、剪接、调控元件、染色质状态或三维互作。机制支持的关键不是“附近有相关基因”，而是不同证据之间是否方向一致，并能解释为什么该变异或靶点可能影响表型。</w:t>
      </w:r>
    </w:p>
    <w:p>
      <w:pPr>
        <w:spacing w:line="300" w:lineRule="auto"/>
        <w:ind w:firstLine="420"/>
      </w:pPr>
      <w:r>
        <w:rPr>
          <w:rFonts w:ascii="宋体" w:hAnsi="宋体" w:eastAsia="宋体"/>
          <w:b w:val="0"/>
          <w:sz w:val="21"/>
        </w:rPr>
        <w:t>功能验证强度评价候选变异或靶点是否在扰动实验、内源背景和体内表型中经受检验。报告基因和细胞模型属于中等强度证据；内源编辑、等位基因替换、体内模型、救援实验和目标群体效应验证则更接近 A 级所需的强因果证据。</w:t>
      </w:r>
    </w:p>
    <w:p>
      <w:pPr>
        <w:pStyle w:val="Heading3"/>
        <w:jc w:val="left"/>
      </w:pPr>
      <w:r>
        <w:rPr>
          <w:rFonts w:ascii="宋体" w:hAnsi="宋体" w:eastAsia="宋体"/>
          <w:b/>
          <w:sz w:val="24"/>
        </w:rPr>
        <w:t>3.2 C、B、B+ 和 A 四级证据</w:t>
      </w:r>
    </w:p>
    <w:p>
      <w:pPr>
        <w:spacing w:line="300" w:lineRule="auto"/>
        <w:ind w:firstLine="420"/>
      </w:pPr>
      <w:r>
        <w:rPr>
          <w:rFonts w:ascii="宋体" w:hAnsi="宋体" w:eastAsia="宋体"/>
          <w:b w:val="0"/>
          <w:sz w:val="21"/>
        </w:rPr>
        <w:t>C 级是默认等级，主要指候选线索。单一 GWAS、QTL、选择信号、RNA-seq 差异表达、通路富集、最近基因注释或低分辨率候选区，在缺少独立重复、明确变异、机制互证和功能验证时，均应首先归为 C。C 级不是没有价值，它适合提出假设、构建候选池和指导后续验证，但不宜直接写成因果基因或育种标记。</w:t>
      </w:r>
    </w:p>
    <w:p>
      <w:pPr>
        <w:spacing w:line="300" w:lineRule="auto"/>
        <w:ind w:firstLine="420"/>
      </w:pPr>
      <w:r>
        <w:rPr>
          <w:rFonts w:ascii="宋体" w:hAnsi="宋体" w:eastAsia="宋体"/>
          <w:b w:val="0"/>
          <w:sz w:val="21"/>
        </w:rPr>
        <w:t>B 级表示候选信号已经超越单一发现线索，具有一定统计重复性或机制支持。典型 B 级证据包括独立群体或相关性状中的重复、目标组织表达或分子 QTL 支持、等位基因特异表达线索、调控元件证据，或报告基因、细胞模型等中等强度功能实验。B 级候选适合精细定位、跨群体验证和功能实验优先排序。</w:t>
      </w:r>
    </w:p>
    <w:p>
      <w:pPr>
        <w:spacing w:line="300" w:lineRule="auto"/>
        <w:ind w:firstLine="420"/>
      </w:pPr>
      <w:r>
        <w:rPr>
          <w:rFonts w:ascii="宋体" w:hAnsi="宋体" w:eastAsia="宋体"/>
          <w:b w:val="0"/>
          <w:sz w:val="21"/>
        </w:rPr>
        <w:t>B+ 是 B 级内部的高验证优先级，而不是“准 A 级”。它用于描述证据链已经较集中、验证价值较高，但仍缺少内源、体内或自然变异层面强验证的候选位点。操作上，B+ 通常要求变异明确度、机制支持或功能线索中至少两个关键维度较强，并且不同证据之间能够相互印证；只要没有触及 A 级硬门槛，就不应升为 A。</w:t>
      </w:r>
    </w:p>
    <w:p>
      <w:pPr>
        <w:spacing w:line="300" w:lineRule="auto"/>
        <w:ind w:firstLine="420"/>
      </w:pPr>
      <w:r>
        <w:rPr>
          <w:rFonts w:ascii="宋体" w:hAnsi="宋体" w:eastAsia="宋体"/>
          <w:b w:val="0"/>
          <w:sz w:val="21"/>
        </w:rPr>
        <w:t>A 级代表强证据，应严格使用。对于自然变异，A 级通常要求形成较完整的“变异或单倍型—分子功能—表型”链条，并具有内源编辑、自然突变或等位基因导入、PGC 编辑、体内模型、救援实验或同等强度证据。对于编辑靶点，若体内编辑或强扰动证明某基因影响目标表型，可以形成 gene/target-level A；但这不等同于自然群体中存在成熟可选标记。</w:t>
      </w:r>
    </w:p>
    <w:p>
      <w:pPr>
        <w:pStyle w:val="Heading3"/>
        <w:jc w:val="left"/>
      </w:pPr>
      <w:r>
        <w:rPr>
          <w:rFonts w:ascii="宋体" w:hAnsi="宋体" w:eastAsia="宋体"/>
          <w:b/>
          <w:sz w:val="24"/>
        </w:rPr>
        <w:t>3.3 T0/T1/T2：产业适用性不能混入证据等级</w:t>
      </w:r>
    </w:p>
    <w:p>
      <w:pPr>
        <w:spacing w:line="300" w:lineRule="auto"/>
        <w:ind w:firstLine="420"/>
      </w:pPr>
      <w:r>
        <w:rPr>
          <w:rFonts w:ascii="宋体" w:hAnsi="宋体" w:eastAsia="宋体"/>
          <w:b w:val="0"/>
          <w:sz w:val="21"/>
        </w:rPr>
        <w:t>C/B/B+/A 评价的是候选位点的生物学证据链，T0/T1/T2 评价的是该证据能否进入具体育种场景。两者必须分开，因为一个位点即使具备强功能证据，也可能因为目标群体频率低、效应不稳定、多性状副作用、福利风险、监管限制或市场不可接受而不适合应用。</w:t>
      </w:r>
    </w:p>
    <w:p>
      <w:pPr>
        <w:spacing w:line="300" w:lineRule="auto"/>
        <w:ind w:firstLine="420"/>
      </w:pPr>
      <w:r>
        <w:rPr>
          <w:rFonts w:ascii="宋体" w:hAnsi="宋体" w:eastAsia="宋体"/>
          <w:b w:val="0"/>
          <w:sz w:val="21"/>
        </w:rPr>
        <w:t>T0 表示目标育种群体和产业场景尚未验证。多数 C、B 和 B+ 位点默认处于 T0，它们可以作为机制研究对象、功能验证对象或 GS 功能先验，但不应直接进入确定性选择。T1 表示已经在特定目标群体或疾病背景下有初步验证，可用于试点评估或风险分层。T2 表示应用场景较成熟，但 T2 必须绑定具体场景，不允许泛化。</w:t>
      </w:r>
    </w:p>
    <w:p>
      <w:pPr>
        <w:spacing w:line="300" w:lineRule="auto"/>
        <w:ind w:firstLine="420"/>
      </w:pPr>
      <w:r>
        <w:rPr>
          <w:rFonts w:ascii="宋体" w:hAnsi="宋体" w:eastAsia="宋体"/>
          <w:b w:val="0"/>
          <w:sz w:val="21"/>
        </w:rPr>
        <w:t>例如，SLCO1B3 可在蓝壳管理场景中接近 T2，但这不意味着它能预测产蛋数或蛋壳强度；BCDO2 可用于肤色管理，但不能外推为肉质、抗病或地方适应综合能力。T 轴的核心作用，是阻止“强证据”被扩张到证据并未覆盖的应用目标。</w:t>
      </w:r>
    </w:p>
    <w:p>
      <w:pPr>
        <w:pStyle w:val="Heading3"/>
        <w:jc w:val="left"/>
      </w:pPr>
      <w:r>
        <w:rPr>
          <w:rFonts w:ascii="宋体" w:hAnsi="宋体" w:eastAsia="宋体"/>
          <w:b/>
          <w:sz w:val="24"/>
        </w:rPr>
        <w:t>3.4 variant-level A 与 gene/target-level A</w:t>
      </w:r>
    </w:p>
    <w:p>
      <w:pPr>
        <w:spacing w:line="300" w:lineRule="auto"/>
        <w:ind w:firstLine="420"/>
      </w:pPr>
      <w:r>
        <w:rPr>
          <w:rFonts w:ascii="宋体" w:hAnsi="宋体" w:eastAsia="宋体"/>
          <w:b w:val="0"/>
          <w:sz w:val="21"/>
        </w:rPr>
        <w:t>variant-level A 解决的是“自然变异是否具有强证据”，最接近功能标记或主效位点管理；gene/target-level A 解决的是“基因或靶点是否具有强功能作用”，常出现在编辑、敲除或强扰动研究中。二者都可以是强证据，但不能互相替代。</w:t>
      </w:r>
    </w:p>
    <w:p>
      <w:pPr>
        <w:spacing w:line="300" w:lineRule="auto"/>
        <w:ind w:firstLine="420"/>
      </w:pPr>
      <w:r>
        <w:rPr>
          <w:rFonts w:ascii="宋体" w:hAnsi="宋体" w:eastAsia="宋体"/>
          <w:b w:val="0"/>
          <w:sz w:val="21"/>
        </w:rPr>
        <w:t>ANP32A 是这种区分的典型案例。编辑或强扰动可证明 ANP32A 是禽流感病毒复制和宿主适配的重要靶点，但这并不说明自然群体中已经存在可直接选择的抗病等位变异。若不区分证据层级，就会把编辑靶点证据误写成常规标记辅助选择证据。</w:t>
      </w:r>
    </w:p>
    <w:p>
      <w:pPr>
        <w:pStyle w:val="Heading3"/>
        <w:jc w:val="left"/>
      </w:pPr>
      <w:r>
        <w:rPr>
          <w:rFonts w:ascii="宋体" w:hAnsi="宋体" w:eastAsia="宋体"/>
          <w:b/>
          <w:sz w:val="24"/>
        </w:rPr>
        <w:t>3.5 框架局限</w:t>
      </w:r>
    </w:p>
    <w:p>
      <w:pPr>
        <w:spacing w:line="300" w:lineRule="auto"/>
        <w:ind w:firstLine="420"/>
      </w:pPr>
      <w:r>
        <w:rPr>
          <w:rFonts w:ascii="宋体" w:hAnsi="宋体" w:eastAsia="宋体"/>
          <w:b w:val="0"/>
          <w:sz w:val="21"/>
        </w:rPr>
        <w:t>本文框架定位为启发式判断工具，而非经过信度验证的量表。不同研究者对重复性、机制支持和功能验证强度的判断可能存在差异；不同性状的表型复杂度、验证难度和产业场景也不相同。因此，本文的 C/B/B+/A 和 T0/T1/T2 更适合作为结构化叙述综述的操作语言，而不是正式指南。</w:t>
      </w:r>
    </w:p>
    <w:p>
      <w:pPr>
        <w:spacing w:line="300" w:lineRule="auto"/>
        <w:ind w:firstLine="420"/>
      </w:pPr>
      <w:r>
        <w:rPr>
          <w:rFonts w:ascii="宋体" w:hAnsi="宋体" w:eastAsia="宋体"/>
          <w:b w:val="0"/>
          <w:sz w:val="21"/>
        </w:rPr>
        <w:t>要把该框架发展为数据库标注或指南工具，还需要预先注册评分规则，建立覆盖不同性状类型的基准位点集，由多名独立评估者盲法评分，并报告一致性指标（Strande et al., 2017）。在此之前，框架的主要价值是减少概念混淆，让候选线索、验证优先对象和可转化标记在文字上被清楚区分。</w:t>
      </w:r>
    </w:p>
    <w:p>
      <w:pPr>
        <w:pStyle w:val="Heading2"/>
        <w:jc w:val="left"/>
      </w:pPr>
      <w:r>
        <w:rPr>
          <w:rFonts w:ascii="宋体" w:hAnsi="宋体" w:eastAsia="宋体"/>
          <w:b/>
          <w:sz w:val="24"/>
        </w:rPr>
        <w:t>4 代表性案例的证据校准</w:t>
      </w:r>
    </w:p>
    <w:p>
      <w:pPr>
        <w:spacing w:line="300" w:lineRule="auto"/>
        <w:ind w:firstLine="420"/>
      </w:pPr>
      <w:r>
        <w:rPr>
          <w:rFonts w:ascii="宋体" w:hAnsi="宋体" w:eastAsia="宋体"/>
          <w:b w:val="0"/>
          <w:sz w:val="21"/>
        </w:rPr>
        <w:t>本章不再按性状穷举候选基因，而是按证据组合校准框架边界。正文只保留能说明 C、B、B+、A 和 T0/T1/T2 差异的关键案例；其他候选集合放入补充表。</w:t>
      </w:r>
    </w:p>
    <w:p>
      <w:pPr>
        <w:pStyle w:val="Heading3"/>
        <w:jc w:val="left"/>
      </w:pPr>
      <w:r>
        <w:rPr>
          <w:rFonts w:ascii="宋体" w:hAnsi="宋体" w:eastAsia="宋体"/>
          <w:b/>
          <w:sz w:val="24"/>
        </w:rPr>
        <w:t>4.1 variant-level A：少数主效可见表型</w:t>
      </w:r>
    </w:p>
    <w:p>
      <w:pPr>
        <w:spacing w:line="300" w:lineRule="auto"/>
        <w:ind w:firstLine="420"/>
      </w:pPr>
      <w:r>
        <w:rPr>
          <w:rFonts w:ascii="宋体" w:hAnsi="宋体" w:eastAsia="宋体"/>
          <w:b w:val="0"/>
          <w:sz w:val="21"/>
        </w:rPr>
        <w:t>家鸡中最清楚的 variant-level A 证据主要集中在少数主效可见表型。蓝壳 SLCO1B3 EAV-HP 插入把具体插入变异、壳腺特异表达、胆绿素沉积和蓝壳表型连接起来，是本文最明确的 A 级样板之一（Wang Z. et al., 2013）。它可以支撑壳色识别和品种特征管理，但不能外推到产蛋数、蛋壳强度或综合蛋品质。</w:t>
      </w:r>
    </w:p>
    <w:p>
      <w:pPr>
        <w:spacing w:line="300" w:lineRule="auto"/>
        <w:ind w:firstLine="420"/>
      </w:pPr>
      <w:r>
        <w:rPr>
          <w:rFonts w:ascii="宋体" w:hAnsi="宋体" w:eastAsia="宋体"/>
          <w:b w:val="0"/>
          <w:sz w:val="21"/>
        </w:rPr>
        <w:t>黄肤 BCDO2 同样形成较完整证据链。该性状与 BCDO2 在皮肤中的组织特异性调控变异有关，影响类胡萝卜素代谢和皮肤色素沉积（Eriksson et al., 2008）。其 T2 场景应限定于肤色管理、品种特征和相关商品分级，不能扩张为生长、肉质或地方适应综合能力。</w:t>
      </w:r>
    </w:p>
    <w:p>
      <w:pPr>
        <w:spacing w:line="300" w:lineRule="auto"/>
        <w:ind w:firstLine="420"/>
      </w:pPr>
      <w:r>
        <w:rPr>
          <w:rFonts w:ascii="宋体" w:hAnsi="宋体" w:eastAsia="宋体"/>
          <w:b w:val="0"/>
          <w:sz w:val="21"/>
        </w:rPr>
        <w:t>EDN3 纤维黑变和 SOX5 豌豆冠进一步说明，非编码或结构变异也可以达到 A 级。前者与 EDN3 相关复杂结构变异和异常表达有关，后者与 SOX5 内含子重复序列扩增有关（Wright et al., 2009；Dorshorst et al., 2011）。这些案例共同表明，A 级证据并不限于编码突变，但必须有清楚的变异、分子功能和表型链条。</w:t>
      </w:r>
    </w:p>
    <w:p>
      <w:pPr>
        <w:pStyle w:val="Heading3"/>
        <w:jc w:val="left"/>
      </w:pPr>
      <w:r>
        <w:rPr>
          <w:rFonts w:ascii="宋体" w:hAnsi="宋体" w:eastAsia="宋体"/>
          <w:b/>
          <w:sz w:val="24"/>
        </w:rPr>
        <w:t>4.2 B+：高验证优先级，但不能直接应用</w:t>
      </w:r>
    </w:p>
    <w:p>
      <w:pPr>
        <w:spacing w:line="300" w:lineRule="auto"/>
        <w:ind w:firstLine="420"/>
      </w:pPr>
      <w:r>
        <w:rPr>
          <w:rFonts w:ascii="宋体" w:hAnsi="宋体" w:eastAsia="宋体"/>
          <w:b w:val="0"/>
          <w:sz w:val="21"/>
        </w:rPr>
        <w:t>IGF2BP1 启动子缺失是生长方向 B+ 候选的代表。该研究将参考基因组未充分代表的启动子缺失、IGF2BP1 表达、启动子活性和体型差异联系起来，并在 Gushi×Anak F2 扩大群体中显示多个体型和胴体性状关联（Wang K. et al., 2021）。其证据明显强于普通 GWAS 邻近基因注释，但仍缺少内源编辑、等位基因导入和主流商业群体中的多性状评估，因此不宜直接写成成熟 MAS 标记。</w:t>
      </w:r>
    </w:p>
    <w:p>
      <w:pPr>
        <w:spacing w:line="300" w:lineRule="auto"/>
        <w:ind w:firstLine="420"/>
      </w:pPr>
      <w:r>
        <w:rPr>
          <w:rFonts w:ascii="宋体" w:hAnsi="宋体" w:eastAsia="宋体"/>
          <w:b w:val="0"/>
          <w:sz w:val="21"/>
        </w:rPr>
        <w:t>rs734209466-IGFBP2/IGFBP5 调控链提供了脂肪沉积方向的 B+ 案例。该研究把非编码变异、等位基因特异增强子、三维调控、靶基因表达和脂前体细胞功能联系起来（Shen et al., 2024）。不过，腹脂沉积具有明确目标依赖性，降低脂肪并不自动等于提高综合育种价值；后续仍需内源验证、跨群体自然变异验证和肉质、繁殖、代谢稳态等多性状评估。</w:t>
      </w:r>
    </w:p>
    <w:p>
      <w:pPr>
        <w:spacing w:line="300" w:lineRule="auto"/>
        <w:ind w:firstLine="420"/>
      </w:pPr>
      <w:r>
        <w:rPr>
          <w:rFonts w:ascii="宋体" w:hAnsi="宋体" w:eastAsia="宋体"/>
          <w:b w:val="0"/>
          <w:sz w:val="21"/>
        </w:rPr>
        <w:t>TSHR 则说明驯化相关强信号不能自动进入现代商业育种。TSHR G558R 等变异与家鸡驯化、繁殖季节性改变和光周期反应相关（Rubin et al., 2010），但其对现代商业产蛋性状或地方适应性状的效应仍需目标群体验证。它更适合作为驯化机制和地方品种保护研究中的 B+ 案例，而不是直接写成商业生产中的 A 级标记。</w:t>
      </w:r>
    </w:p>
    <w:p>
      <w:pPr>
        <w:pStyle w:val="Heading3"/>
        <w:jc w:val="left"/>
      </w:pPr>
      <w:r>
        <w:rPr>
          <w:rFonts w:ascii="宋体" w:hAnsi="宋体" w:eastAsia="宋体"/>
          <w:b/>
          <w:sz w:val="24"/>
        </w:rPr>
        <w:t>4.3 B 或 C-B：机制候选和候选池</w:t>
      </w:r>
    </w:p>
    <w:p>
      <w:pPr>
        <w:spacing w:line="300" w:lineRule="auto"/>
        <w:ind w:firstLine="420"/>
      </w:pPr>
      <w:r>
        <w:rPr>
          <w:rFonts w:ascii="宋体" w:hAnsi="宋体" w:eastAsia="宋体"/>
          <w:b w:val="0"/>
          <w:sz w:val="21"/>
        </w:rPr>
        <w:t>PHIP 非编码变异代表产蛋方向的 B 级候选。现有证据尝试把非编码变异、转录因子结合、PHIP 表达变化和卵巢颗粒细胞相关功能联系起来（Wang D. et al., 2025），但仍缺少等位基因特异互证、内源编辑、体内因果验证和跨群体纵向产蛋记录。它可以作为卵巢功能机制研究和目标群体验证对象，不宜写成产蛋数量成熟标记。</w:t>
      </w:r>
    </w:p>
    <w:p>
      <w:pPr>
        <w:spacing w:line="300" w:lineRule="auto"/>
        <w:ind w:firstLine="420"/>
      </w:pPr>
      <w:r>
        <w:rPr>
          <w:rFonts w:ascii="宋体" w:hAnsi="宋体" w:eastAsia="宋体"/>
          <w:b w:val="0"/>
          <w:sz w:val="21"/>
        </w:rPr>
        <w:t>MSTN 适合作为 gene-level 与 variant-level 区分的教学性案例。MSTN 在哺乳动物肌肉发育中具有强功能证据，跨物种研究支持其作为肌肉生长负调控因子的生物学重要性（Kambadur et al., 1997）。但是，在家鸡自然群体内，MSTN 相关信号不等同于已经存在类似主效自然变异。它能提高生物学合理性，却不能替代家鸡群体中的明确变异、等位基因效应和体内因果验证。</w:t>
      </w:r>
    </w:p>
    <w:p>
      <w:pPr>
        <w:spacing w:line="300" w:lineRule="auto"/>
        <w:ind w:firstLine="420"/>
      </w:pPr>
      <w:r>
        <w:rPr>
          <w:rFonts w:ascii="宋体" w:hAnsi="宋体" w:eastAsia="宋体"/>
          <w:b w:val="0"/>
          <w:sz w:val="21"/>
        </w:rPr>
        <w:t>多数复杂经济性状候选集合应按这一逻辑处理。IGF1、GHR、MYOD/MYF、FABP、PPARG、LPL、CAPN1、CAST、CCKAR 以及宿主-肠道微生物特征等，都可能具有研究价值，但如果不能改变等级判定，就应放入补充表，而不是在正文中逐个展开。</w:t>
      </w:r>
    </w:p>
    <w:p>
      <w:pPr>
        <w:pStyle w:val="Heading3"/>
        <w:jc w:val="left"/>
      </w:pPr>
      <w:r>
        <w:rPr>
          <w:rFonts w:ascii="宋体" w:hAnsi="宋体" w:eastAsia="宋体"/>
          <w:b/>
          <w:sz w:val="24"/>
        </w:rPr>
        <w:t>4.4 抗病性状中的证据层级不对称</w:t>
      </w:r>
    </w:p>
    <w:p>
      <w:pPr>
        <w:spacing w:line="300" w:lineRule="auto"/>
        <w:ind w:firstLine="420"/>
      </w:pPr>
      <w:r>
        <w:rPr>
          <w:rFonts w:ascii="宋体" w:hAnsi="宋体" w:eastAsia="宋体"/>
          <w:b w:val="0"/>
          <w:sz w:val="21"/>
        </w:rPr>
        <w:t>抗病与免疫性状必须绑定具体病原、感染模型和表型终点。MHC-B 是家鸡抗病遗传研究中最经典的免疫区域之一，不同单倍型与马立克氏病、抗体反应、疫苗应答和多种免疫性状有关（Briles and Briles, 1982；Kaufman et al., 1999）。它的证据更适合定位为 haplotype/region-level B+ / T1，而不是 variant-level A，因为高度多态、强连锁和基因密集使单一因果变异归属困难。</w:t>
      </w:r>
    </w:p>
    <w:p>
      <w:pPr>
        <w:spacing w:line="300" w:lineRule="auto"/>
        <w:ind w:firstLine="420"/>
      </w:pPr>
      <w:r>
        <w:rPr>
          <w:rFonts w:ascii="宋体" w:hAnsi="宋体" w:eastAsia="宋体"/>
          <w:b w:val="0"/>
          <w:sz w:val="21"/>
        </w:rPr>
        <w:t>ANP32A 是 gene/target-level 强证据的代表。编辑 ANP32A 可影响禽流感病毒聚合酶适配和复制，稳定编辑鸡在感染实验中表现出明显抗性变化，但也存在高剂量突破感染和病毒逃逸风险（Idoko-Akoh et al., 2023）。因此，ANP32A 可在 gene/target-level 达到 A，却不能被写成自然群体中已经可直接选择的抗病标记。</w:t>
      </w:r>
    </w:p>
    <w:p>
      <w:pPr>
        <w:spacing w:line="300" w:lineRule="auto"/>
        <w:ind w:firstLine="420"/>
      </w:pPr>
      <w:r>
        <w:rPr>
          <w:rFonts w:ascii="宋体" w:hAnsi="宋体" w:eastAsia="宋体"/>
          <w:b w:val="0"/>
          <w:sz w:val="21"/>
        </w:rPr>
        <w:t>TVB/NHE1 受体相关研究提供了另一种不对称模式。NHE1 精准编辑和 TVB 自然移码突变可改变鸡对特定 ALV 亚群的易感性（Lee et al., 2017；Li et al., 2018）。但其应用边界必须绑定病毒亚群、受体模型、自然群体频率、体内感染验证和产业风险，不能泛化为普适抗病标记。</w:t>
      </w:r>
    </w:p>
    <w:p>
      <w:pPr>
        <w:jc w:val="center"/>
      </w:pPr>
      <w:r>
        <w:rPr>
          <w:rFonts w:ascii="宋体" w:hAnsi="宋体" w:eastAsia="宋体"/>
          <w:b/>
          <w:sz w:val="21"/>
        </w:rPr>
        <w:t>表 2 代表性案例的证据校准矩阵</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tcPr>
          <w:p>
            <w:pPr>
              <w:spacing w:line="240" w:lineRule="auto"/>
            </w:pPr>
            <w:r/>
            <w:r>
              <w:rPr>
                <w:rFonts w:ascii="宋体" w:hAnsi="宋体" w:eastAsia="宋体"/>
                <w:b/>
                <w:sz w:val="16"/>
              </w:rPr>
              <w:t>证据组合</w:t>
            </w:r>
          </w:p>
        </w:tc>
        <w:tc>
          <w:tcPr>
            <w:tcW w:type="dxa" w:w="1949"/>
          </w:tcPr>
          <w:p>
            <w:pPr>
              <w:spacing w:line="240" w:lineRule="auto"/>
            </w:pPr>
            <w:r/>
            <w:r>
              <w:rPr>
                <w:rFonts w:ascii="宋体" w:hAnsi="宋体" w:eastAsia="宋体"/>
                <w:b/>
                <w:sz w:val="16"/>
              </w:rPr>
              <w:t>代表案例</w:t>
            </w:r>
          </w:p>
        </w:tc>
        <w:tc>
          <w:tcPr>
            <w:tcW w:type="dxa" w:w="1949"/>
          </w:tcPr>
          <w:p>
            <w:pPr>
              <w:spacing w:line="240" w:lineRule="auto"/>
            </w:pPr>
            <w:r/>
            <w:r>
              <w:rPr>
                <w:rFonts w:ascii="宋体" w:hAnsi="宋体" w:eastAsia="宋体"/>
                <w:b/>
                <w:sz w:val="16"/>
              </w:rPr>
              <w:t>当前定位</w:t>
            </w:r>
          </w:p>
        </w:tc>
        <w:tc>
          <w:tcPr>
            <w:tcW w:type="dxa" w:w="1949"/>
          </w:tcPr>
          <w:p>
            <w:pPr>
              <w:spacing w:line="240" w:lineRule="auto"/>
            </w:pPr>
            <w:r/>
            <w:r>
              <w:rPr>
                <w:rFonts w:ascii="宋体" w:hAnsi="宋体" w:eastAsia="宋体"/>
                <w:b/>
                <w:sz w:val="16"/>
              </w:rPr>
              <w:t>正文用途</w:t>
            </w:r>
          </w:p>
        </w:tc>
        <w:tc>
          <w:tcPr>
            <w:tcW w:type="dxa" w:w="1949"/>
          </w:tcPr>
          <w:p>
            <w:pPr>
              <w:spacing w:line="240" w:lineRule="auto"/>
            </w:pPr>
            <w:r/>
            <w:r>
              <w:rPr>
                <w:rFonts w:ascii="宋体" w:hAnsi="宋体" w:eastAsia="宋体"/>
                <w:b/>
                <w:sz w:val="16"/>
              </w:rPr>
              <w:t>不可越界的表述</w:t>
            </w:r>
          </w:p>
        </w:tc>
      </w:tr>
      <w:tr>
        <w:tc>
          <w:tcPr>
            <w:tcW w:type="dxa" w:w="1949"/>
          </w:tcPr>
          <w:p>
            <w:pPr>
              <w:spacing w:line="240" w:lineRule="auto"/>
            </w:pPr>
            <w:r/>
            <w:r>
              <w:rPr>
                <w:rFonts w:ascii="宋体" w:hAnsi="宋体" w:eastAsia="宋体"/>
                <w:b w:val="0"/>
                <w:sz w:val="16"/>
              </w:rPr>
              <w:t>variant-level A</w:t>
            </w:r>
          </w:p>
        </w:tc>
        <w:tc>
          <w:tcPr>
            <w:tcW w:type="dxa" w:w="1949"/>
          </w:tcPr>
          <w:p>
            <w:pPr>
              <w:spacing w:line="240" w:lineRule="auto"/>
            </w:pPr>
            <w:r/>
            <w:r>
              <w:rPr>
                <w:rFonts w:ascii="宋体" w:hAnsi="宋体" w:eastAsia="宋体"/>
                <w:b w:val="0"/>
                <w:sz w:val="16"/>
              </w:rPr>
              <w:t>SLCO1B3 EAV-HP 插入、BCDO2、EDN3、SOX5</w:t>
            </w:r>
          </w:p>
        </w:tc>
        <w:tc>
          <w:tcPr>
            <w:tcW w:type="dxa" w:w="1949"/>
          </w:tcPr>
          <w:p>
            <w:pPr>
              <w:spacing w:line="240" w:lineRule="auto"/>
            </w:pPr>
            <w:r/>
            <w:r>
              <w:rPr>
                <w:rFonts w:ascii="宋体" w:hAnsi="宋体" w:eastAsia="宋体"/>
                <w:b w:val="0"/>
                <w:sz w:val="16"/>
              </w:rPr>
              <w:t>A；多数为 T2，但限具体可见表型或品种特征场景</w:t>
            </w:r>
          </w:p>
        </w:tc>
        <w:tc>
          <w:tcPr>
            <w:tcW w:type="dxa" w:w="1949"/>
          </w:tcPr>
          <w:p>
            <w:pPr>
              <w:spacing w:line="240" w:lineRule="auto"/>
            </w:pPr>
            <w:r/>
            <w:r>
              <w:rPr>
                <w:rFonts w:ascii="宋体" w:hAnsi="宋体" w:eastAsia="宋体"/>
                <w:b w:val="0"/>
                <w:sz w:val="16"/>
              </w:rPr>
              <w:t>校准什么证据链可以称为 A</w:t>
            </w:r>
          </w:p>
        </w:tc>
        <w:tc>
          <w:tcPr>
            <w:tcW w:type="dxa" w:w="1949"/>
          </w:tcPr>
          <w:p>
            <w:pPr>
              <w:spacing w:line="240" w:lineRule="auto"/>
            </w:pPr>
            <w:r/>
            <w:r>
              <w:rPr>
                <w:rFonts w:ascii="宋体" w:hAnsi="宋体" w:eastAsia="宋体"/>
                <w:b w:val="0"/>
                <w:sz w:val="16"/>
              </w:rPr>
              <w:t>不能外推为产蛋数、生长、肉质、抗病或综合生产性能标记</w:t>
            </w:r>
          </w:p>
        </w:tc>
      </w:tr>
      <w:tr>
        <w:tc>
          <w:tcPr>
            <w:tcW w:type="dxa" w:w="1949"/>
          </w:tcPr>
          <w:p>
            <w:pPr>
              <w:spacing w:line="240" w:lineRule="auto"/>
            </w:pPr>
            <w:r/>
            <w:r>
              <w:rPr>
                <w:rFonts w:ascii="宋体" w:hAnsi="宋体" w:eastAsia="宋体"/>
                <w:b w:val="0"/>
                <w:sz w:val="16"/>
              </w:rPr>
              <w:t>B+ 高验证优先级</w:t>
            </w:r>
          </w:p>
        </w:tc>
        <w:tc>
          <w:tcPr>
            <w:tcW w:type="dxa" w:w="1949"/>
          </w:tcPr>
          <w:p>
            <w:pPr>
              <w:spacing w:line="240" w:lineRule="auto"/>
            </w:pPr>
            <w:r/>
            <w:r>
              <w:rPr>
                <w:rFonts w:ascii="宋体" w:hAnsi="宋体" w:eastAsia="宋体"/>
                <w:b w:val="0"/>
                <w:sz w:val="16"/>
              </w:rPr>
              <w:t>IGF2BP1 启动子缺失、rs734209466-IGFBP2/IGFBP5、TSHR</w:t>
            </w:r>
          </w:p>
        </w:tc>
        <w:tc>
          <w:tcPr>
            <w:tcW w:type="dxa" w:w="1949"/>
          </w:tcPr>
          <w:p>
            <w:pPr>
              <w:spacing w:line="240" w:lineRule="auto"/>
            </w:pPr>
            <w:r/>
            <w:r>
              <w:rPr>
                <w:rFonts w:ascii="宋体" w:hAnsi="宋体" w:eastAsia="宋体"/>
                <w:b w:val="0"/>
                <w:sz w:val="16"/>
              </w:rPr>
              <w:t>variant-level B+；多为 T0 或研究场景 T1</w:t>
            </w:r>
          </w:p>
        </w:tc>
        <w:tc>
          <w:tcPr>
            <w:tcW w:type="dxa" w:w="1949"/>
          </w:tcPr>
          <w:p>
            <w:pPr>
              <w:spacing w:line="240" w:lineRule="auto"/>
            </w:pPr>
            <w:r/>
            <w:r>
              <w:rPr>
                <w:rFonts w:ascii="宋体" w:hAnsi="宋体" w:eastAsia="宋体"/>
                <w:b w:val="0"/>
                <w:sz w:val="16"/>
              </w:rPr>
              <w:t>说明机制链较集中但仍缺强因果验证</w:t>
            </w:r>
          </w:p>
        </w:tc>
        <w:tc>
          <w:tcPr>
            <w:tcW w:type="dxa" w:w="1949"/>
          </w:tcPr>
          <w:p>
            <w:pPr>
              <w:spacing w:line="240" w:lineRule="auto"/>
            </w:pPr>
            <w:r/>
            <w:r>
              <w:rPr>
                <w:rFonts w:ascii="宋体" w:hAnsi="宋体" w:eastAsia="宋体"/>
                <w:b w:val="0"/>
                <w:sz w:val="16"/>
              </w:rPr>
              <w:t>不能直接写成成熟 MAS 标记或现代商业群体中的确定性因果位点</w:t>
            </w:r>
          </w:p>
        </w:tc>
      </w:tr>
      <w:tr>
        <w:tc>
          <w:tcPr>
            <w:tcW w:type="dxa" w:w="1949"/>
          </w:tcPr>
          <w:p>
            <w:pPr>
              <w:spacing w:line="240" w:lineRule="auto"/>
            </w:pPr>
            <w:r/>
            <w:r>
              <w:rPr>
                <w:rFonts w:ascii="宋体" w:hAnsi="宋体" w:eastAsia="宋体"/>
                <w:b w:val="0"/>
                <w:sz w:val="16"/>
              </w:rPr>
              <w:t>B 或 C-B 机制候选</w:t>
            </w:r>
          </w:p>
        </w:tc>
        <w:tc>
          <w:tcPr>
            <w:tcW w:type="dxa" w:w="1949"/>
          </w:tcPr>
          <w:p>
            <w:pPr>
              <w:spacing w:line="240" w:lineRule="auto"/>
            </w:pPr>
            <w:r/>
            <w:r>
              <w:rPr>
                <w:rFonts w:ascii="宋体" w:hAnsi="宋体" w:eastAsia="宋体"/>
                <w:b w:val="0"/>
                <w:sz w:val="16"/>
              </w:rPr>
              <w:t>PHIP、MSTN 及多数复杂经济性状候选集合</w:t>
            </w:r>
          </w:p>
        </w:tc>
        <w:tc>
          <w:tcPr>
            <w:tcW w:type="dxa" w:w="1949"/>
          </w:tcPr>
          <w:p>
            <w:pPr>
              <w:spacing w:line="240" w:lineRule="auto"/>
            </w:pPr>
            <w:r/>
            <w:r>
              <w:rPr>
                <w:rFonts w:ascii="宋体" w:hAnsi="宋体" w:eastAsia="宋体"/>
                <w:b w:val="0"/>
                <w:sz w:val="16"/>
              </w:rPr>
              <w:t>variant/gene-level B 或 C-B；T0</w:t>
            </w:r>
          </w:p>
        </w:tc>
        <w:tc>
          <w:tcPr>
            <w:tcW w:type="dxa" w:w="1949"/>
          </w:tcPr>
          <w:p>
            <w:pPr>
              <w:spacing w:line="240" w:lineRule="auto"/>
            </w:pPr>
            <w:r/>
            <w:r>
              <w:rPr>
                <w:rFonts w:ascii="宋体" w:hAnsi="宋体" w:eastAsia="宋体"/>
                <w:b w:val="0"/>
                <w:sz w:val="16"/>
              </w:rPr>
              <w:t>说明机制合理性和表达线索只能提高优先级</w:t>
            </w:r>
          </w:p>
        </w:tc>
        <w:tc>
          <w:tcPr>
            <w:tcW w:type="dxa" w:w="1949"/>
          </w:tcPr>
          <w:p>
            <w:pPr>
              <w:spacing w:line="240" w:lineRule="auto"/>
            </w:pPr>
            <w:r/>
            <w:r>
              <w:rPr>
                <w:rFonts w:ascii="宋体" w:hAnsi="宋体" w:eastAsia="宋体"/>
                <w:b w:val="0"/>
                <w:sz w:val="16"/>
              </w:rPr>
              <w:t>不能把候选基因合理性替代为自然变异因果证据</w:t>
            </w:r>
          </w:p>
        </w:tc>
      </w:tr>
      <w:tr>
        <w:tc>
          <w:tcPr>
            <w:tcW w:type="dxa" w:w="1949"/>
          </w:tcPr>
          <w:p>
            <w:pPr>
              <w:spacing w:line="240" w:lineRule="auto"/>
            </w:pPr>
            <w:r/>
            <w:r>
              <w:rPr>
                <w:rFonts w:ascii="宋体" w:hAnsi="宋体" w:eastAsia="宋体"/>
                <w:b w:val="0"/>
                <w:sz w:val="16"/>
              </w:rPr>
              <w:t>证据层级不对称</w:t>
            </w:r>
          </w:p>
        </w:tc>
        <w:tc>
          <w:tcPr>
            <w:tcW w:type="dxa" w:w="1949"/>
          </w:tcPr>
          <w:p>
            <w:pPr>
              <w:spacing w:line="240" w:lineRule="auto"/>
            </w:pPr>
            <w:r/>
            <w:r>
              <w:rPr>
                <w:rFonts w:ascii="宋体" w:hAnsi="宋体" w:eastAsia="宋体"/>
                <w:b w:val="0"/>
                <w:sz w:val="16"/>
              </w:rPr>
              <w:t>MHC-B、ANP32A、TVB/NHE1</w:t>
            </w:r>
          </w:p>
        </w:tc>
        <w:tc>
          <w:tcPr>
            <w:tcW w:type="dxa" w:w="1949"/>
          </w:tcPr>
          <w:p>
            <w:pPr>
              <w:spacing w:line="240" w:lineRule="auto"/>
            </w:pPr>
            <w:r/>
            <w:r>
              <w:rPr>
                <w:rFonts w:ascii="宋体" w:hAnsi="宋体" w:eastAsia="宋体"/>
                <w:b w:val="0"/>
                <w:sz w:val="16"/>
              </w:rPr>
              <w:t>haplotype/region 或 gene/target 层面强于 variant 层面</w:t>
            </w:r>
          </w:p>
        </w:tc>
        <w:tc>
          <w:tcPr>
            <w:tcW w:type="dxa" w:w="1949"/>
          </w:tcPr>
          <w:p>
            <w:pPr>
              <w:spacing w:line="240" w:lineRule="auto"/>
            </w:pPr>
            <w:r/>
            <w:r>
              <w:rPr>
                <w:rFonts w:ascii="宋体" w:hAnsi="宋体" w:eastAsia="宋体"/>
                <w:b w:val="0"/>
                <w:sz w:val="16"/>
              </w:rPr>
              <w:t>说明抗病性状中靶点、单倍型和自然变异必须分开评价</w:t>
            </w:r>
          </w:p>
        </w:tc>
        <w:tc>
          <w:tcPr>
            <w:tcW w:type="dxa" w:w="1949"/>
          </w:tcPr>
          <w:p>
            <w:pPr>
              <w:spacing w:line="240" w:lineRule="auto"/>
            </w:pPr>
            <w:r/>
            <w:r>
              <w:rPr>
                <w:rFonts w:ascii="宋体" w:hAnsi="宋体" w:eastAsia="宋体"/>
                <w:b w:val="0"/>
                <w:sz w:val="16"/>
              </w:rPr>
              <w:t>不能把 gene/target-level A 直接写成自然群体可选择标记</w:t>
            </w:r>
          </w:p>
        </w:tc>
      </w:tr>
    </w:tbl>
    <w:p/>
    <w:p>
      <w:pPr>
        <w:pStyle w:val="Heading3"/>
        <w:jc w:val="left"/>
      </w:pPr>
      <w:r>
        <w:rPr>
          <w:rFonts w:ascii="宋体" w:hAnsi="宋体" w:eastAsia="宋体"/>
          <w:b/>
          <w:sz w:val="24"/>
        </w:rPr>
        <w:t>4.5 复杂经济性状的现实证据上限</w:t>
      </w:r>
    </w:p>
    <w:p>
      <w:pPr>
        <w:spacing w:line="300" w:lineRule="auto"/>
        <w:ind w:firstLine="420"/>
      </w:pPr>
      <w:r>
        <w:rPr>
          <w:rFonts w:ascii="宋体" w:hAnsi="宋体" w:eastAsia="宋体"/>
          <w:b w:val="0"/>
          <w:sz w:val="21"/>
        </w:rPr>
        <w:t>就本文评估的代表性案例而言，家鸡候选位点证据并不是均匀分布的。variant-level A 主要集中于 SLCO1B3、BCDO2、EDN3、SOX5 这类主效可见表型；生长、脂肪沉积、产蛋数量、饲料效率、肉质和复杂抗病性更常停留在 B+、B 或 C-B 阶段。抗病性状则呈现另一种非对称性：ANP32A、TVB/NHE1 和 MHC-B 的强证据更多位于 gene/target 或 haplotype 层面，而不是自然变异的 variant-level A。</w:t>
      </w:r>
    </w:p>
    <w:p>
      <w:pPr>
        <w:jc w:val="center"/>
      </w:pPr>
      <w:r>
        <w:rPr>
          <w:rFonts w:ascii="宋体" w:hAnsi="宋体" w:eastAsia="宋体"/>
          <w:b/>
          <w:sz w:val="21"/>
        </w:rPr>
        <w:t>表 3 第 4 章关键案例与补充候选集合的证据等级概览</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tcPr>
          <w:p>
            <w:pPr>
              <w:spacing w:line="240" w:lineRule="auto"/>
            </w:pPr>
            <w:r/>
            <w:r>
              <w:rPr>
                <w:rFonts w:ascii="宋体" w:hAnsi="宋体" w:eastAsia="宋体"/>
                <w:b/>
                <w:sz w:val="16"/>
              </w:rPr>
              <w:t>证据组合</w:t>
            </w:r>
          </w:p>
        </w:tc>
        <w:tc>
          <w:tcPr>
            <w:tcW w:type="dxa" w:w="1949"/>
          </w:tcPr>
          <w:p>
            <w:pPr>
              <w:spacing w:line="240" w:lineRule="auto"/>
            </w:pPr>
            <w:r/>
            <w:r>
              <w:rPr>
                <w:rFonts w:ascii="宋体" w:hAnsi="宋体" w:eastAsia="宋体"/>
                <w:b/>
                <w:sz w:val="16"/>
              </w:rPr>
              <w:t>正文关键案例</w:t>
            </w:r>
          </w:p>
        </w:tc>
        <w:tc>
          <w:tcPr>
            <w:tcW w:type="dxa" w:w="1949"/>
          </w:tcPr>
          <w:p>
            <w:pPr>
              <w:spacing w:line="240" w:lineRule="auto"/>
            </w:pPr>
            <w:r/>
            <w:r>
              <w:rPr>
                <w:rFonts w:ascii="宋体" w:hAnsi="宋体" w:eastAsia="宋体"/>
                <w:b/>
                <w:sz w:val="16"/>
              </w:rPr>
              <w:t>当前最高代表等级</w:t>
            </w:r>
          </w:p>
        </w:tc>
        <w:tc>
          <w:tcPr>
            <w:tcW w:type="dxa" w:w="1949"/>
          </w:tcPr>
          <w:p>
            <w:pPr>
              <w:spacing w:line="240" w:lineRule="auto"/>
            </w:pPr>
            <w:r/>
            <w:r>
              <w:rPr>
                <w:rFonts w:ascii="宋体" w:hAnsi="宋体" w:eastAsia="宋体"/>
                <w:b/>
                <w:sz w:val="16"/>
              </w:rPr>
              <w:t>主要 T 轴场景</w:t>
            </w:r>
          </w:p>
        </w:tc>
        <w:tc>
          <w:tcPr>
            <w:tcW w:type="dxa" w:w="1949"/>
          </w:tcPr>
          <w:p>
            <w:pPr>
              <w:spacing w:line="240" w:lineRule="auto"/>
            </w:pPr>
            <w:r/>
            <w:r>
              <w:rPr>
                <w:rFonts w:ascii="宋体" w:hAnsi="宋体" w:eastAsia="宋体"/>
                <w:b/>
                <w:sz w:val="16"/>
              </w:rPr>
              <w:t>核心判断</w:t>
            </w:r>
          </w:p>
        </w:tc>
      </w:tr>
      <w:tr>
        <w:tc>
          <w:tcPr>
            <w:tcW w:type="dxa" w:w="1949"/>
          </w:tcPr>
          <w:p>
            <w:pPr>
              <w:spacing w:line="240" w:lineRule="auto"/>
            </w:pPr>
            <w:r/>
            <w:r>
              <w:rPr>
                <w:rFonts w:ascii="宋体" w:hAnsi="宋体" w:eastAsia="宋体"/>
                <w:b w:val="0"/>
                <w:sz w:val="16"/>
              </w:rPr>
              <w:t>主效可见表型</w:t>
            </w:r>
          </w:p>
        </w:tc>
        <w:tc>
          <w:tcPr>
            <w:tcW w:type="dxa" w:w="1949"/>
          </w:tcPr>
          <w:p>
            <w:pPr>
              <w:spacing w:line="240" w:lineRule="auto"/>
            </w:pPr>
            <w:r/>
            <w:r>
              <w:rPr>
                <w:rFonts w:ascii="宋体" w:hAnsi="宋体" w:eastAsia="宋体"/>
                <w:b w:val="0"/>
                <w:sz w:val="16"/>
              </w:rPr>
              <w:t>SLCO1B3、BCDO2、EDN3、SOX5</w:t>
            </w:r>
          </w:p>
        </w:tc>
        <w:tc>
          <w:tcPr>
            <w:tcW w:type="dxa" w:w="1949"/>
          </w:tcPr>
          <w:p>
            <w:pPr>
              <w:spacing w:line="240" w:lineRule="auto"/>
            </w:pPr>
            <w:r/>
            <w:r>
              <w:rPr>
                <w:rFonts w:ascii="宋体" w:hAnsi="宋体" w:eastAsia="宋体"/>
                <w:b w:val="0"/>
                <w:sz w:val="16"/>
              </w:rPr>
              <w:t>variant-level A</w:t>
            </w:r>
          </w:p>
        </w:tc>
        <w:tc>
          <w:tcPr>
            <w:tcW w:type="dxa" w:w="1949"/>
          </w:tcPr>
          <w:p>
            <w:pPr>
              <w:spacing w:line="240" w:lineRule="auto"/>
            </w:pPr>
            <w:r/>
            <w:r>
              <w:rPr>
                <w:rFonts w:ascii="宋体" w:hAnsi="宋体" w:eastAsia="宋体"/>
                <w:b w:val="0"/>
                <w:sz w:val="16"/>
              </w:rPr>
              <w:t>T2（限壳色、肤色、纤维黑变、冠型或品种特征管理）</w:t>
            </w:r>
          </w:p>
        </w:tc>
        <w:tc>
          <w:tcPr>
            <w:tcW w:type="dxa" w:w="1949"/>
          </w:tcPr>
          <w:p>
            <w:pPr>
              <w:spacing w:line="240" w:lineRule="auto"/>
            </w:pPr>
            <w:r/>
            <w:r>
              <w:rPr>
                <w:rFonts w:ascii="宋体" w:hAnsi="宋体" w:eastAsia="宋体"/>
                <w:b w:val="0"/>
                <w:sz w:val="16"/>
              </w:rPr>
              <w:t>A 级证据最清楚，但应用边界窄，不能外推到综合经济性状</w:t>
            </w:r>
          </w:p>
        </w:tc>
      </w:tr>
      <w:tr>
        <w:tc>
          <w:tcPr>
            <w:tcW w:type="dxa" w:w="1949"/>
          </w:tcPr>
          <w:p>
            <w:pPr>
              <w:spacing w:line="240" w:lineRule="auto"/>
            </w:pPr>
            <w:r/>
            <w:r>
              <w:rPr>
                <w:rFonts w:ascii="宋体" w:hAnsi="宋体" w:eastAsia="宋体"/>
                <w:b w:val="0"/>
                <w:sz w:val="16"/>
              </w:rPr>
              <w:t>复杂经济性状 B+</w:t>
            </w:r>
          </w:p>
        </w:tc>
        <w:tc>
          <w:tcPr>
            <w:tcW w:type="dxa" w:w="1949"/>
          </w:tcPr>
          <w:p>
            <w:pPr>
              <w:spacing w:line="240" w:lineRule="auto"/>
            </w:pPr>
            <w:r/>
            <w:r>
              <w:rPr>
                <w:rFonts w:ascii="宋体" w:hAnsi="宋体" w:eastAsia="宋体"/>
                <w:b w:val="0"/>
                <w:sz w:val="16"/>
              </w:rPr>
              <w:t>IGF2BP1、rs734209466–IGFBP2/IGFBP5</w:t>
            </w:r>
          </w:p>
        </w:tc>
        <w:tc>
          <w:tcPr>
            <w:tcW w:type="dxa" w:w="1949"/>
          </w:tcPr>
          <w:p>
            <w:pPr>
              <w:spacing w:line="240" w:lineRule="auto"/>
            </w:pPr>
            <w:r/>
            <w:r>
              <w:rPr>
                <w:rFonts w:ascii="宋体" w:hAnsi="宋体" w:eastAsia="宋体"/>
                <w:b w:val="0"/>
                <w:sz w:val="16"/>
              </w:rPr>
              <w:t>variant-level B+</w:t>
            </w:r>
          </w:p>
        </w:tc>
        <w:tc>
          <w:tcPr>
            <w:tcW w:type="dxa" w:w="1949"/>
          </w:tcPr>
          <w:p>
            <w:pPr>
              <w:spacing w:line="240" w:lineRule="auto"/>
            </w:pPr>
            <w:r/>
            <w:r>
              <w:rPr>
                <w:rFonts w:ascii="宋体" w:hAnsi="宋体" w:eastAsia="宋体"/>
                <w:b w:val="0"/>
                <w:sz w:val="16"/>
              </w:rPr>
              <w:t>T0</w:t>
            </w:r>
          </w:p>
        </w:tc>
        <w:tc>
          <w:tcPr>
            <w:tcW w:type="dxa" w:w="1949"/>
          </w:tcPr>
          <w:p>
            <w:pPr>
              <w:spacing w:line="240" w:lineRule="auto"/>
            </w:pPr>
            <w:r/>
            <w:r>
              <w:rPr>
                <w:rFonts w:ascii="宋体" w:hAnsi="宋体" w:eastAsia="宋体"/>
                <w:b w:val="0"/>
                <w:sz w:val="16"/>
              </w:rPr>
              <w:t>适合功能验证优先级排序和 GS 功能先验，不宜直接作为成熟 MAS 标记</w:t>
            </w:r>
          </w:p>
        </w:tc>
      </w:tr>
      <w:tr>
        <w:tc>
          <w:tcPr>
            <w:tcW w:type="dxa" w:w="1949"/>
          </w:tcPr>
          <w:p>
            <w:pPr>
              <w:spacing w:line="240" w:lineRule="auto"/>
            </w:pPr>
            <w:r/>
            <w:r>
              <w:rPr>
                <w:rFonts w:ascii="宋体" w:hAnsi="宋体" w:eastAsia="宋体"/>
                <w:b w:val="0"/>
                <w:sz w:val="16"/>
              </w:rPr>
              <w:t>复杂经济性状 B</w:t>
            </w:r>
          </w:p>
        </w:tc>
        <w:tc>
          <w:tcPr>
            <w:tcW w:type="dxa" w:w="1949"/>
          </w:tcPr>
          <w:p>
            <w:pPr>
              <w:spacing w:line="240" w:lineRule="auto"/>
            </w:pPr>
            <w:r/>
            <w:r>
              <w:rPr>
                <w:rFonts w:ascii="宋体" w:hAnsi="宋体" w:eastAsia="宋体"/>
                <w:b w:val="0"/>
                <w:sz w:val="16"/>
              </w:rPr>
              <w:t>PHIP</w:t>
            </w:r>
          </w:p>
        </w:tc>
        <w:tc>
          <w:tcPr>
            <w:tcW w:type="dxa" w:w="1949"/>
          </w:tcPr>
          <w:p>
            <w:pPr>
              <w:spacing w:line="240" w:lineRule="auto"/>
            </w:pPr>
            <w:r/>
            <w:r>
              <w:rPr>
                <w:rFonts w:ascii="宋体" w:hAnsi="宋体" w:eastAsia="宋体"/>
                <w:b w:val="0"/>
                <w:sz w:val="16"/>
              </w:rPr>
              <w:t>variant-level B</w:t>
            </w:r>
          </w:p>
        </w:tc>
        <w:tc>
          <w:tcPr>
            <w:tcW w:type="dxa" w:w="1949"/>
          </w:tcPr>
          <w:p>
            <w:pPr>
              <w:spacing w:line="240" w:lineRule="auto"/>
            </w:pPr>
            <w:r/>
            <w:r>
              <w:rPr>
                <w:rFonts w:ascii="宋体" w:hAnsi="宋体" w:eastAsia="宋体"/>
                <w:b w:val="0"/>
                <w:sz w:val="16"/>
              </w:rPr>
              <w:t>T0</w:t>
            </w:r>
          </w:p>
        </w:tc>
        <w:tc>
          <w:tcPr>
            <w:tcW w:type="dxa" w:w="1949"/>
          </w:tcPr>
          <w:p>
            <w:pPr>
              <w:spacing w:line="240" w:lineRule="auto"/>
            </w:pPr>
            <w:r/>
            <w:r>
              <w:rPr>
                <w:rFonts w:ascii="宋体" w:hAnsi="宋体" w:eastAsia="宋体"/>
                <w:b w:val="0"/>
                <w:sz w:val="16"/>
              </w:rPr>
              <w:t>机制线索提高优先级，但缺少足够互证和体内因果验证</w:t>
            </w:r>
          </w:p>
        </w:tc>
      </w:tr>
      <w:tr>
        <w:tc>
          <w:tcPr>
            <w:tcW w:type="dxa" w:w="1949"/>
          </w:tcPr>
          <w:p>
            <w:pPr>
              <w:spacing w:line="240" w:lineRule="auto"/>
            </w:pPr>
            <w:r/>
            <w:r>
              <w:rPr>
                <w:rFonts w:ascii="宋体" w:hAnsi="宋体" w:eastAsia="宋体"/>
                <w:b w:val="0"/>
                <w:sz w:val="16"/>
              </w:rPr>
              <w:t>抗病非对称证据</w:t>
            </w:r>
          </w:p>
        </w:tc>
        <w:tc>
          <w:tcPr>
            <w:tcW w:type="dxa" w:w="1949"/>
          </w:tcPr>
          <w:p>
            <w:pPr>
              <w:spacing w:line="240" w:lineRule="auto"/>
            </w:pPr>
            <w:r/>
            <w:r>
              <w:rPr>
                <w:rFonts w:ascii="宋体" w:hAnsi="宋体" w:eastAsia="宋体"/>
                <w:b w:val="0"/>
                <w:sz w:val="16"/>
              </w:rPr>
              <w:t>ANP32A、TVB/NHE1、MHC-B</w:t>
            </w:r>
          </w:p>
        </w:tc>
        <w:tc>
          <w:tcPr>
            <w:tcW w:type="dxa" w:w="1949"/>
          </w:tcPr>
          <w:p>
            <w:pPr>
              <w:spacing w:line="240" w:lineRule="auto"/>
            </w:pPr>
            <w:r/>
            <w:r>
              <w:rPr>
                <w:rFonts w:ascii="宋体" w:hAnsi="宋体" w:eastAsia="宋体"/>
                <w:b w:val="0"/>
                <w:sz w:val="16"/>
              </w:rPr>
              <w:t>gene/target-level A 或 B+–A；haplotype/region-level B+</w:t>
            </w:r>
          </w:p>
        </w:tc>
        <w:tc>
          <w:tcPr>
            <w:tcW w:type="dxa" w:w="1949"/>
          </w:tcPr>
          <w:p>
            <w:pPr>
              <w:spacing w:line="240" w:lineRule="auto"/>
            </w:pPr>
            <w:r/>
            <w:r>
              <w:rPr>
                <w:rFonts w:ascii="宋体" w:hAnsi="宋体" w:eastAsia="宋体"/>
                <w:b w:val="0"/>
                <w:sz w:val="16"/>
              </w:rPr>
              <w:t>T0–T1</w:t>
            </w:r>
          </w:p>
        </w:tc>
        <w:tc>
          <w:tcPr>
            <w:tcW w:type="dxa" w:w="1949"/>
          </w:tcPr>
          <w:p>
            <w:pPr>
              <w:spacing w:line="240" w:lineRule="auto"/>
            </w:pPr>
            <w:r/>
            <w:r>
              <w:rPr>
                <w:rFonts w:ascii="宋体" w:hAnsi="宋体" w:eastAsia="宋体"/>
                <w:b w:val="0"/>
                <w:sz w:val="16"/>
              </w:rPr>
              <w:t>强靶点证据不等于可直接选择的自然变异；T 轴需纳入病原、福利、监管和产业风险</w:t>
            </w:r>
          </w:p>
        </w:tc>
      </w:tr>
      <w:tr>
        <w:tc>
          <w:tcPr>
            <w:tcW w:type="dxa" w:w="1949"/>
          </w:tcPr>
          <w:p>
            <w:pPr>
              <w:spacing w:line="240" w:lineRule="auto"/>
            </w:pPr>
            <w:r/>
            <w:r>
              <w:rPr>
                <w:rFonts w:ascii="宋体" w:hAnsi="宋体" w:eastAsia="宋体"/>
                <w:b w:val="0"/>
                <w:sz w:val="16"/>
              </w:rPr>
              <w:t>教学性边界案例</w:t>
            </w:r>
          </w:p>
        </w:tc>
        <w:tc>
          <w:tcPr>
            <w:tcW w:type="dxa" w:w="1949"/>
          </w:tcPr>
          <w:p>
            <w:pPr>
              <w:spacing w:line="240" w:lineRule="auto"/>
            </w:pPr>
            <w:r/>
            <w:r>
              <w:rPr>
                <w:rFonts w:ascii="宋体" w:hAnsi="宋体" w:eastAsia="宋体"/>
                <w:b w:val="0"/>
                <w:sz w:val="16"/>
              </w:rPr>
              <w:t>MSTN、TSHR</w:t>
            </w:r>
          </w:p>
        </w:tc>
        <w:tc>
          <w:tcPr>
            <w:tcW w:type="dxa" w:w="1949"/>
          </w:tcPr>
          <w:p>
            <w:pPr>
              <w:spacing w:line="240" w:lineRule="auto"/>
            </w:pPr>
            <w:r/>
            <w:r>
              <w:rPr>
                <w:rFonts w:ascii="宋体" w:hAnsi="宋体" w:eastAsia="宋体"/>
                <w:b w:val="0"/>
                <w:sz w:val="16"/>
              </w:rPr>
              <w:t>gene-level B 或 variant-level B+</w:t>
            </w:r>
          </w:p>
        </w:tc>
        <w:tc>
          <w:tcPr>
            <w:tcW w:type="dxa" w:w="1949"/>
          </w:tcPr>
          <w:p>
            <w:pPr>
              <w:spacing w:line="240" w:lineRule="auto"/>
            </w:pPr>
            <w:r/>
            <w:r>
              <w:rPr>
                <w:rFonts w:ascii="宋体" w:hAnsi="宋体" w:eastAsia="宋体"/>
                <w:b w:val="0"/>
                <w:sz w:val="16"/>
              </w:rPr>
              <w:t>T0–T1</w:t>
            </w:r>
          </w:p>
        </w:tc>
        <w:tc>
          <w:tcPr>
            <w:tcW w:type="dxa" w:w="1949"/>
          </w:tcPr>
          <w:p>
            <w:pPr>
              <w:spacing w:line="240" w:lineRule="auto"/>
            </w:pPr>
            <w:r/>
            <w:r>
              <w:rPr>
                <w:rFonts w:ascii="宋体" w:hAnsi="宋体" w:eastAsia="宋体"/>
                <w:b w:val="0"/>
                <w:sz w:val="16"/>
              </w:rPr>
              <w:t>强生物学功能或驯化扫描信号不能替代家鸡群体内的因果变异验证</w:t>
            </w:r>
          </w:p>
        </w:tc>
      </w:tr>
      <w:tr>
        <w:tc>
          <w:tcPr>
            <w:tcW w:type="dxa" w:w="1949"/>
          </w:tcPr>
          <w:p>
            <w:pPr>
              <w:spacing w:line="240" w:lineRule="auto"/>
            </w:pPr>
            <w:r/>
            <w:r>
              <w:rPr>
                <w:rFonts w:ascii="宋体" w:hAnsi="宋体" w:eastAsia="宋体"/>
                <w:b w:val="0"/>
                <w:sz w:val="16"/>
              </w:rPr>
              <w:t>移入补充表的候选集合</w:t>
            </w:r>
          </w:p>
        </w:tc>
        <w:tc>
          <w:tcPr>
            <w:tcW w:type="dxa" w:w="1949"/>
          </w:tcPr>
          <w:p>
            <w:pPr>
              <w:spacing w:line="240" w:lineRule="auto"/>
            </w:pPr>
            <w:r/>
            <w:r>
              <w:rPr>
                <w:rFonts w:ascii="宋体" w:hAnsi="宋体" w:eastAsia="宋体"/>
                <w:b w:val="0"/>
                <w:sz w:val="16"/>
              </w:rPr>
              <w:t>生长/肉质候选基因、蛋壳强度基因、内分泌基因、感染相关候选基因等</w:t>
            </w:r>
          </w:p>
        </w:tc>
        <w:tc>
          <w:tcPr>
            <w:tcW w:type="dxa" w:w="1949"/>
          </w:tcPr>
          <w:p>
            <w:pPr>
              <w:spacing w:line="240" w:lineRule="auto"/>
            </w:pPr>
            <w:r/>
            <w:r>
              <w:rPr>
                <w:rFonts w:ascii="宋体" w:hAnsi="宋体" w:eastAsia="宋体"/>
                <w:b w:val="0"/>
                <w:sz w:val="16"/>
              </w:rPr>
              <w:t>C–B 为主</w:t>
            </w:r>
          </w:p>
        </w:tc>
        <w:tc>
          <w:tcPr>
            <w:tcW w:type="dxa" w:w="1949"/>
          </w:tcPr>
          <w:p>
            <w:pPr>
              <w:spacing w:line="240" w:lineRule="auto"/>
            </w:pPr>
            <w:r/>
            <w:r>
              <w:rPr>
                <w:rFonts w:ascii="宋体" w:hAnsi="宋体" w:eastAsia="宋体"/>
                <w:b w:val="0"/>
                <w:sz w:val="16"/>
              </w:rPr>
              <w:t>T0</w:t>
            </w:r>
          </w:p>
        </w:tc>
        <w:tc>
          <w:tcPr>
            <w:tcW w:type="dxa" w:w="1949"/>
          </w:tcPr>
          <w:p>
            <w:pPr>
              <w:spacing w:line="240" w:lineRule="auto"/>
            </w:pPr>
            <w:r/>
            <w:r>
              <w:rPr>
                <w:rFonts w:ascii="宋体" w:hAnsi="宋体" w:eastAsia="宋体"/>
                <w:b w:val="0"/>
                <w:sz w:val="16"/>
              </w:rPr>
              <w:t>作为候选背景和后续验证对象，不在正文承担框架论证主线</w:t>
            </w:r>
          </w:p>
        </w:tc>
      </w:tr>
    </w:tbl>
    <w:p/>
    <w:p>
      <w:pPr>
        <w:pStyle w:val="Heading2"/>
        <w:jc w:val="left"/>
      </w:pPr>
      <w:r>
        <w:rPr>
          <w:rFonts w:ascii="宋体" w:hAnsi="宋体" w:eastAsia="宋体"/>
          <w:b/>
          <w:sz w:val="24"/>
        </w:rPr>
        <w:t>5 功能验证如何推动证据升级</w:t>
      </w:r>
    </w:p>
    <w:p>
      <w:pPr>
        <w:spacing w:line="300" w:lineRule="auto"/>
        <w:ind w:firstLine="420"/>
      </w:pPr>
      <w:r>
        <w:rPr>
          <w:rFonts w:ascii="宋体" w:hAnsi="宋体" w:eastAsia="宋体"/>
          <w:b w:val="0"/>
          <w:sz w:val="21"/>
        </w:rPr>
        <w:t>功能验证的作用不是简单增加证据数量，而是补齐证据链中的断点。C 到 B 的升级通常依赖独立重复、机制支持或更明确的候选变异；B 到 B+ 的升级依赖多个证据维度相互印证；B+ 到 A 则需要内源、体内或等位基因层面的强因果证据。</w:t>
      </w:r>
    </w:p>
    <w:p>
      <w:pPr>
        <w:spacing w:line="300" w:lineRule="auto"/>
        <w:ind w:firstLine="420"/>
      </w:pPr>
      <w:r>
        <w:rPr>
          <w:rFonts w:ascii="宋体" w:hAnsi="宋体" w:eastAsia="宋体"/>
          <w:b w:val="0"/>
          <w:sz w:val="21"/>
        </w:rPr>
        <w:t>在本文框架中，功能验证是 A 级的硬门槛。没有功能验证，候选位点即使具有较强统计重复性和机制解释，也通常只能停留在 B 或 B+。反过来，一个编辑靶点即使具有强功能实验结果，如果缺少自然变异、群体效应或应用边界评估，也不能被写成成熟的育种标记。</w:t>
      </w:r>
    </w:p>
    <w:p>
      <w:pPr>
        <w:jc w:val="center"/>
      </w:pPr>
      <w:r>
        <w:rPr>
          <w:rFonts w:ascii="宋体" w:hAnsi="宋体" w:eastAsia="宋体"/>
          <w:b/>
          <w:sz w:val="21"/>
        </w:rPr>
        <w:t>表 4 候选位点证据升级路径</w:t>
      </w:r>
    </w:p>
    <w:tbl>
      <w:tblPr>
        <w:tblStyle w:val="TableGrid"/>
        <w:tblW w:type="auto" w:w="0"/>
        <w:tblLook w:firstColumn="1" w:firstRow="1" w:lastColumn="0" w:lastRow="0" w:noHBand="0" w:noVBand="1" w:val="04A0"/>
      </w:tblPr>
      <w:tblGrid>
        <w:gridCol w:w="3249"/>
        <w:gridCol w:w="3249"/>
        <w:gridCol w:w="3249"/>
      </w:tblGrid>
      <w:tr>
        <w:tc>
          <w:tcPr>
            <w:tcW w:type="dxa" w:w="3249"/>
          </w:tcPr>
          <w:p>
            <w:pPr>
              <w:spacing w:line="240" w:lineRule="auto"/>
            </w:pPr>
            <w:r/>
            <w:r>
              <w:rPr>
                <w:rFonts w:ascii="宋体" w:hAnsi="宋体" w:eastAsia="宋体"/>
                <w:b/>
                <w:sz w:val="16"/>
              </w:rPr>
              <w:t>起点证据</w:t>
            </w:r>
          </w:p>
        </w:tc>
        <w:tc>
          <w:tcPr>
            <w:tcW w:type="dxa" w:w="3249"/>
          </w:tcPr>
          <w:p>
            <w:pPr>
              <w:spacing w:line="240" w:lineRule="auto"/>
            </w:pPr>
            <w:r/>
            <w:r>
              <w:rPr>
                <w:rFonts w:ascii="宋体" w:hAnsi="宋体" w:eastAsia="宋体"/>
                <w:b/>
                <w:sz w:val="16"/>
              </w:rPr>
              <w:t>可推动升级的关键动作</w:t>
            </w:r>
          </w:p>
        </w:tc>
        <w:tc>
          <w:tcPr>
            <w:tcW w:type="dxa" w:w="3249"/>
          </w:tcPr>
          <w:p>
            <w:pPr>
              <w:spacing w:line="240" w:lineRule="auto"/>
            </w:pPr>
            <w:r/>
            <w:r>
              <w:rPr>
                <w:rFonts w:ascii="宋体" w:hAnsi="宋体" w:eastAsia="宋体"/>
                <w:b/>
                <w:sz w:val="16"/>
              </w:rPr>
              <w:t>升级后仍需避免的误读</w:t>
            </w:r>
          </w:p>
        </w:tc>
      </w:tr>
      <w:tr>
        <w:tc>
          <w:tcPr>
            <w:tcW w:type="dxa" w:w="3249"/>
          </w:tcPr>
          <w:p>
            <w:pPr>
              <w:spacing w:line="240" w:lineRule="auto"/>
            </w:pPr>
            <w:r/>
            <w:r>
              <w:rPr>
                <w:rFonts w:ascii="宋体" w:hAnsi="宋体" w:eastAsia="宋体"/>
                <w:b w:val="0"/>
                <w:sz w:val="16"/>
              </w:rPr>
              <w:t>单一 GWAS/QTL 峰、选择信号或最近基因注释</w:t>
            </w:r>
          </w:p>
        </w:tc>
        <w:tc>
          <w:tcPr>
            <w:tcW w:type="dxa" w:w="3249"/>
          </w:tcPr>
          <w:p>
            <w:pPr>
              <w:spacing w:line="240" w:lineRule="auto"/>
            </w:pPr>
            <w:r/>
            <w:r>
              <w:rPr>
                <w:rFonts w:ascii="宋体" w:hAnsi="宋体" w:eastAsia="宋体"/>
                <w:b w:val="0"/>
                <w:sz w:val="16"/>
              </w:rPr>
              <w:t>精细定位、LD 区分、结构变异解析、独立群体重复</w:t>
            </w:r>
          </w:p>
        </w:tc>
        <w:tc>
          <w:tcPr>
            <w:tcW w:type="dxa" w:w="3249"/>
          </w:tcPr>
          <w:p>
            <w:pPr>
              <w:spacing w:line="240" w:lineRule="auto"/>
            </w:pPr>
            <w:r/>
            <w:r>
              <w:rPr>
                <w:rFonts w:ascii="宋体" w:hAnsi="宋体" w:eastAsia="宋体"/>
                <w:b w:val="0"/>
                <w:sz w:val="16"/>
              </w:rPr>
              <w:t>不能直接把最近基因写成因果基因</w:t>
            </w:r>
          </w:p>
        </w:tc>
      </w:tr>
      <w:tr>
        <w:tc>
          <w:tcPr>
            <w:tcW w:type="dxa" w:w="3249"/>
          </w:tcPr>
          <w:p>
            <w:pPr>
              <w:spacing w:line="240" w:lineRule="auto"/>
            </w:pPr>
            <w:r/>
            <w:r>
              <w:rPr>
                <w:rFonts w:ascii="宋体" w:hAnsi="宋体" w:eastAsia="宋体"/>
                <w:b w:val="0"/>
                <w:sz w:val="16"/>
              </w:rPr>
              <w:t>差异表达、通路富集或功能注释</w:t>
            </w:r>
          </w:p>
        </w:tc>
        <w:tc>
          <w:tcPr>
            <w:tcW w:type="dxa" w:w="3249"/>
          </w:tcPr>
          <w:p>
            <w:pPr>
              <w:spacing w:line="240" w:lineRule="auto"/>
            </w:pPr>
            <w:r/>
            <w:r>
              <w:rPr>
                <w:rFonts w:ascii="宋体" w:hAnsi="宋体" w:eastAsia="宋体"/>
                <w:b w:val="0"/>
                <w:sz w:val="16"/>
              </w:rPr>
              <w:t>eQTL、ASE、共定位、等位基因特异调控、目标组织验证</w:t>
            </w:r>
          </w:p>
        </w:tc>
        <w:tc>
          <w:tcPr>
            <w:tcW w:type="dxa" w:w="3249"/>
          </w:tcPr>
          <w:p>
            <w:pPr>
              <w:spacing w:line="240" w:lineRule="auto"/>
            </w:pPr>
            <w:r/>
            <w:r>
              <w:rPr>
                <w:rFonts w:ascii="宋体" w:hAnsi="宋体" w:eastAsia="宋体"/>
                <w:b w:val="0"/>
                <w:sz w:val="16"/>
              </w:rPr>
              <w:t>不能单独证明表达变化是性状原因</w:t>
            </w:r>
          </w:p>
        </w:tc>
      </w:tr>
      <w:tr>
        <w:tc>
          <w:tcPr>
            <w:tcW w:type="dxa" w:w="3249"/>
          </w:tcPr>
          <w:p>
            <w:pPr>
              <w:spacing w:line="240" w:lineRule="auto"/>
            </w:pPr>
            <w:r/>
            <w:r>
              <w:rPr>
                <w:rFonts w:ascii="宋体" w:hAnsi="宋体" w:eastAsia="宋体"/>
                <w:b w:val="0"/>
                <w:sz w:val="16"/>
              </w:rPr>
              <w:t>报告基因、MPRA 或细胞模型阳性</w:t>
            </w:r>
          </w:p>
        </w:tc>
        <w:tc>
          <w:tcPr>
            <w:tcW w:type="dxa" w:w="3249"/>
          </w:tcPr>
          <w:p>
            <w:pPr>
              <w:spacing w:line="240" w:lineRule="auto"/>
            </w:pPr>
            <w:r/>
            <w:r>
              <w:rPr>
                <w:rFonts w:ascii="宋体" w:hAnsi="宋体" w:eastAsia="宋体"/>
                <w:b w:val="0"/>
                <w:sz w:val="16"/>
              </w:rPr>
              <w:t>内源编辑、等位基因替换、体内表型重现或救援实验</w:t>
            </w:r>
          </w:p>
        </w:tc>
        <w:tc>
          <w:tcPr>
            <w:tcW w:type="dxa" w:w="3249"/>
          </w:tcPr>
          <w:p>
            <w:pPr>
              <w:spacing w:line="240" w:lineRule="auto"/>
            </w:pPr>
            <w:r/>
            <w:r>
              <w:rPr>
                <w:rFonts w:ascii="宋体" w:hAnsi="宋体" w:eastAsia="宋体"/>
                <w:b w:val="0"/>
                <w:sz w:val="16"/>
              </w:rPr>
              <w:t>不能把体外调控活性直接等同于体内复杂性状因果效应</w:t>
            </w:r>
          </w:p>
        </w:tc>
      </w:tr>
      <w:tr>
        <w:tc>
          <w:tcPr>
            <w:tcW w:type="dxa" w:w="3249"/>
          </w:tcPr>
          <w:p>
            <w:pPr>
              <w:spacing w:line="240" w:lineRule="auto"/>
            </w:pPr>
            <w:r/>
            <w:r>
              <w:rPr>
                <w:rFonts w:ascii="宋体" w:hAnsi="宋体" w:eastAsia="宋体"/>
                <w:b w:val="0"/>
                <w:sz w:val="16"/>
              </w:rPr>
              <w:t>CRISPR 筛选、单细胞扰动或高通量命中</w:t>
            </w:r>
          </w:p>
        </w:tc>
        <w:tc>
          <w:tcPr>
            <w:tcW w:type="dxa" w:w="3249"/>
          </w:tcPr>
          <w:p>
            <w:pPr>
              <w:spacing w:line="240" w:lineRule="auto"/>
            </w:pPr>
            <w:r/>
            <w:r>
              <w:rPr>
                <w:rFonts w:ascii="宋体" w:hAnsi="宋体" w:eastAsia="宋体"/>
                <w:b w:val="0"/>
                <w:sz w:val="16"/>
              </w:rPr>
              <w:t>单点复核、机制确认、目标组织与体内验证</w:t>
            </w:r>
          </w:p>
        </w:tc>
        <w:tc>
          <w:tcPr>
            <w:tcW w:type="dxa" w:w="3249"/>
          </w:tcPr>
          <w:p>
            <w:pPr>
              <w:spacing w:line="240" w:lineRule="auto"/>
            </w:pPr>
            <w:r/>
            <w:r>
              <w:rPr>
                <w:rFonts w:ascii="宋体" w:hAnsi="宋体" w:eastAsia="宋体"/>
                <w:b w:val="0"/>
                <w:sz w:val="16"/>
              </w:rPr>
              <w:t>主要用于排序，不能直接作为 A 级证据</w:t>
            </w:r>
          </w:p>
        </w:tc>
      </w:tr>
      <w:tr>
        <w:tc>
          <w:tcPr>
            <w:tcW w:type="dxa" w:w="3249"/>
          </w:tcPr>
          <w:p>
            <w:pPr>
              <w:spacing w:line="240" w:lineRule="auto"/>
            </w:pPr>
            <w:r/>
            <w:r>
              <w:rPr>
                <w:rFonts w:ascii="宋体" w:hAnsi="宋体" w:eastAsia="宋体"/>
                <w:b w:val="0"/>
                <w:sz w:val="16"/>
              </w:rPr>
              <w:t>gene/target 编辑或强扰动有效</w:t>
            </w:r>
          </w:p>
        </w:tc>
        <w:tc>
          <w:tcPr>
            <w:tcW w:type="dxa" w:w="3249"/>
          </w:tcPr>
          <w:p>
            <w:pPr>
              <w:spacing w:line="240" w:lineRule="auto"/>
            </w:pPr>
            <w:r/>
            <w:r>
              <w:rPr>
                <w:rFonts w:ascii="宋体" w:hAnsi="宋体" w:eastAsia="宋体"/>
                <w:b w:val="0"/>
                <w:sz w:val="16"/>
              </w:rPr>
              <w:t>自然变异效应、等位基因频率、跨群体稳定性、多性状和福利评估</w:t>
            </w:r>
          </w:p>
        </w:tc>
        <w:tc>
          <w:tcPr>
            <w:tcW w:type="dxa" w:w="3249"/>
          </w:tcPr>
          <w:p>
            <w:pPr>
              <w:spacing w:line="240" w:lineRule="auto"/>
            </w:pPr>
            <w:r/>
            <w:r>
              <w:rPr>
                <w:rFonts w:ascii="宋体" w:hAnsi="宋体" w:eastAsia="宋体"/>
                <w:b w:val="0"/>
                <w:sz w:val="16"/>
              </w:rPr>
              <w:t>不能自动转化为自然群体 MAS 标记</w:t>
            </w:r>
          </w:p>
        </w:tc>
      </w:tr>
    </w:tbl>
    <w:p/>
    <w:p>
      <w:pPr>
        <w:spacing w:line="300" w:lineRule="auto"/>
        <w:ind w:firstLine="420"/>
      </w:pPr>
      <w:r>
        <w:rPr>
          <w:rFonts w:ascii="宋体" w:hAnsi="宋体" w:eastAsia="宋体"/>
          <w:b w:val="0"/>
          <w:sz w:val="21"/>
        </w:rPr>
        <w:t>表达相关到等位基因层面证据，是许多候选位点升级的第一步。分子 QTL、共定位和等位基因特异表达可以把表达变化与遗传变异联系起来，但仍需要目标组织、目标细胞类型和真实表型的复核。对于调控候选，报告基因和细胞模型可以提高机制可信度，但内源编辑和体内表型验证才是进入 A 级的关键。</w:t>
      </w:r>
    </w:p>
    <w:p>
      <w:pPr>
        <w:spacing w:line="300" w:lineRule="auto"/>
        <w:ind w:firstLine="420"/>
      </w:pPr>
      <w:r>
        <w:rPr>
          <w:rFonts w:ascii="宋体" w:hAnsi="宋体" w:eastAsia="宋体"/>
          <w:b w:val="0"/>
          <w:sz w:val="21"/>
        </w:rPr>
        <w:t>PGC 编辑、等位基因替换、体内模型和救援实验在家鸡中成本高、周期长，却正是证据跃迁最需要的环节。复杂经济性状尤其需要在体内和目标群体中记录多性状后果，因为一个位点对单一细胞终点或单一表型有利，并不意味着它在育种指数中具有正向综合价值。</w:t>
      </w:r>
    </w:p>
    <w:p>
      <w:pPr>
        <w:spacing w:line="300" w:lineRule="auto"/>
        <w:ind w:firstLine="420"/>
      </w:pPr>
      <w:r>
        <w:rPr>
          <w:rFonts w:ascii="宋体" w:hAnsi="宋体" w:eastAsia="宋体"/>
          <w:b w:val="0"/>
          <w:sz w:val="21"/>
        </w:rPr>
        <w:t>高通量功能筛选应被定位为候选排序工具。MPRA、CRISPR 筛选和单细胞扰动能够在大量候选中快速识别值得验证的对象，但一个位点在 MPRA 中表现出等位基因活性差异，并不说明它在内源染色质环境中发挥相同作用；一个基因在细胞筛选中影响病毒复制，也不说明自然群体中存在可育种变异。因此，高通量结果通常可以把 C/B 推向 B+，但不能跳过内源和体内证据直接到 A。</w:t>
      </w:r>
    </w:p>
    <w:p>
      <w:pPr>
        <w:pStyle w:val="Heading2"/>
        <w:jc w:val="left"/>
      </w:pPr>
      <w:r>
        <w:rPr>
          <w:rFonts w:ascii="宋体" w:hAnsi="宋体" w:eastAsia="宋体"/>
          <w:b/>
          <w:sz w:val="24"/>
        </w:rPr>
        <w:t>6 基于证据成熟度的育种转化决策</w:t>
      </w:r>
    </w:p>
    <w:p>
      <w:pPr>
        <w:spacing w:line="300" w:lineRule="auto"/>
        <w:ind w:firstLine="420"/>
      </w:pPr>
      <w:r>
        <w:rPr>
          <w:rFonts w:ascii="宋体" w:hAnsi="宋体" w:eastAsia="宋体"/>
          <w:b w:val="0"/>
          <w:sz w:val="21"/>
        </w:rPr>
        <w:t>证据成熟度框架的实践价值在于减少育种工具错配。标记辅助选择、基因组选择和基因编辑不是依次替代的三代技术，而是服务于不同证据阶段和性状结构的并行工具。MAS 适合少数效应明确、分型可靠、应用目标单一的主效位点；GS 适合多数多基因复杂经济性状；基因编辑首先是功能验证工具，其次才可能在少数关键靶点上成为育种工具。</w:t>
      </w:r>
    </w:p>
    <w:p>
      <w:pPr>
        <w:spacing w:line="300" w:lineRule="auto"/>
        <w:ind w:firstLine="420"/>
      </w:pPr>
      <w:r>
        <w:rPr>
          <w:rFonts w:ascii="宋体" w:hAnsi="宋体" w:eastAsia="宋体"/>
          <w:b w:val="0"/>
          <w:sz w:val="21"/>
        </w:rPr>
        <w:t>工具选择不仅取决于证据等级，也取决于 T 轴。一个位点完成关键验证后可能跨越评级边界，相应应用建议也会变化；但在跨越之前，不能把“值得验证”写成“可以应用”。表 5 总结了不同证据层级与工具选择之间的匹配关系。</w:t>
      </w:r>
    </w:p>
    <w:p>
      <w:pPr>
        <w:jc w:val="center"/>
      </w:pPr>
      <w:r>
        <w:rPr>
          <w:rFonts w:ascii="宋体" w:hAnsi="宋体" w:eastAsia="宋体"/>
          <w:b/>
          <w:sz w:val="21"/>
        </w:rPr>
        <w:t>表 5 候选位点证据等级与育种工具匹配矩阵</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pPr>
              <w:spacing w:line="240" w:lineRule="auto"/>
            </w:pPr>
            <w:r/>
            <w:r>
              <w:rPr>
                <w:rFonts w:ascii="宋体" w:hAnsi="宋体" w:eastAsia="宋体"/>
                <w:b/>
                <w:sz w:val="16"/>
              </w:rPr>
              <w:t>证据层级 + 等级</w:t>
            </w:r>
          </w:p>
        </w:tc>
        <w:tc>
          <w:tcPr>
            <w:tcW w:type="dxa" w:w="2436"/>
          </w:tcPr>
          <w:p>
            <w:pPr>
              <w:spacing w:line="240" w:lineRule="auto"/>
            </w:pPr>
            <w:r/>
            <w:r>
              <w:rPr>
                <w:rFonts w:ascii="宋体" w:hAnsi="宋体" w:eastAsia="宋体"/>
                <w:b/>
                <w:sz w:val="16"/>
              </w:rPr>
              <w:t>T0：目标群体未验证</w:t>
            </w:r>
          </w:p>
        </w:tc>
        <w:tc>
          <w:tcPr>
            <w:tcW w:type="dxa" w:w="2436"/>
          </w:tcPr>
          <w:p>
            <w:pPr>
              <w:spacing w:line="240" w:lineRule="auto"/>
            </w:pPr>
            <w:r/>
            <w:r>
              <w:rPr>
                <w:rFonts w:ascii="宋体" w:hAnsi="宋体" w:eastAsia="宋体"/>
                <w:b/>
                <w:sz w:val="16"/>
              </w:rPr>
              <w:t>T1：目标群体初步验证</w:t>
            </w:r>
          </w:p>
        </w:tc>
        <w:tc>
          <w:tcPr>
            <w:tcW w:type="dxa" w:w="2436"/>
          </w:tcPr>
          <w:p>
            <w:pPr>
              <w:spacing w:line="240" w:lineRule="auto"/>
            </w:pPr>
            <w:r/>
            <w:r>
              <w:rPr>
                <w:rFonts w:ascii="宋体" w:hAnsi="宋体" w:eastAsia="宋体"/>
                <w:b/>
                <w:sz w:val="16"/>
              </w:rPr>
              <w:t>T2：应用场景成熟</w:t>
            </w:r>
          </w:p>
        </w:tc>
      </w:tr>
      <w:tr>
        <w:tc>
          <w:tcPr>
            <w:tcW w:type="dxa" w:w="2436"/>
          </w:tcPr>
          <w:p>
            <w:pPr>
              <w:spacing w:line="240" w:lineRule="auto"/>
            </w:pPr>
            <w:r/>
            <w:r>
              <w:rPr>
                <w:rFonts w:ascii="宋体" w:hAnsi="宋体" w:eastAsia="宋体"/>
                <w:b w:val="0"/>
                <w:sz w:val="16"/>
              </w:rPr>
              <w:t>variant-level A</w:t>
            </w:r>
          </w:p>
        </w:tc>
        <w:tc>
          <w:tcPr>
            <w:tcW w:type="dxa" w:w="2436"/>
          </w:tcPr>
          <w:p>
            <w:pPr>
              <w:spacing w:line="240" w:lineRule="auto"/>
            </w:pPr>
            <w:r/>
            <w:r>
              <w:rPr>
                <w:rFonts w:ascii="宋体" w:hAnsi="宋体" w:eastAsia="宋体"/>
                <w:b w:val="0"/>
                <w:sz w:val="16"/>
              </w:rPr>
              <w:t>进入目标群体验证；评估等位基因频率、效应方向和多性状影响</w:t>
            </w:r>
          </w:p>
        </w:tc>
        <w:tc>
          <w:tcPr>
            <w:tcW w:type="dxa" w:w="2436"/>
          </w:tcPr>
          <w:p>
            <w:pPr>
              <w:spacing w:line="240" w:lineRule="auto"/>
            </w:pPr>
            <w:r/>
            <w:r>
              <w:rPr>
                <w:rFonts w:ascii="宋体" w:hAnsi="宋体" w:eastAsia="宋体"/>
                <w:b w:val="0"/>
                <w:sz w:val="16"/>
              </w:rPr>
              <w:t>可作为试点 MAS 或品种特征管理对象，但需继续监测副作用</w:t>
            </w:r>
          </w:p>
        </w:tc>
        <w:tc>
          <w:tcPr>
            <w:tcW w:type="dxa" w:w="2436"/>
          </w:tcPr>
          <w:p>
            <w:pPr>
              <w:spacing w:line="240" w:lineRule="auto"/>
            </w:pPr>
            <w:r/>
            <w:r>
              <w:rPr>
                <w:rFonts w:ascii="宋体" w:hAnsi="宋体" w:eastAsia="宋体"/>
                <w:b w:val="0"/>
                <w:sz w:val="16"/>
              </w:rPr>
              <w:t>可用于 MAS、品种特征管理、商品分级或保种</w:t>
            </w:r>
          </w:p>
        </w:tc>
      </w:tr>
      <w:tr>
        <w:tc>
          <w:tcPr>
            <w:tcW w:type="dxa" w:w="2436"/>
          </w:tcPr>
          <w:p>
            <w:pPr>
              <w:spacing w:line="240" w:lineRule="auto"/>
            </w:pPr>
            <w:r/>
            <w:r>
              <w:rPr>
                <w:rFonts w:ascii="宋体" w:hAnsi="宋体" w:eastAsia="宋体"/>
                <w:b w:val="0"/>
                <w:sz w:val="16"/>
              </w:rPr>
              <w:t>variant-level B+</w:t>
            </w:r>
          </w:p>
        </w:tc>
        <w:tc>
          <w:tcPr>
            <w:tcW w:type="dxa" w:w="2436"/>
          </w:tcPr>
          <w:p>
            <w:pPr>
              <w:spacing w:line="240" w:lineRule="auto"/>
            </w:pPr>
            <w:r/>
            <w:r>
              <w:rPr>
                <w:rFonts w:ascii="宋体" w:hAnsi="宋体" w:eastAsia="宋体"/>
                <w:b w:val="0"/>
                <w:sz w:val="16"/>
              </w:rPr>
              <w:t>优先功能验证、内源编辑、跨群体验证；可作为 GS 功能先验</w:t>
            </w:r>
          </w:p>
        </w:tc>
        <w:tc>
          <w:tcPr>
            <w:tcW w:type="dxa" w:w="2436"/>
          </w:tcPr>
          <w:p>
            <w:pPr>
              <w:spacing w:line="240" w:lineRule="auto"/>
            </w:pPr>
            <w:r/>
            <w:r>
              <w:rPr>
                <w:rFonts w:ascii="宋体" w:hAnsi="宋体" w:eastAsia="宋体"/>
                <w:b w:val="0"/>
                <w:sz w:val="16"/>
              </w:rPr>
              <w:t>可用于目标群体风险评估或模型加权，但不宜作为确定性标记</w:t>
            </w:r>
          </w:p>
        </w:tc>
        <w:tc>
          <w:tcPr>
            <w:tcW w:type="dxa" w:w="2436"/>
          </w:tcPr>
          <w:p>
            <w:pPr>
              <w:spacing w:line="240" w:lineRule="auto"/>
            </w:pPr>
            <w:r/>
            <w:r>
              <w:rPr>
                <w:rFonts w:ascii="宋体" w:hAnsi="宋体" w:eastAsia="宋体"/>
                <w:b w:val="0"/>
                <w:sz w:val="16"/>
              </w:rPr>
              <w:t>可在已验证群体内作为 GS 高权重先验或辅助标记，但应明确报告为“育种预测价值”而非“因果标记”；跨群体推广前必须重新评估；这种 T2 状态不等于因果证据成熟</w:t>
            </w:r>
          </w:p>
        </w:tc>
      </w:tr>
      <w:tr>
        <w:tc>
          <w:tcPr>
            <w:tcW w:type="dxa" w:w="2436"/>
          </w:tcPr>
          <w:p>
            <w:pPr>
              <w:spacing w:line="240" w:lineRule="auto"/>
            </w:pPr>
            <w:r/>
            <w:r>
              <w:rPr>
                <w:rFonts w:ascii="宋体" w:hAnsi="宋体" w:eastAsia="宋体"/>
                <w:b w:val="0"/>
                <w:sz w:val="16"/>
              </w:rPr>
              <w:t>region-level B</w:t>
            </w:r>
          </w:p>
        </w:tc>
        <w:tc>
          <w:tcPr>
            <w:tcW w:type="dxa" w:w="2436"/>
          </w:tcPr>
          <w:p>
            <w:pPr>
              <w:spacing w:line="240" w:lineRule="auto"/>
            </w:pPr>
            <w:r/>
            <w:r>
              <w:rPr>
                <w:rFonts w:ascii="宋体" w:hAnsi="宋体" w:eastAsia="宋体"/>
                <w:b w:val="0"/>
                <w:sz w:val="16"/>
              </w:rPr>
              <w:t>精细定位、候选变异筛选、LD 区分和结构变异解析</w:t>
            </w:r>
          </w:p>
        </w:tc>
        <w:tc>
          <w:tcPr>
            <w:tcW w:type="dxa" w:w="2436"/>
          </w:tcPr>
          <w:p>
            <w:pPr>
              <w:spacing w:line="240" w:lineRule="auto"/>
            </w:pPr>
            <w:r/>
            <w:r>
              <w:rPr>
                <w:rFonts w:ascii="宋体" w:hAnsi="宋体" w:eastAsia="宋体"/>
                <w:b w:val="0"/>
                <w:sz w:val="16"/>
              </w:rPr>
              <w:t>可作为目标群体重点验证区段或 GS 低—中权重先验</w:t>
            </w:r>
          </w:p>
        </w:tc>
        <w:tc>
          <w:tcPr>
            <w:tcW w:type="dxa" w:w="2436"/>
          </w:tcPr>
          <w:p>
            <w:pPr>
              <w:spacing w:line="240" w:lineRule="auto"/>
            </w:pPr>
            <w:r/>
            <w:r>
              <w:rPr>
                <w:rFonts w:ascii="宋体" w:hAnsi="宋体" w:eastAsia="宋体"/>
                <w:b w:val="0"/>
                <w:sz w:val="16"/>
              </w:rPr>
              <w:t>若未解析到具体变异、结构变异或功能单倍型，通常不应直接用于 MAS</w:t>
            </w:r>
          </w:p>
        </w:tc>
      </w:tr>
      <w:tr>
        <w:tc>
          <w:tcPr>
            <w:tcW w:type="dxa" w:w="2436"/>
          </w:tcPr>
          <w:p>
            <w:pPr>
              <w:spacing w:line="240" w:lineRule="auto"/>
            </w:pPr>
            <w:r/>
            <w:r>
              <w:rPr>
                <w:rFonts w:ascii="宋体" w:hAnsi="宋体" w:eastAsia="宋体"/>
                <w:b w:val="0"/>
                <w:sz w:val="16"/>
              </w:rPr>
              <w:t>gene-level C–B</w:t>
            </w:r>
          </w:p>
        </w:tc>
        <w:tc>
          <w:tcPr>
            <w:tcW w:type="dxa" w:w="2436"/>
          </w:tcPr>
          <w:p>
            <w:pPr>
              <w:spacing w:line="240" w:lineRule="auto"/>
            </w:pPr>
            <w:r/>
            <w:r>
              <w:rPr>
                <w:rFonts w:ascii="宋体" w:hAnsi="宋体" w:eastAsia="宋体"/>
                <w:b w:val="0"/>
                <w:sz w:val="16"/>
              </w:rPr>
              <w:t>机制实验、跨群体重复验证和候选集合构建</w:t>
            </w:r>
          </w:p>
        </w:tc>
        <w:tc>
          <w:tcPr>
            <w:tcW w:type="dxa" w:w="2436"/>
          </w:tcPr>
          <w:p>
            <w:pPr>
              <w:spacing w:line="240" w:lineRule="auto"/>
            </w:pPr>
            <w:r/>
            <w:r>
              <w:rPr>
                <w:rFonts w:ascii="宋体" w:hAnsi="宋体" w:eastAsia="宋体"/>
                <w:b w:val="0"/>
                <w:sz w:val="16"/>
              </w:rPr>
              <w:t>可作为功能注释或 GS 低权重先验</w:t>
            </w:r>
          </w:p>
        </w:tc>
        <w:tc>
          <w:tcPr>
            <w:tcW w:type="dxa" w:w="2436"/>
          </w:tcPr>
          <w:p>
            <w:pPr>
              <w:spacing w:line="240" w:lineRule="auto"/>
            </w:pPr>
            <w:r/>
            <w:r>
              <w:rPr>
                <w:rFonts w:ascii="宋体" w:hAnsi="宋体" w:eastAsia="宋体"/>
                <w:b w:val="0"/>
                <w:sz w:val="16"/>
              </w:rPr>
              <w:t>不宜直接用于 MAS；除非进一步升级为明确变异或强靶点证据</w:t>
            </w:r>
          </w:p>
        </w:tc>
      </w:tr>
      <w:tr>
        <w:tc>
          <w:tcPr>
            <w:tcW w:type="dxa" w:w="2436"/>
          </w:tcPr>
          <w:p>
            <w:pPr>
              <w:spacing w:line="240" w:lineRule="auto"/>
            </w:pPr>
            <w:r/>
            <w:r>
              <w:rPr>
                <w:rFonts w:ascii="宋体" w:hAnsi="宋体" w:eastAsia="宋体"/>
                <w:b w:val="0"/>
                <w:sz w:val="16"/>
              </w:rPr>
              <w:t>gene/target-level A，variant-level B–C</w:t>
            </w:r>
          </w:p>
        </w:tc>
        <w:tc>
          <w:tcPr>
            <w:tcW w:type="dxa" w:w="2436"/>
          </w:tcPr>
          <w:p>
            <w:pPr>
              <w:spacing w:line="240" w:lineRule="auto"/>
            </w:pPr>
            <w:r/>
            <w:r>
              <w:rPr>
                <w:rFonts w:ascii="宋体" w:hAnsi="宋体" w:eastAsia="宋体"/>
                <w:b w:val="0"/>
                <w:sz w:val="16"/>
              </w:rPr>
              <w:t>机制研究、编辑靶点评估、生物安全评估</w:t>
            </w:r>
          </w:p>
        </w:tc>
        <w:tc>
          <w:tcPr>
            <w:tcW w:type="dxa" w:w="2436"/>
          </w:tcPr>
          <w:p>
            <w:pPr>
              <w:spacing w:line="240" w:lineRule="auto"/>
            </w:pPr>
            <w:r/>
            <w:r>
              <w:rPr>
                <w:rFonts w:ascii="宋体" w:hAnsi="宋体" w:eastAsia="宋体"/>
                <w:b w:val="0"/>
                <w:sz w:val="16"/>
              </w:rPr>
              <w:t>可开展编辑研究试点、疾病风险评估或监管和市场环境扫描</w:t>
            </w:r>
          </w:p>
        </w:tc>
        <w:tc>
          <w:tcPr>
            <w:tcW w:type="dxa" w:w="2436"/>
          </w:tcPr>
          <w:p>
            <w:pPr>
              <w:spacing w:line="240" w:lineRule="auto"/>
            </w:pPr>
            <w:r/>
            <w:r>
              <w:rPr>
                <w:rFonts w:ascii="宋体" w:hAnsi="宋体" w:eastAsia="宋体"/>
                <w:b w:val="0"/>
                <w:sz w:val="16"/>
              </w:rPr>
              <w:t>在监管批准、多代福利评估、病原逃逸监测和目标市场可行性已经确认的前提下，可在严格监控条件下进入抗病编辑应用；若任一前置条件缺失，该位点在该场景下应保持 T1 状态，不进入编辑应用</w:t>
            </w:r>
          </w:p>
        </w:tc>
      </w:tr>
      <w:tr>
        <w:tc>
          <w:tcPr>
            <w:tcW w:type="dxa" w:w="2436"/>
          </w:tcPr>
          <w:p>
            <w:pPr>
              <w:spacing w:line="240" w:lineRule="auto"/>
            </w:pPr>
            <w:r/>
            <w:r>
              <w:rPr>
                <w:rFonts w:ascii="宋体" w:hAnsi="宋体" w:eastAsia="宋体"/>
                <w:b w:val="0"/>
                <w:sz w:val="16"/>
              </w:rPr>
              <w:t>C 级候选线索</w:t>
            </w:r>
          </w:p>
        </w:tc>
        <w:tc>
          <w:tcPr>
            <w:tcW w:type="dxa" w:w="2436"/>
          </w:tcPr>
          <w:p>
            <w:pPr>
              <w:spacing w:line="240" w:lineRule="auto"/>
            </w:pPr>
            <w:r/>
            <w:r>
              <w:rPr>
                <w:rFonts w:ascii="宋体" w:hAnsi="宋体" w:eastAsia="宋体"/>
                <w:b w:val="0"/>
                <w:sz w:val="16"/>
              </w:rPr>
              <w:t>假设生成、候选清单构建、低权重功能注释</w:t>
            </w:r>
          </w:p>
        </w:tc>
        <w:tc>
          <w:tcPr>
            <w:tcW w:type="dxa" w:w="2436"/>
          </w:tcPr>
          <w:p>
            <w:pPr>
              <w:spacing w:line="240" w:lineRule="auto"/>
            </w:pPr>
            <w:r/>
            <w:r>
              <w:rPr>
                <w:rFonts w:ascii="宋体" w:hAnsi="宋体" w:eastAsia="宋体"/>
                <w:b w:val="0"/>
                <w:sz w:val="16"/>
              </w:rPr>
              <w:t>一般不进入育种决策</w:t>
            </w:r>
          </w:p>
        </w:tc>
        <w:tc>
          <w:tcPr>
            <w:tcW w:type="dxa" w:w="2436"/>
          </w:tcPr>
          <w:p>
            <w:pPr>
              <w:spacing w:line="240" w:lineRule="auto"/>
            </w:pPr>
            <w:r/>
            <w:r>
              <w:rPr>
                <w:rFonts w:ascii="宋体" w:hAnsi="宋体" w:eastAsia="宋体"/>
                <w:b w:val="0"/>
                <w:sz w:val="16"/>
              </w:rPr>
              <w:t>不适合直接应用</w:t>
            </w:r>
          </w:p>
        </w:tc>
      </w:tr>
    </w:tbl>
    <w:p/>
    <w:p>
      <w:pPr>
        <w:pStyle w:val="Heading3"/>
        <w:jc w:val="left"/>
      </w:pPr>
      <w:r>
        <w:rPr>
          <w:rFonts w:ascii="宋体" w:hAnsi="宋体" w:eastAsia="宋体"/>
          <w:b/>
          <w:sz w:val="24"/>
        </w:rPr>
        <w:t>6.1 MAS：少数强证据主效位点和品种特征管理</w:t>
      </w:r>
    </w:p>
    <w:p>
      <w:pPr>
        <w:spacing w:line="300" w:lineRule="auto"/>
        <w:ind w:firstLine="420"/>
      </w:pPr>
      <w:r>
        <w:rPr>
          <w:rFonts w:ascii="宋体" w:hAnsi="宋体" w:eastAsia="宋体"/>
          <w:b w:val="0"/>
          <w:sz w:val="21"/>
        </w:rPr>
        <w:t>标记辅助选择最适合处理效应明确、分型可靠、应用目标单一的位点。第 4 章中达到 variant-level A 的 SLCO1B3、BCDO2、EDN3 和 SOX5 可作为 MAS 或品种特征管理的典型对象，但其应用边界必须限于对应表型场景。</w:t>
      </w:r>
    </w:p>
    <w:p>
      <w:pPr>
        <w:spacing w:line="300" w:lineRule="auto"/>
        <w:ind w:firstLine="420"/>
      </w:pPr>
      <w:r>
        <w:rPr>
          <w:rFonts w:ascii="宋体" w:hAnsi="宋体" w:eastAsia="宋体"/>
          <w:b w:val="0"/>
          <w:sz w:val="21"/>
        </w:rPr>
        <w:t>A 级位点进入 MAS 仍需满足三个前提：因果变异、结构变异或功能单倍型明确；目标群体中等位基因频率、效应方向和分型可靠性经过确认；多性状副作用、福利和经济权重可接受。若这些前提缺失，即使生物学证据较强，也应停留在 T0 或 T1。</w:t>
      </w:r>
    </w:p>
    <w:p>
      <w:pPr>
        <w:pStyle w:val="Heading3"/>
        <w:jc w:val="left"/>
      </w:pPr>
      <w:r>
        <w:rPr>
          <w:rFonts w:ascii="宋体" w:hAnsi="宋体" w:eastAsia="宋体"/>
          <w:b/>
          <w:sz w:val="24"/>
        </w:rPr>
        <w:t>6.2 GS：复杂经济性状改良的主干</w:t>
      </w:r>
    </w:p>
    <w:p>
      <w:pPr>
        <w:spacing w:line="300" w:lineRule="auto"/>
        <w:ind w:firstLine="420"/>
      </w:pPr>
      <w:r>
        <w:rPr>
          <w:rFonts w:ascii="宋体" w:hAnsi="宋体" w:eastAsia="宋体"/>
          <w:b w:val="0"/>
          <w:sz w:val="21"/>
        </w:rPr>
        <w:t>对于生长、饲料效率、产蛋持续性、肉质、蛋壳强度、复杂抗病性和地方适应等多基因经济性状，基因组选择仍应是主要改良工具（Wolc, 2014；Wolc et al., 2016；Celik, 2024；Li X. et al., 2024）。这些性状通常没有单个位点足以解释主要遗传变异，强行寻找 MAS 标记反而容易造成过度解释。</w:t>
      </w:r>
    </w:p>
    <w:p>
      <w:pPr>
        <w:spacing w:line="300" w:lineRule="auto"/>
        <w:ind w:firstLine="420"/>
      </w:pPr>
      <w:r>
        <w:rPr>
          <w:rFonts w:ascii="宋体" w:hAnsi="宋体" w:eastAsia="宋体"/>
          <w:b w:val="0"/>
          <w:sz w:val="21"/>
        </w:rPr>
        <w:t>证据成熟度框架可以增强 GS，而不是与 GS 对立。B+ 或高可信 B 级位点可以作为功能先验，用于构建加权 GS 模型、贝叶斯模型或功能注释增强的预测模型。但这种使用方式应被表述为“提高预测或解释的先验信息”，而不是“该位点已经是因果标记”。</w:t>
      </w:r>
    </w:p>
    <w:p>
      <w:pPr>
        <w:pStyle w:val="Heading3"/>
        <w:jc w:val="left"/>
      </w:pPr>
      <w:r>
        <w:rPr>
          <w:rFonts w:ascii="宋体" w:hAnsi="宋体" w:eastAsia="宋体"/>
          <w:b/>
          <w:sz w:val="24"/>
        </w:rPr>
        <w:t>6.3 基因编辑：功能验证工具与少数关键靶点突破</w:t>
      </w:r>
    </w:p>
    <w:p>
      <w:pPr>
        <w:spacing w:line="300" w:lineRule="auto"/>
        <w:ind w:firstLine="420"/>
      </w:pPr>
      <w:r>
        <w:rPr>
          <w:rFonts w:ascii="宋体" w:hAnsi="宋体" w:eastAsia="宋体"/>
          <w:b w:val="0"/>
          <w:sz w:val="21"/>
        </w:rPr>
        <w:t>基因编辑在家鸡遗传研究中的价值首先是功能验证。PGC 介导编辑、内源等位基因替换、结构变异重建、靶点敲除或敲入，可以帮助候选位点从 B/B+ 推向 A。但基因编辑作为育种工具时门槛更高，需要同时面对证据非对称性、监管路径、动物福利、多代稳定性、市场接受度和病原逃逸等问题。</w:t>
      </w:r>
    </w:p>
    <w:p>
      <w:pPr>
        <w:spacing w:line="300" w:lineRule="auto"/>
        <w:ind w:firstLine="420"/>
      </w:pPr>
      <w:r>
        <w:rPr>
          <w:rFonts w:ascii="宋体" w:hAnsi="宋体" w:eastAsia="宋体"/>
          <w:b w:val="0"/>
          <w:sz w:val="21"/>
        </w:rPr>
        <w:t>ANP32A 的例子说明，gene/target-level A 不等于产业应用成熟。即使编辑能够降低特定禽流感病毒复制或感染风险，也必须评价病毒逃逸、ANP32 家族补偿、多性状影响、福利、监管和市场接受度。缺少这些前置条件时，该靶点更适合作为机制研究和编辑验证对象，而不是直接进入产业育种。</w:t>
      </w:r>
    </w:p>
    <w:p>
      <w:pPr>
        <w:pStyle w:val="Heading3"/>
        <w:jc w:val="left"/>
      </w:pPr>
      <w:r>
        <w:rPr>
          <w:rFonts w:ascii="宋体" w:hAnsi="宋体" w:eastAsia="宋体"/>
          <w:b/>
          <w:sz w:val="24"/>
        </w:rPr>
        <w:t>6.4 代表性位点的应用边界</w:t>
      </w:r>
    </w:p>
    <w:p>
      <w:pPr>
        <w:spacing w:line="300" w:lineRule="auto"/>
        <w:ind w:firstLine="420"/>
      </w:pPr>
      <w:r>
        <w:rPr>
          <w:rFonts w:ascii="宋体" w:hAnsi="宋体" w:eastAsia="宋体"/>
          <w:b w:val="0"/>
          <w:sz w:val="21"/>
        </w:rPr>
        <w:t>将代表性位点放入同一决策矩阵，可以更清楚地看到不同证据等级对应的不同用途。A/T2 位点可进入场景限定的品种特征管理；B+/T0 位点应优先进入功能验证和目标群体评估；B 或 C-B 位点主要服务机制研究和候选池构建；gene/target-level 强证据必须单独评估是否存在自然群体可育种变异。</w:t>
      </w:r>
    </w:p>
    <w:p>
      <w:pPr>
        <w:jc w:val="center"/>
      </w:pPr>
      <w:r>
        <w:rPr>
          <w:rFonts w:ascii="宋体" w:hAnsi="宋体" w:eastAsia="宋体"/>
          <w:b/>
          <w:sz w:val="21"/>
        </w:rPr>
        <w:t>表 6 代表性位点的应用边界</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pPr>
              <w:spacing w:line="240" w:lineRule="auto"/>
            </w:pPr>
            <w:r/>
            <w:r>
              <w:rPr>
                <w:rFonts w:ascii="宋体" w:hAnsi="宋体" w:eastAsia="宋体"/>
                <w:b/>
                <w:sz w:val="16"/>
              </w:rPr>
              <w:t>案例</w:t>
            </w:r>
          </w:p>
        </w:tc>
        <w:tc>
          <w:tcPr>
            <w:tcW w:type="dxa" w:w="2436"/>
          </w:tcPr>
          <w:p>
            <w:pPr>
              <w:spacing w:line="240" w:lineRule="auto"/>
            </w:pPr>
            <w:r/>
            <w:r>
              <w:rPr>
                <w:rFonts w:ascii="宋体" w:hAnsi="宋体" w:eastAsia="宋体"/>
                <w:b/>
                <w:sz w:val="16"/>
              </w:rPr>
              <w:t>当前证据定位</w:t>
            </w:r>
          </w:p>
        </w:tc>
        <w:tc>
          <w:tcPr>
            <w:tcW w:type="dxa" w:w="2436"/>
          </w:tcPr>
          <w:p>
            <w:pPr>
              <w:spacing w:line="240" w:lineRule="auto"/>
            </w:pPr>
            <w:r/>
            <w:r>
              <w:rPr>
                <w:rFonts w:ascii="宋体" w:hAnsi="宋体" w:eastAsia="宋体"/>
                <w:b/>
                <w:sz w:val="16"/>
              </w:rPr>
              <w:t>可以做</w:t>
            </w:r>
          </w:p>
        </w:tc>
        <w:tc>
          <w:tcPr>
            <w:tcW w:type="dxa" w:w="2436"/>
          </w:tcPr>
          <w:p>
            <w:pPr>
              <w:spacing w:line="240" w:lineRule="auto"/>
            </w:pPr>
            <w:r/>
            <w:r>
              <w:rPr>
                <w:rFonts w:ascii="宋体" w:hAnsi="宋体" w:eastAsia="宋体"/>
                <w:b/>
                <w:sz w:val="16"/>
              </w:rPr>
              <w:t>不该做</w:t>
            </w:r>
          </w:p>
        </w:tc>
      </w:tr>
      <w:tr>
        <w:tc>
          <w:tcPr>
            <w:tcW w:type="dxa" w:w="2436"/>
          </w:tcPr>
          <w:p>
            <w:pPr>
              <w:spacing w:line="240" w:lineRule="auto"/>
            </w:pPr>
            <w:r/>
            <w:r>
              <w:rPr>
                <w:rFonts w:ascii="宋体" w:hAnsi="宋体" w:eastAsia="宋体"/>
                <w:b w:val="0"/>
                <w:sz w:val="16"/>
              </w:rPr>
              <w:t>SLCO1B3</w:t>
            </w:r>
          </w:p>
        </w:tc>
        <w:tc>
          <w:tcPr>
            <w:tcW w:type="dxa" w:w="2436"/>
          </w:tcPr>
          <w:p>
            <w:pPr>
              <w:spacing w:line="240" w:lineRule="auto"/>
            </w:pPr>
            <w:r/>
            <w:r>
              <w:rPr>
                <w:rFonts w:ascii="宋体" w:hAnsi="宋体" w:eastAsia="宋体"/>
                <w:b w:val="0"/>
                <w:sz w:val="16"/>
              </w:rPr>
              <w:t>variant-level A / T2</w:t>
            </w:r>
          </w:p>
        </w:tc>
        <w:tc>
          <w:tcPr>
            <w:tcW w:type="dxa" w:w="2436"/>
          </w:tcPr>
          <w:p>
            <w:pPr>
              <w:spacing w:line="240" w:lineRule="auto"/>
            </w:pPr>
            <w:r/>
            <w:r>
              <w:rPr>
                <w:rFonts w:ascii="宋体" w:hAnsi="宋体" w:eastAsia="宋体"/>
                <w:b w:val="0"/>
                <w:sz w:val="16"/>
              </w:rPr>
              <w:t>蓝壳识别、品种特征管理、保种群体监测</w:t>
            </w:r>
          </w:p>
        </w:tc>
        <w:tc>
          <w:tcPr>
            <w:tcW w:type="dxa" w:w="2436"/>
          </w:tcPr>
          <w:p>
            <w:pPr>
              <w:spacing w:line="240" w:lineRule="auto"/>
            </w:pPr>
            <w:r/>
            <w:r>
              <w:rPr>
                <w:rFonts w:ascii="宋体" w:hAnsi="宋体" w:eastAsia="宋体"/>
                <w:b w:val="0"/>
                <w:sz w:val="16"/>
              </w:rPr>
              <w:t>外推为产蛋数、蛋壳强度或综合蛋品质标记</w:t>
            </w:r>
          </w:p>
        </w:tc>
      </w:tr>
      <w:tr>
        <w:tc>
          <w:tcPr>
            <w:tcW w:type="dxa" w:w="2436"/>
          </w:tcPr>
          <w:p>
            <w:pPr>
              <w:spacing w:line="240" w:lineRule="auto"/>
            </w:pPr>
            <w:r/>
            <w:r>
              <w:rPr>
                <w:rFonts w:ascii="宋体" w:hAnsi="宋体" w:eastAsia="宋体"/>
                <w:b w:val="0"/>
                <w:sz w:val="16"/>
              </w:rPr>
              <w:t>BCDO2</w:t>
            </w:r>
          </w:p>
        </w:tc>
        <w:tc>
          <w:tcPr>
            <w:tcW w:type="dxa" w:w="2436"/>
          </w:tcPr>
          <w:p>
            <w:pPr>
              <w:spacing w:line="240" w:lineRule="auto"/>
            </w:pPr>
            <w:r/>
            <w:r>
              <w:rPr>
                <w:rFonts w:ascii="宋体" w:hAnsi="宋体" w:eastAsia="宋体"/>
                <w:b w:val="0"/>
                <w:sz w:val="16"/>
              </w:rPr>
              <w:t>variant-level A / T2</w:t>
            </w:r>
          </w:p>
        </w:tc>
        <w:tc>
          <w:tcPr>
            <w:tcW w:type="dxa" w:w="2436"/>
          </w:tcPr>
          <w:p>
            <w:pPr>
              <w:spacing w:line="240" w:lineRule="auto"/>
            </w:pPr>
            <w:r/>
            <w:r>
              <w:rPr>
                <w:rFonts w:ascii="宋体" w:hAnsi="宋体" w:eastAsia="宋体"/>
                <w:b w:val="0"/>
                <w:sz w:val="16"/>
              </w:rPr>
              <w:t>肤色管理、品种特征管理、相关商品分级</w:t>
            </w:r>
          </w:p>
        </w:tc>
        <w:tc>
          <w:tcPr>
            <w:tcW w:type="dxa" w:w="2436"/>
          </w:tcPr>
          <w:p>
            <w:pPr>
              <w:spacing w:line="240" w:lineRule="auto"/>
            </w:pPr>
            <w:r/>
            <w:r>
              <w:rPr>
                <w:rFonts w:ascii="宋体" w:hAnsi="宋体" w:eastAsia="宋体"/>
                <w:b w:val="0"/>
                <w:sz w:val="16"/>
              </w:rPr>
              <w:t>外推为生长、肉质或地方适应标记</w:t>
            </w:r>
          </w:p>
        </w:tc>
      </w:tr>
      <w:tr>
        <w:tc>
          <w:tcPr>
            <w:tcW w:type="dxa" w:w="2436"/>
          </w:tcPr>
          <w:p>
            <w:pPr>
              <w:spacing w:line="240" w:lineRule="auto"/>
            </w:pPr>
            <w:r/>
            <w:r>
              <w:rPr>
                <w:rFonts w:ascii="宋体" w:hAnsi="宋体" w:eastAsia="宋体"/>
                <w:b w:val="0"/>
                <w:sz w:val="16"/>
              </w:rPr>
              <w:t>IGF2BP1</w:t>
            </w:r>
          </w:p>
        </w:tc>
        <w:tc>
          <w:tcPr>
            <w:tcW w:type="dxa" w:w="2436"/>
          </w:tcPr>
          <w:p>
            <w:pPr>
              <w:spacing w:line="240" w:lineRule="auto"/>
            </w:pPr>
            <w:r/>
            <w:r>
              <w:rPr>
                <w:rFonts w:ascii="宋体" w:hAnsi="宋体" w:eastAsia="宋体"/>
                <w:b w:val="0"/>
                <w:sz w:val="16"/>
              </w:rPr>
              <w:t>variant-level B+ / T0</w:t>
            </w:r>
          </w:p>
        </w:tc>
        <w:tc>
          <w:tcPr>
            <w:tcW w:type="dxa" w:w="2436"/>
          </w:tcPr>
          <w:p>
            <w:pPr>
              <w:spacing w:line="240" w:lineRule="auto"/>
            </w:pPr>
            <w:r/>
            <w:r>
              <w:rPr>
                <w:rFonts w:ascii="宋体" w:hAnsi="宋体" w:eastAsia="宋体"/>
                <w:b w:val="0"/>
                <w:sz w:val="16"/>
              </w:rPr>
              <w:t>内源编辑、等位基因导入、商业群体效应验证、GS 功能先验</w:t>
            </w:r>
          </w:p>
        </w:tc>
        <w:tc>
          <w:tcPr>
            <w:tcW w:type="dxa" w:w="2436"/>
          </w:tcPr>
          <w:p>
            <w:pPr>
              <w:spacing w:line="240" w:lineRule="auto"/>
            </w:pPr>
            <w:r/>
            <w:r>
              <w:rPr>
                <w:rFonts w:ascii="宋体" w:hAnsi="宋体" w:eastAsia="宋体"/>
                <w:b w:val="0"/>
                <w:sz w:val="16"/>
              </w:rPr>
              <w:t>直接进入 MAS 或写成确定性生长标记</w:t>
            </w:r>
          </w:p>
        </w:tc>
      </w:tr>
      <w:tr>
        <w:tc>
          <w:tcPr>
            <w:tcW w:type="dxa" w:w="2436"/>
          </w:tcPr>
          <w:p>
            <w:pPr>
              <w:spacing w:line="240" w:lineRule="auto"/>
            </w:pPr>
            <w:r/>
            <w:r>
              <w:rPr>
                <w:rFonts w:ascii="宋体" w:hAnsi="宋体" w:eastAsia="宋体"/>
                <w:b w:val="0"/>
                <w:sz w:val="16"/>
              </w:rPr>
              <w:t>IGFBP2/IGFBP5</w:t>
            </w:r>
          </w:p>
        </w:tc>
        <w:tc>
          <w:tcPr>
            <w:tcW w:type="dxa" w:w="2436"/>
          </w:tcPr>
          <w:p>
            <w:pPr>
              <w:spacing w:line="240" w:lineRule="auto"/>
            </w:pPr>
            <w:r/>
            <w:r>
              <w:rPr>
                <w:rFonts w:ascii="宋体" w:hAnsi="宋体" w:eastAsia="宋体"/>
                <w:b w:val="0"/>
                <w:sz w:val="16"/>
              </w:rPr>
              <w:t>variant-level B+ / T0</w:t>
            </w:r>
          </w:p>
        </w:tc>
        <w:tc>
          <w:tcPr>
            <w:tcW w:type="dxa" w:w="2436"/>
          </w:tcPr>
          <w:p>
            <w:pPr>
              <w:spacing w:line="240" w:lineRule="auto"/>
            </w:pPr>
            <w:r/>
            <w:r>
              <w:rPr>
                <w:rFonts w:ascii="宋体" w:hAnsi="宋体" w:eastAsia="宋体"/>
                <w:b w:val="0"/>
                <w:sz w:val="16"/>
              </w:rPr>
              <w:t>脂肪沉积机制验证、目标群体频率和多性状评估</w:t>
            </w:r>
          </w:p>
        </w:tc>
        <w:tc>
          <w:tcPr>
            <w:tcW w:type="dxa" w:w="2436"/>
          </w:tcPr>
          <w:p>
            <w:pPr>
              <w:spacing w:line="240" w:lineRule="auto"/>
            </w:pPr>
            <w:r/>
            <w:r>
              <w:rPr>
                <w:rFonts w:ascii="宋体" w:hAnsi="宋体" w:eastAsia="宋体"/>
                <w:b w:val="0"/>
                <w:sz w:val="16"/>
              </w:rPr>
              <w:t>直接指导降脂选择或忽略肉质、繁殖、代谢副作用</w:t>
            </w:r>
          </w:p>
        </w:tc>
      </w:tr>
      <w:tr>
        <w:tc>
          <w:tcPr>
            <w:tcW w:type="dxa" w:w="2436"/>
          </w:tcPr>
          <w:p>
            <w:pPr>
              <w:spacing w:line="240" w:lineRule="auto"/>
            </w:pPr>
            <w:r/>
            <w:r>
              <w:rPr>
                <w:rFonts w:ascii="宋体" w:hAnsi="宋体" w:eastAsia="宋体"/>
                <w:b w:val="0"/>
                <w:sz w:val="16"/>
              </w:rPr>
              <w:t>PHIP</w:t>
            </w:r>
          </w:p>
        </w:tc>
        <w:tc>
          <w:tcPr>
            <w:tcW w:type="dxa" w:w="2436"/>
          </w:tcPr>
          <w:p>
            <w:pPr>
              <w:spacing w:line="240" w:lineRule="auto"/>
            </w:pPr>
            <w:r/>
            <w:r>
              <w:rPr>
                <w:rFonts w:ascii="宋体" w:hAnsi="宋体" w:eastAsia="宋体"/>
                <w:b w:val="0"/>
                <w:sz w:val="16"/>
              </w:rPr>
              <w:t>variant-level B / T0</w:t>
            </w:r>
          </w:p>
        </w:tc>
        <w:tc>
          <w:tcPr>
            <w:tcW w:type="dxa" w:w="2436"/>
          </w:tcPr>
          <w:p>
            <w:pPr>
              <w:spacing w:line="240" w:lineRule="auto"/>
            </w:pPr>
            <w:r/>
            <w:r>
              <w:rPr>
                <w:rFonts w:ascii="宋体" w:hAnsi="宋体" w:eastAsia="宋体"/>
                <w:b w:val="0"/>
                <w:sz w:val="16"/>
              </w:rPr>
              <w:t>卵巢功能机制研究、纵向产蛋记录关联和体内验证设计</w:t>
            </w:r>
          </w:p>
        </w:tc>
        <w:tc>
          <w:tcPr>
            <w:tcW w:type="dxa" w:w="2436"/>
          </w:tcPr>
          <w:p>
            <w:pPr>
              <w:spacing w:line="240" w:lineRule="auto"/>
            </w:pPr>
            <w:r/>
            <w:r>
              <w:rPr>
                <w:rFonts w:ascii="宋体" w:hAnsi="宋体" w:eastAsia="宋体"/>
                <w:b w:val="0"/>
                <w:sz w:val="16"/>
              </w:rPr>
              <w:t>写成产蛋数量成熟标记</w:t>
            </w:r>
          </w:p>
        </w:tc>
      </w:tr>
      <w:tr>
        <w:tc>
          <w:tcPr>
            <w:tcW w:type="dxa" w:w="2436"/>
          </w:tcPr>
          <w:p>
            <w:pPr>
              <w:spacing w:line="240" w:lineRule="auto"/>
            </w:pPr>
            <w:r/>
            <w:r>
              <w:rPr>
                <w:rFonts w:ascii="宋体" w:hAnsi="宋体" w:eastAsia="宋体"/>
                <w:b w:val="0"/>
                <w:sz w:val="16"/>
              </w:rPr>
              <w:t>MHC-B</w:t>
            </w:r>
          </w:p>
        </w:tc>
        <w:tc>
          <w:tcPr>
            <w:tcW w:type="dxa" w:w="2436"/>
          </w:tcPr>
          <w:p>
            <w:pPr>
              <w:spacing w:line="240" w:lineRule="auto"/>
            </w:pPr>
            <w:r/>
            <w:r>
              <w:rPr>
                <w:rFonts w:ascii="宋体" w:hAnsi="宋体" w:eastAsia="宋体"/>
                <w:b w:val="0"/>
                <w:sz w:val="16"/>
              </w:rPr>
              <w:t>haplotype/region-level B+ / T1</w:t>
            </w:r>
          </w:p>
        </w:tc>
        <w:tc>
          <w:tcPr>
            <w:tcW w:type="dxa" w:w="2436"/>
          </w:tcPr>
          <w:p>
            <w:pPr>
              <w:spacing w:line="240" w:lineRule="auto"/>
            </w:pPr>
            <w:r/>
            <w:r>
              <w:rPr>
                <w:rFonts w:ascii="宋体" w:hAnsi="宋体" w:eastAsia="宋体"/>
                <w:b w:val="0"/>
                <w:sz w:val="16"/>
              </w:rPr>
              <w:t>特定疾病背景下风险评估和育种辅助决策</w:t>
            </w:r>
          </w:p>
        </w:tc>
        <w:tc>
          <w:tcPr>
            <w:tcW w:type="dxa" w:w="2436"/>
          </w:tcPr>
          <w:p>
            <w:pPr>
              <w:spacing w:line="240" w:lineRule="auto"/>
            </w:pPr>
            <w:r/>
            <w:r>
              <w:rPr>
                <w:rFonts w:ascii="宋体" w:hAnsi="宋体" w:eastAsia="宋体"/>
                <w:b w:val="0"/>
                <w:sz w:val="16"/>
              </w:rPr>
              <w:t>简化成普适抗病标记或单一因果变异</w:t>
            </w:r>
          </w:p>
        </w:tc>
      </w:tr>
      <w:tr>
        <w:tc>
          <w:tcPr>
            <w:tcW w:type="dxa" w:w="2436"/>
          </w:tcPr>
          <w:p>
            <w:pPr>
              <w:spacing w:line="240" w:lineRule="auto"/>
            </w:pPr>
            <w:r/>
            <w:r>
              <w:rPr>
                <w:rFonts w:ascii="宋体" w:hAnsi="宋体" w:eastAsia="宋体"/>
                <w:b w:val="0"/>
                <w:sz w:val="16"/>
              </w:rPr>
              <w:t>ANP32A</w:t>
            </w:r>
          </w:p>
        </w:tc>
        <w:tc>
          <w:tcPr>
            <w:tcW w:type="dxa" w:w="2436"/>
          </w:tcPr>
          <w:p>
            <w:pPr>
              <w:spacing w:line="240" w:lineRule="auto"/>
            </w:pPr>
            <w:r/>
            <w:r>
              <w:rPr>
                <w:rFonts w:ascii="宋体" w:hAnsi="宋体" w:eastAsia="宋体"/>
                <w:b w:val="0"/>
                <w:sz w:val="16"/>
              </w:rPr>
              <w:t>gene/target-level A；variant-level B-C</w:t>
            </w:r>
          </w:p>
        </w:tc>
        <w:tc>
          <w:tcPr>
            <w:tcW w:type="dxa" w:w="2436"/>
          </w:tcPr>
          <w:p>
            <w:pPr>
              <w:spacing w:line="240" w:lineRule="auto"/>
            </w:pPr>
            <w:r/>
            <w:r>
              <w:rPr>
                <w:rFonts w:ascii="宋体" w:hAnsi="宋体" w:eastAsia="宋体"/>
                <w:b w:val="0"/>
                <w:sz w:val="16"/>
              </w:rPr>
              <w:t>编辑抗病机制研究、生物安全评估、监管和福利前评估</w:t>
            </w:r>
          </w:p>
        </w:tc>
        <w:tc>
          <w:tcPr>
            <w:tcW w:type="dxa" w:w="2436"/>
          </w:tcPr>
          <w:p>
            <w:pPr>
              <w:spacing w:line="240" w:lineRule="auto"/>
            </w:pPr>
            <w:r/>
            <w:r>
              <w:rPr>
                <w:rFonts w:ascii="宋体" w:hAnsi="宋体" w:eastAsia="宋体"/>
                <w:b w:val="0"/>
                <w:sz w:val="16"/>
              </w:rPr>
              <w:t>写成自然群体中可直接选择的抗病标记</w:t>
            </w:r>
          </w:p>
        </w:tc>
      </w:tr>
      <w:tr>
        <w:tc>
          <w:tcPr>
            <w:tcW w:type="dxa" w:w="2436"/>
          </w:tcPr>
          <w:p>
            <w:pPr>
              <w:spacing w:line="240" w:lineRule="auto"/>
            </w:pPr>
            <w:r/>
            <w:r>
              <w:rPr>
                <w:rFonts w:ascii="宋体" w:hAnsi="宋体" w:eastAsia="宋体"/>
                <w:b w:val="0"/>
                <w:sz w:val="16"/>
              </w:rPr>
              <w:t>TSHR</w:t>
            </w:r>
          </w:p>
        </w:tc>
        <w:tc>
          <w:tcPr>
            <w:tcW w:type="dxa" w:w="2436"/>
          </w:tcPr>
          <w:p>
            <w:pPr>
              <w:spacing w:line="240" w:lineRule="auto"/>
            </w:pPr>
            <w:r/>
            <w:r>
              <w:rPr>
                <w:rFonts w:ascii="宋体" w:hAnsi="宋体" w:eastAsia="宋体"/>
                <w:b w:val="0"/>
                <w:sz w:val="16"/>
              </w:rPr>
              <w:t>variant-level B+ / T0-T1</w:t>
            </w:r>
          </w:p>
        </w:tc>
        <w:tc>
          <w:tcPr>
            <w:tcW w:type="dxa" w:w="2436"/>
          </w:tcPr>
          <w:p>
            <w:pPr>
              <w:spacing w:line="240" w:lineRule="auto"/>
            </w:pPr>
            <w:r/>
            <w:r>
              <w:rPr>
                <w:rFonts w:ascii="宋体" w:hAnsi="宋体" w:eastAsia="宋体"/>
                <w:b w:val="0"/>
                <w:sz w:val="16"/>
              </w:rPr>
              <w:t>驯化机制研究、地方品种保护和目标群体验证</w:t>
            </w:r>
          </w:p>
        </w:tc>
        <w:tc>
          <w:tcPr>
            <w:tcW w:type="dxa" w:w="2436"/>
          </w:tcPr>
          <w:p>
            <w:pPr>
              <w:spacing w:line="240" w:lineRule="auto"/>
            </w:pPr>
            <w:r/>
            <w:r>
              <w:rPr>
                <w:rFonts w:ascii="宋体" w:hAnsi="宋体" w:eastAsia="宋体"/>
                <w:b w:val="0"/>
                <w:sz w:val="16"/>
              </w:rPr>
              <w:t>写成现代商业产蛋或地方适应成熟标记</w:t>
            </w:r>
          </w:p>
        </w:tc>
      </w:tr>
    </w:tbl>
    <w:p/>
    <w:p>
      <w:pPr>
        <w:pStyle w:val="Heading2"/>
        <w:jc w:val="left"/>
      </w:pPr>
      <w:r>
        <w:rPr>
          <w:rFonts w:ascii="宋体" w:hAnsi="宋体" w:eastAsia="宋体"/>
          <w:b/>
          <w:sz w:val="24"/>
        </w:rPr>
        <w:t>7 瓶颈、未来方向与结论</w:t>
      </w:r>
    </w:p>
    <w:p>
      <w:pPr>
        <w:pStyle w:val="Heading3"/>
        <w:jc w:val="left"/>
      </w:pPr>
      <w:r>
        <w:rPr>
          <w:rFonts w:ascii="宋体" w:hAnsi="宋体" w:eastAsia="宋体"/>
          <w:b/>
          <w:sz w:val="24"/>
        </w:rPr>
        <w:t>7.1 证据格局背后的三类瓶颈</w:t>
      </w:r>
    </w:p>
    <w:p>
      <w:pPr>
        <w:spacing w:line="300" w:lineRule="auto"/>
        <w:ind w:firstLine="420"/>
      </w:pPr>
      <w:r>
        <w:rPr>
          <w:rFonts w:ascii="宋体" w:hAnsi="宋体" w:eastAsia="宋体"/>
          <w:b w:val="0"/>
          <w:sz w:val="21"/>
        </w:rPr>
        <w:t>家鸡复杂经济性状证据上限偏低，不只是研究投入不足，而是由三类结构性瓶颈共同造成。第一类是功能验证可及性。证据等级的真正跃迁发生在内源、体内和等位基因层面的因果验证，而鸡的生殖系操作、世代周期和验证成本使系统性等位基因替换难以规模化。</w:t>
      </w:r>
    </w:p>
    <w:p>
      <w:pPr>
        <w:spacing w:line="300" w:lineRule="auto"/>
        <w:ind w:firstLine="420"/>
      </w:pPr>
      <w:r>
        <w:rPr>
          <w:rFonts w:ascii="宋体" w:hAnsi="宋体" w:eastAsia="宋体"/>
          <w:b w:val="0"/>
          <w:sz w:val="21"/>
        </w:rPr>
        <w:t>第二类是群体异质性。白羽肉鸡、黄羽肉鸡、商业蛋鸡、地方品种和实验资源群体之间遗传背景差异显著，同一关联区域在不同群体中可能由不同因果变异驱动，效应方向和大小也可能改变。单一群体中的强证据不能默认推广到其他群体。</w:t>
      </w:r>
    </w:p>
    <w:p>
      <w:pPr>
        <w:spacing w:line="300" w:lineRule="auto"/>
        <w:ind w:firstLine="420"/>
      </w:pPr>
      <w:r>
        <w:rPr>
          <w:rFonts w:ascii="宋体" w:hAnsi="宋体" w:eastAsia="宋体"/>
          <w:b w:val="0"/>
          <w:sz w:val="21"/>
        </w:rPr>
        <w:t>第三类是表型和基础设施断层。复杂经济性状的证据天花板很大程度上由表型决定：饲料效率、产蛋持续性、肉质、抗病终点和地方适应指标的测量精度与可比性，直接限制下游分子证据可能达到的强度。高质量、标准化、可纵向追踪的表型基础设施，仍是比分子数据更稀缺也更基础的资源。</w:t>
      </w:r>
    </w:p>
    <w:p>
      <w:pPr>
        <w:pStyle w:val="Heading3"/>
        <w:jc w:val="left"/>
      </w:pPr>
      <w:r>
        <w:rPr>
          <w:rFonts w:ascii="宋体" w:hAnsi="宋体" w:eastAsia="宋体"/>
          <w:b/>
          <w:sz w:val="24"/>
        </w:rPr>
        <w:t>7.2 最可能改变证据分布的方向</w:t>
      </w:r>
    </w:p>
    <w:p>
      <w:pPr>
        <w:spacing w:line="300" w:lineRule="auto"/>
        <w:ind w:firstLine="420"/>
      </w:pPr>
      <w:r>
        <w:rPr>
          <w:rFonts w:ascii="宋体" w:hAnsi="宋体" w:eastAsia="宋体"/>
          <w:b w:val="0"/>
          <w:sz w:val="21"/>
        </w:rPr>
        <w:t>未来最可能改变证据分布的方向，不是继续增加候选信号数量，而是提高证据沿四个维度向上移动的能力。首先是泛基因组与结构变异图谱。随着长读长测序和图泛基因组发展，许多 region-level 或 gene-level 信号有机会推进到更明确的 variant-level。</w:t>
      </w:r>
    </w:p>
    <w:p>
      <w:pPr>
        <w:spacing w:line="300" w:lineRule="auto"/>
        <w:ind w:firstLine="420"/>
      </w:pPr>
      <w:r>
        <w:rPr>
          <w:rFonts w:ascii="宋体" w:hAnsi="宋体" w:eastAsia="宋体"/>
          <w:b w:val="0"/>
          <w:sz w:val="21"/>
        </w:rPr>
        <w:t>其次是生殖系编辑通量提升。若 PGC 介导编辑和等位基因替换的效率、规模与成本能够改善，大量 B+ 候选才可能系统性地进入 A 级验证。第三是跨群体、跨机构协作网络，特别是商业群体和地方品种在统一表型标准和共同环境下的平行研究，这将直接提高证据的可推广性和 T 轴判断的可靠性。</w:t>
      </w:r>
    </w:p>
    <w:p>
      <w:pPr>
        <w:spacing w:line="300" w:lineRule="auto"/>
        <w:ind w:firstLine="420"/>
      </w:pPr>
      <w:r>
        <w:rPr>
          <w:rFonts w:ascii="宋体" w:hAnsi="宋体" w:eastAsia="宋体"/>
          <w:b w:val="0"/>
          <w:sz w:val="21"/>
        </w:rPr>
        <w:t>第四是评级框架自身的形式化。本文框架目前是启发式工具；若要用于数据库标注或指南制定，需要预注册评分规则、建立基准位点集、开展多评估者盲法评分并报告一致性。只有这样，证据成熟度才能从一种叙述性判断语言，升级为可复现的评价体系。</w:t>
      </w:r>
    </w:p>
    <w:p>
      <w:pPr>
        <w:pStyle w:val="Heading3"/>
        <w:jc w:val="left"/>
      </w:pPr>
      <w:r>
        <w:rPr>
          <w:rFonts w:ascii="宋体" w:hAnsi="宋体" w:eastAsia="宋体"/>
          <w:b/>
          <w:sz w:val="24"/>
        </w:rPr>
        <w:t>7.3 结论</w:t>
      </w:r>
    </w:p>
    <w:p>
      <w:pPr>
        <w:spacing w:line="300" w:lineRule="auto"/>
        <w:ind w:firstLine="420"/>
      </w:pPr>
      <w:r>
        <w:rPr>
          <w:rFonts w:ascii="宋体" w:hAnsi="宋体" w:eastAsia="宋体"/>
          <w:b w:val="0"/>
          <w:sz w:val="21"/>
        </w:rPr>
        <w:t>家鸡复杂性状研究已经积累了足够多的候选信号；下一阶段的关键不在于继续扩张清单，而在于诚实标注每个信号处在什么证据阶段、缺哪一环、适合什么场景。C/B/B+/A 轴回答证据有多强，T0/T1/T2 轴回答能否用于特定育种场景，两者分开以后，很多过度解释会自然消失。</w:t>
      </w:r>
    </w:p>
    <w:p>
      <w:pPr>
        <w:spacing w:line="300" w:lineRule="auto"/>
        <w:ind w:firstLine="420"/>
      </w:pPr>
      <w:r>
        <w:rPr>
          <w:rFonts w:ascii="宋体" w:hAnsi="宋体" w:eastAsia="宋体"/>
          <w:b w:val="0"/>
          <w:sz w:val="21"/>
        </w:rPr>
        <w:t>对研究者而言，这一框架意味着把有限验证资源对准证据链断点，而不是反复加固已经成立的环节。对育种者而言，它意味着不把候选基因热度等同于应用价值，而是优先判断目标群体效应、多性状后果、福利、监管和经济可行性。</w:t>
      </w:r>
    </w:p>
    <w:p>
      <w:pPr>
        <w:spacing w:line="300" w:lineRule="auto"/>
        <w:ind w:firstLine="420"/>
      </w:pPr>
      <w:r>
        <w:rPr>
          <w:rFonts w:ascii="宋体" w:hAnsi="宋体" w:eastAsia="宋体"/>
          <w:b w:val="0"/>
          <w:sz w:val="21"/>
        </w:rPr>
        <w:t>归根结底，家鸡精准育种的进步取决于证据上限、性状结构和工具匹配三者能否持续对齐，而不取决于候选基因清单还能列多长。把“证据有多强”和“能不能用于育种”分开，是后关联时代家鸡候选位点研究走向可验证、可转化和可复核的前提。</w:t>
      </w:r>
    </w:p>
    <w:p>
      <w:r>
        <w:br w:type="page"/>
      </w:r>
    </w:p>
    <w:p>
      <w:pPr>
        <w:pStyle w:val="Heading2"/>
        <w:jc w:val="left"/>
      </w:pPr>
      <w:r>
        <w:rPr>
          <w:rFonts w:ascii="宋体" w:hAnsi="宋体" w:eastAsia="宋体"/>
          <w:b/>
          <w:sz w:val="24"/>
        </w:rPr>
        <w:t>参考文献</w:t>
      </w:r>
    </w:p>
    <w:p>
      <w:pPr>
        <w:spacing w:line="240" w:lineRule="auto"/>
        <w:ind w:hanging="198" w:left="198"/>
      </w:pPr>
      <w:r>
        <w:rPr>
          <w:rFonts w:ascii="宋体" w:hAnsi="宋体" w:eastAsia="宋体"/>
          <w:b w:val="0"/>
          <w:sz w:val="18"/>
        </w:rPr>
        <w:t>Animal QTLdb. Chicken QTLdb summary data by year and release. Release 58 (Dec. 29, 2025). https://www.animalgenome.org/cgi-bin/QTLdb/GG/summary?statu=&amp;summ=year. Accessed May 31, 2026.</w:t>
      </w:r>
    </w:p>
    <w:p>
      <w:pPr>
        <w:spacing w:line="240" w:lineRule="auto"/>
        <w:ind w:hanging="198" w:left="198"/>
      </w:pPr>
      <w:r>
        <w:rPr>
          <w:rFonts w:ascii="宋体" w:hAnsi="宋体" w:eastAsia="宋体"/>
          <w:b w:val="0"/>
          <w:sz w:val="18"/>
        </w:rPr>
        <w:t>Briles, W. E., and Briles, R. W. 1982. Identification of haplotypes of the chicken major histocompatibility complex (B). Immunogenetics 15:449-459. https://doi.org/10.1007/BF00345904.</w:t>
      </w:r>
    </w:p>
    <w:p>
      <w:pPr>
        <w:spacing w:line="240" w:lineRule="auto"/>
        <w:ind w:hanging="198" w:left="198"/>
      </w:pPr>
      <w:r>
        <w:rPr>
          <w:rFonts w:ascii="宋体" w:hAnsi="宋体" w:eastAsia="宋体"/>
          <w:b w:val="0"/>
          <w:sz w:val="18"/>
        </w:rPr>
        <w:t>Calenge, F., Kaiser, P., Vignal, A., and Beaumont, C. 2010. Genetic control of resistance to salmonellosis and to Salmonella carrier-state in fowl: a review. Genetics Selection Evolution 42:11. https://doi.org/10.1186/1297-9686-42-11.</w:t>
      </w:r>
    </w:p>
    <w:p>
      <w:pPr>
        <w:spacing w:line="240" w:lineRule="auto"/>
        <w:ind w:hanging="198" w:left="198"/>
      </w:pPr>
      <w:r>
        <w:rPr>
          <w:rFonts w:ascii="宋体" w:hAnsi="宋体" w:eastAsia="宋体"/>
          <w:b w:val="0"/>
          <w:sz w:val="18"/>
        </w:rPr>
        <w:t>Celik, S. 2024. Bibliometric analysis of genomic selection in breeding of animal from 1993 to 2024: global trends and advancements. Frontiers in Genetics 15:1402140. https://doi.org/10.3389/fgene.2024.1402140.</w:t>
      </w:r>
    </w:p>
    <w:p>
      <w:pPr>
        <w:spacing w:line="240" w:lineRule="auto"/>
        <w:ind w:hanging="198" w:left="198"/>
      </w:pPr>
      <w:r>
        <w:rPr>
          <w:rFonts w:ascii="宋体" w:hAnsi="宋体" w:eastAsia="宋体"/>
          <w:b w:val="0"/>
          <w:sz w:val="18"/>
        </w:rPr>
        <w:t>ChickenGTEx Consortium, Yao, Y., Smith, J., et al. 2025. Genetic regulation of gene expression across multiple tissues in chickens. Nature Genetics 57:1298-1308. https://doi.org/10.1038/s41588-025-02155-9.</w:t>
      </w:r>
    </w:p>
    <w:p>
      <w:pPr>
        <w:spacing w:line="240" w:lineRule="auto"/>
        <w:ind w:hanging="198" w:left="198"/>
      </w:pPr>
      <w:r>
        <w:rPr>
          <w:rFonts w:ascii="宋体" w:hAnsi="宋体" w:eastAsia="宋体"/>
          <w:b w:val="0"/>
          <w:sz w:val="18"/>
        </w:rPr>
        <w:t>Degalez, F., Bardou, P., and Lagarrigue, S. 2024. GEGA (Gallus Enriched Gene Annotation): an online tool providing genomics and functional information across 47 tissues for a chicken gene-enriched atlas gathering Ensembl and RefSeq genome annotations. NAR Genomics and Bioinformatics 6:lqae101. https://doi.org/10.1093/nargab/lqae101.</w:t>
      </w:r>
    </w:p>
    <w:p>
      <w:pPr>
        <w:spacing w:line="240" w:lineRule="auto"/>
        <w:ind w:hanging="198" w:left="198"/>
      </w:pPr>
      <w:r>
        <w:rPr>
          <w:rFonts w:ascii="宋体" w:hAnsi="宋体" w:eastAsia="宋体"/>
          <w:b w:val="0"/>
          <w:sz w:val="18"/>
        </w:rPr>
        <w:t>Dorshorst, B., Molin, A.-M., Rubin, C.-J., et al. 2011. A complex genomic rearrangement involving the endothelin 3 locus causes dermal hyperpigmentation in the chicken. PLoS Genetics 7:e1002412. https://doi.org/10.1371/journal.pgen.1002412.</w:t>
      </w:r>
    </w:p>
    <w:p>
      <w:pPr>
        <w:spacing w:line="240" w:lineRule="auto"/>
        <w:ind w:hanging="198" w:left="198"/>
      </w:pPr>
      <w:r>
        <w:rPr>
          <w:rFonts w:ascii="宋体" w:hAnsi="宋体" w:eastAsia="宋体"/>
          <w:b w:val="0"/>
          <w:sz w:val="18"/>
        </w:rPr>
        <w:t>Elferink, M. G., Vallee, A. A., Jungerius, A. P., Crooijmans, R. P. M. A., and Groenen, M. A. M. 2008. Partial duplication of the PRLR and SPEF2 genes at the late feathering locus in chicken. BMC Genomics 9:391. https://doi.org/10.1186/1471-2164-9-391.</w:t>
      </w:r>
    </w:p>
    <w:p>
      <w:pPr>
        <w:spacing w:line="240" w:lineRule="auto"/>
        <w:ind w:hanging="198" w:left="198"/>
      </w:pPr>
      <w:r>
        <w:rPr>
          <w:rFonts w:ascii="宋体" w:hAnsi="宋体" w:eastAsia="宋体"/>
          <w:b w:val="0"/>
          <w:sz w:val="18"/>
        </w:rPr>
        <w:t>Eriksson, J., Larson, G., Gunnarsson, U., et al. 2008. Identification of the yellow skin gene reveals a hybrid origin of the domestic chicken. PLoS Genetics 4:e1000010. https://doi.org/10.1371/journal.pgen.1000010.</w:t>
      </w:r>
    </w:p>
    <w:p>
      <w:pPr>
        <w:spacing w:line="240" w:lineRule="auto"/>
        <w:ind w:hanging="198" w:left="198"/>
      </w:pPr>
      <w:r>
        <w:rPr>
          <w:rFonts w:ascii="宋体" w:hAnsi="宋体" w:eastAsia="宋体"/>
          <w:b w:val="0"/>
          <w:sz w:val="18"/>
        </w:rPr>
        <w:t>Fang, B., and Edwards, S. V. 2025. Pangenomes: new tools for ecological and evolutionary genomics. Trends in Ecology &amp; Evolution. https://doi.org/10.1016/j.tree.2025.11.010.</w:t>
      </w:r>
    </w:p>
    <w:p>
      <w:pPr>
        <w:spacing w:line="240" w:lineRule="auto"/>
        <w:ind w:hanging="198" w:left="198"/>
      </w:pPr>
      <w:r>
        <w:rPr>
          <w:rFonts w:ascii="宋体" w:hAnsi="宋体" w:eastAsia="宋体"/>
          <w:b w:val="0"/>
          <w:sz w:val="18"/>
        </w:rPr>
        <w:t>Fleiss, J. L. 1971. Measuring nominal scale agreement among many raters. Psychological Bulletin 76:378-382. https://doi.org/10.1037/h0031619.</w:t>
      </w:r>
    </w:p>
    <w:p>
      <w:pPr>
        <w:spacing w:line="240" w:lineRule="auto"/>
        <w:ind w:hanging="198" w:left="198"/>
      </w:pPr>
      <w:r>
        <w:rPr>
          <w:rFonts w:ascii="宋体" w:hAnsi="宋体" w:eastAsia="宋体"/>
          <w:b w:val="0"/>
          <w:sz w:val="18"/>
        </w:rPr>
        <w:t>Fu, Y., Wu, C., Shen, M., Pan, J., Zhang, H., Sun, L., Liang, S., and Huang, X. 2023. Genome-wide association study of egg production traits in Shuanglian chickens using whole genome sequencing. Genes 14:2129. https://doi.org/10.3390/genes14122129.</w:t>
      </w:r>
    </w:p>
    <w:p>
      <w:pPr>
        <w:spacing w:line="240" w:lineRule="auto"/>
        <w:ind w:hanging="198" w:left="198"/>
      </w:pPr>
      <w:r>
        <w:rPr>
          <w:rFonts w:ascii="宋体" w:hAnsi="宋体" w:eastAsia="宋体"/>
          <w:b w:val="0"/>
          <w:sz w:val="18"/>
        </w:rPr>
        <w:t>Gao, Y., Xu, G., Zeng, T., Tian, Y., Wu, P., Liu, Y., Zhao, Y., and Zhou, S. 2022. Genome-wide association study of egg-laying traits and egg quality in LingKun chickens. Frontiers in Veterinary Science 9:877739. https://doi.org/10.3389/fvets.2022.877739.</w:t>
      </w:r>
    </w:p>
    <w:p>
      <w:pPr>
        <w:spacing w:line="240" w:lineRule="auto"/>
        <w:ind w:hanging="198" w:left="198"/>
      </w:pPr>
      <w:r>
        <w:rPr>
          <w:rFonts w:ascii="宋体" w:hAnsi="宋体" w:eastAsia="宋体"/>
          <w:b w:val="0"/>
          <w:sz w:val="18"/>
        </w:rPr>
        <w:t>Giambartolomei, C., Vukcevic, D., Schadt, E. E., et al. 2014. Bayesian test for colocalisation between pairs of genetic association studies using summary statistics. PLoS Genetics 10:e1004383. https://doi.org/10.1371/journal.pgen.1004383.</w:t>
      </w:r>
    </w:p>
    <w:p>
      <w:pPr>
        <w:spacing w:line="240" w:lineRule="auto"/>
        <w:ind w:hanging="198" w:left="198"/>
      </w:pPr>
      <w:r>
        <w:rPr>
          <w:rFonts w:ascii="宋体" w:hAnsi="宋体" w:eastAsia="宋体"/>
          <w:b w:val="0"/>
          <w:sz w:val="18"/>
        </w:rPr>
        <w:t>Guyatt, G. H., Oxman, A. D., Vist, G. E., et al. 2008. GRADE: an emerging consensus on rating quality of evidence and strength of recommendations. BMJ 336:924-926. https://doi.org/10.1136/bmj.39489.470347.AD.</w:t>
      </w:r>
    </w:p>
    <w:p>
      <w:pPr>
        <w:spacing w:line="240" w:lineRule="auto"/>
        <w:ind w:hanging="198" w:left="198"/>
      </w:pPr>
      <w:r>
        <w:rPr>
          <w:rFonts w:ascii="宋体" w:hAnsi="宋体" w:eastAsia="宋体"/>
          <w:b w:val="0"/>
          <w:sz w:val="18"/>
        </w:rPr>
        <w:t>Habimana, R., Ngeno, K., Okeno, T. O., Hirwa, C. d. A., Keambou Tiambo, C., and Yao, N. 2021. Genome-wide association study of growth performance and immune response to Newcastle disease virus of indigenous chicken in Rwanda. Frontiers in Genetics 12:723980. https://doi.org/10.3389/fgene.2021.723980.</w:t>
      </w:r>
    </w:p>
    <w:p>
      <w:pPr>
        <w:spacing w:line="240" w:lineRule="auto"/>
        <w:ind w:hanging="198" w:left="198"/>
      </w:pPr>
      <w:r>
        <w:rPr>
          <w:rFonts w:ascii="宋体" w:hAnsi="宋体" w:eastAsia="宋体"/>
          <w:b w:val="0"/>
          <w:sz w:val="18"/>
        </w:rPr>
        <w:t>He, J., Shi, N., Yao, H., Li, J., Wang, Y., and Zhang, J. 2025. Genome editing in the chicken: from PGC-mediated germline transmission to advanced applications. International Journal of Molecular Sciences 26:9426. https://doi.org/10.3390/ijms26199426.</w:t>
      </w:r>
    </w:p>
    <w:p>
      <w:pPr>
        <w:spacing w:line="240" w:lineRule="auto"/>
        <w:ind w:hanging="198" w:left="198"/>
      </w:pPr>
      <w:r>
        <w:rPr>
          <w:rFonts w:ascii="宋体" w:hAnsi="宋体" w:eastAsia="宋体"/>
          <w:b w:val="0"/>
          <w:sz w:val="18"/>
        </w:rPr>
        <w:t>Hormozdiari, F., van de Bunt, M., Segre, A. V., et al. 2016. Colocalization of GWAS and eQTL signals detects target genes. American Journal of Human Genetics 99:1245-1260. https://doi.org/10.1016/j.ajhg.2016.10.003.</w:t>
      </w:r>
    </w:p>
    <w:p>
      <w:pPr>
        <w:spacing w:line="240" w:lineRule="auto"/>
        <w:ind w:hanging="198" w:left="198"/>
      </w:pPr>
      <w:r>
        <w:rPr>
          <w:rFonts w:ascii="宋体" w:hAnsi="宋体" w:eastAsia="宋体"/>
          <w:b w:val="0"/>
          <w:sz w:val="18"/>
        </w:rPr>
        <w:t>Hu, Z.-L., Park, C. A., and Reecy, J. M. 2016. Developmental progress and current status of the Animal QTLdb. Nucleic Acids Research 44:D827-D833. https://doi.org/10.1093/nar/gkv1233.</w:t>
      </w:r>
    </w:p>
    <w:p>
      <w:pPr>
        <w:spacing w:line="240" w:lineRule="auto"/>
        <w:ind w:hanging="198" w:left="198"/>
      </w:pPr>
      <w:r>
        <w:rPr>
          <w:rFonts w:ascii="宋体" w:hAnsi="宋体" w:eastAsia="宋体"/>
          <w:b w:val="0"/>
          <w:sz w:val="18"/>
        </w:rPr>
        <w:t>Idoko-Akoh, A., Goldhill, D. H., Sheppard, C. M., et al. 2023. Creating resistance to avian influenza infection through genome editing of the ANP32 gene family. Nature Communications 14:6136. https://doi.org/10.1038/s41467-023-41476-3.</w:t>
      </w:r>
    </w:p>
    <w:p>
      <w:pPr>
        <w:spacing w:line="240" w:lineRule="auto"/>
        <w:ind w:hanging="198" w:left="198"/>
      </w:pPr>
      <w:r>
        <w:rPr>
          <w:rFonts w:ascii="宋体" w:hAnsi="宋体" w:eastAsia="宋体"/>
          <w:b w:val="0"/>
          <w:sz w:val="18"/>
        </w:rPr>
        <w:t>Imsland, F., Feng, C., Boije, H., et al. 2012. The Rose-comb mutation in chickens constitutes a structural rearrangement causing both altered comb morphology and defective sperm motility. PLoS Genetics 8:e1002775. https://doi.org/10.1371/journal.pgen.1002775.</w:t>
      </w:r>
    </w:p>
    <w:p>
      <w:pPr>
        <w:spacing w:line="240" w:lineRule="auto"/>
        <w:ind w:hanging="198" w:left="198"/>
      </w:pPr>
      <w:r>
        <w:rPr>
          <w:rFonts w:ascii="宋体" w:hAnsi="宋体" w:eastAsia="宋体"/>
          <w:b w:val="0"/>
          <w:sz w:val="18"/>
        </w:rPr>
        <w:t>Inoue, F., and Ahituv, N. 2015. Decoding enhancers using massively parallel reporter assays. Genomics 106:159-164. https://doi.org/10.1016/j.ygeno.2015.06.005.</w:t>
      </w:r>
    </w:p>
    <w:p>
      <w:pPr>
        <w:spacing w:line="240" w:lineRule="auto"/>
        <w:ind w:hanging="198" w:left="198"/>
      </w:pPr>
      <w:r>
        <w:rPr>
          <w:rFonts w:ascii="宋体" w:hAnsi="宋体" w:eastAsia="宋体"/>
          <w:b w:val="0"/>
          <w:sz w:val="18"/>
        </w:rPr>
        <w:t>Kambadur, R., Sharma, M., Smith, T. P. L., and Bass, J. J. 1997. Mutations in myostatin (GDF8) in double-muscled Belgian Blue and Piedmontese cattle. Genome Research 7:910-916. https://doi.org/10.1101/gr.7.9.910.</w:t>
      </w:r>
    </w:p>
    <w:p>
      <w:pPr>
        <w:spacing w:line="240" w:lineRule="auto"/>
        <w:ind w:hanging="198" w:left="198"/>
      </w:pPr>
      <w:r>
        <w:rPr>
          <w:rFonts w:ascii="宋体" w:hAnsi="宋体" w:eastAsia="宋体"/>
          <w:b w:val="0"/>
          <w:sz w:val="18"/>
        </w:rPr>
        <w:t>Kampmann, M. 2018. CRISPRi and CRISPRa screens in mammalian cells for precision biology and medicine. ACS Chemical Biology 13:406-416. https://doi.org/10.1021/acschembio.7b00657.</w:t>
      </w:r>
    </w:p>
    <w:p>
      <w:pPr>
        <w:spacing w:line="240" w:lineRule="auto"/>
        <w:ind w:hanging="198" w:left="198"/>
      </w:pPr>
      <w:r>
        <w:rPr>
          <w:rFonts w:ascii="宋体" w:hAnsi="宋体" w:eastAsia="宋体"/>
          <w:b w:val="0"/>
          <w:sz w:val="18"/>
        </w:rPr>
        <w:t>Kang, X., Lu, Y., Zhang, H., et al. 2024. Genome-wide association study identifies a novel candidate gene for egg production traits in chickens. Animal Genetics 55:480-483. https://doi.org/10.1111/age.13427.</w:t>
      </w:r>
    </w:p>
    <w:p>
      <w:pPr>
        <w:spacing w:line="240" w:lineRule="auto"/>
        <w:ind w:hanging="198" w:left="198"/>
      </w:pPr>
      <w:r>
        <w:rPr>
          <w:rFonts w:ascii="宋体" w:hAnsi="宋体" w:eastAsia="宋体"/>
          <w:b w:val="0"/>
          <w:sz w:val="18"/>
        </w:rPr>
        <w:t>Kaufman, J., Milne, S., Göbel, T. W. F., et al. 1999. The chicken B locus is a minimal essential major histocompatibility complex. Nature 401:923-925. https://doi.org/10.1038/44856.</w:t>
      </w:r>
    </w:p>
    <w:p>
      <w:pPr>
        <w:spacing w:line="240" w:lineRule="auto"/>
        <w:ind w:hanging="198" w:left="198"/>
      </w:pPr>
      <w:r>
        <w:rPr>
          <w:rFonts w:ascii="宋体" w:hAnsi="宋体" w:eastAsia="宋体"/>
          <w:b w:val="0"/>
          <w:sz w:val="18"/>
        </w:rPr>
        <w:t>Kerje, S., Lind, J., Schütz, K., Jensen, P., and Andersson, L. 2003. Melanocortin 1-receptor (MC1R) mutations are associated with plumage colour in chicken. Animal Genetics 34:241-248. https://doi.org/10.1046/j.1365-2052.2003.00991.x.</w:t>
      </w:r>
    </w:p>
    <w:p>
      <w:pPr>
        <w:spacing w:line="240" w:lineRule="auto"/>
        <w:ind w:hanging="198" w:left="198"/>
      </w:pPr>
      <w:r>
        <w:rPr>
          <w:rFonts w:ascii="宋体" w:hAnsi="宋体" w:eastAsia="宋体"/>
          <w:b w:val="0"/>
          <w:sz w:val="18"/>
        </w:rPr>
        <w:t>Kerje, S., Sharma, P., Gunnarsson, U., et al. 2004. The Dominant white, Dun and Smoky color variants in chicken are associated with insertion/deletion polymorphisms in the PMEL17 gene. Genetics 168:1507-1518. https://doi.org/10.1534/genetics.104.027995.</w:t>
      </w:r>
    </w:p>
    <w:p>
      <w:pPr>
        <w:spacing w:line="240" w:lineRule="auto"/>
        <w:ind w:hanging="198" w:left="198"/>
      </w:pPr>
      <w:r>
        <w:rPr>
          <w:rFonts w:ascii="宋体" w:hAnsi="宋体" w:eastAsia="宋体"/>
          <w:b w:val="0"/>
          <w:sz w:val="18"/>
        </w:rPr>
        <w:t>Kim, D. K., Hong, Y. H., Lillehoj, H. S., and Lee, S. H. 2010. Genetic effects analysis of myeloid leukemia factor 2 and T cell receptor-β on resistance to coccidiosis in chickens. Poultry Science 89:20-27. https://doi.org/10.3382/ps.2009-00351.</w:t>
      </w:r>
    </w:p>
    <w:p>
      <w:pPr>
        <w:spacing w:line="240" w:lineRule="auto"/>
        <w:ind w:hanging="198" w:left="198"/>
      </w:pPr>
      <w:r>
        <w:rPr>
          <w:rFonts w:ascii="宋体" w:hAnsi="宋体" w:eastAsia="宋体"/>
          <w:b w:val="0"/>
          <w:sz w:val="18"/>
        </w:rPr>
        <w:t>Lee, H. J., Lee, K. Y., Jung, K. M., et al. 2017. Precise gene editing of chicken Na+/H+ exchange type 1 (chNHE1) confers resistance to avian leukosis virus subgroup J (ALV-J). Developmental and Comparative Immunology 77:340-349. https://doi.org/10.1016/j.dci.2017.09.006.</w:t>
      </w:r>
    </w:p>
    <w:p>
      <w:pPr>
        <w:spacing w:line="240" w:lineRule="auto"/>
        <w:ind w:hanging="198" w:left="198"/>
      </w:pPr>
      <w:r>
        <w:rPr>
          <w:rFonts w:ascii="宋体" w:hAnsi="宋体" w:eastAsia="宋体"/>
          <w:b w:val="0"/>
          <w:sz w:val="18"/>
        </w:rPr>
        <w:t>Li, D., Chen, G., Zhang, X., et al. 2018. Naturally occurring frameshift mutations in the tvb receptor gene are responsible for decreased susceptibility of chicken to infection with avian leukosis virus subgroups B, D, and E. Journal of Virology 92:e01770-17. https://doi.org/10.1128/JVI.01770-17.</w:t>
      </w:r>
    </w:p>
    <w:p>
      <w:pPr>
        <w:spacing w:line="240" w:lineRule="auto"/>
        <w:ind w:hanging="198" w:left="198"/>
      </w:pPr>
      <w:r>
        <w:rPr>
          <w:rFonts w:ascii="宋体" w:hAnsi="宋体" w:eastAsia="宋体"/>
          <w:b w:val="0"/>
          <w:sz w:val="18"/>
        </w:rPr>
        <w:t>Li, G., Chen, S., Duan, Z., Qu, L., Xu, G., and Yang, N. 2013. Comparison of protoporphyrin IX content and related gene expression in the tissues of chickens laying brown-shelled eggs. Poultry Science 92:3120-3124. https://doi.org/10.3382/ps.2013-03484.</w:t>
      </w:r>
    </w:p>
    <w:p>
      <w:pPr>
        <w:spacing w:line="240" w:lineRule="auto"/>
        <w:ind w:hanging="198" w:left="198"/>
      </w:pPr>
      <w:r>
        <w:rPr>
          <w:rFonts w:ascii="宋体" w:hAnsi="宋体" w:eastAsia="宋体"/>
          <w:b w:val="0"/>
          <w:sz w:val="18"/>
        </w:rPr>
        <w:t>Li, J., Lee, M. O., Davis, B. W., et al. 2020. Mutations upstream of the TBX5 and PITX1 transcription factor genes are associated with feathered legs in the domestic chicken. Molecular Biology and Evolution 37:2477-2486. https://doi.org/10.1093/molbev/msaa093.</w:t>
      </w:r>
    </w:p>
    <w:p>
      <w:pPr>
        <w:spacing w:line="240" w:lineRule="auto"/>
        <w:ind w:hanging="198" w:left="198"/>
      </w:pPr>
      <w:r>
        <w:rPr>
          <w:rFonts w:ascii="宋体" w:hAnsi="宋体" w:eastAsia="宋体"/>
          <w:b w:val="0"/>
          <w:sz w:val="18"/>
        </w:rPr>
        <w:t>Li, X., Chen, X., Wang, Q., Yang, N., and Sun, C. 2024. Integrating bioinformatics and machine learning for genomic prediction in chickens. Genes 15:690. https://doi.org/10.3390/genes15060690.</w:t>
      </w:r>
    </w:p>
    <w:p>
      <w:pPr>
        <w:spacing w:line="240" w:lineRule="auto"/>
        <w:ind w:hanging="198" w:left="198"/>
      </w:pPr>
      <w:r>
        <w:rPr>
          <w:rFonts w:ascii="宋体" w:hAnsi="宋体" w:eastAsia="宋体"/>
          <w:b w:val="0"/>
          <w:sz w:val="18"/>
        </w:rPr>
        <w:t>Liu, R., Luo, C., Wang, Z., et al. 2017. Assessment of the genomic prediction accuracy for feed efficiency traits in meat-type chickens. PLoS ONE 12:e0173620. https://doi.org/10.1371/journal.pone.0173620.</w:t>
      </w:r>
    </w:p>
    <w:p>
      <w:pPr>
        <w:spacing w:line="240" w:lineRule="auto"/>
        <w:ind w:hanging="198" w:left="198"/>
      </w:pPr>
      <w:r>
        <w:rPr>
          <w:rFonts w:ascii="宋体" w:hAnsi="宋体" w:eastAsia="宋体"/>
          <w:b w:val="0"/>
          <w:sz w:val="18"/>
        </w:rPr>
        <w:t>Liu, W., Kaiser, M. G., and Lamont, S. J. 2003. Natural resistance-associated macrophage protein 1 gene polymorphisms and response to vaccine against or challenge with Salmonella enteritidis in young chicks. Poultry Science 82:259-266. https://doi.org/10.1093/ps/82.2.259.</w:t>
      </w:r>
    </w:p>
    <w:p>
      <w:pPr>
        <w:spacing w:line="240" w:lineRule="auto"/>
        <w:ind w:hanging="198" w:left="198"/>
      </w:pPr>
      <w:r>
        <w:rPr>
          <w:rFonts w:ascii="宋体" w:hAnsi="宋体" w:eastAsia="宋体"/>
          <w:b w:val="0"/>
          <w:sz w:val="18"/>
        </w:rPr>
        <w:t>Luo, C., Qu, H., Ma, J., et al. 2013. Genome-wide association study of antibody response to Newcastle disease virus in chicken. BMC Genetics 14:42. https://doi.org/10.1186/1471-2156-14-42.</w:t>
      </w:r>
    </w:p>
    <w:p>
      <w:pPr>
        <w:spacing w:line="240" w:lineRule="auto"/>
        <w:ind w:hanging="198" w:left="198"/>
      </w:pPr>
      <w:r>
        <w:rPr>
          <w:rFonts w:ascii="宋体" w:hAnsi="宋体" w:eastAsia="宋体"/>
          <w:b w:val="0"/>
          <w:sz w:val="18"/>
        </w:rPr>
        <w:t>Luo, C., Qu, H., Ma, J., et al. 2014. A genome-wide association study identifies major loci affecting the immune response against infectious bronchitis virus in chicken. Infection, Genetics and Evolution 21:351-358. https://doi.org/10.1016/j.meegid.2013.12.004.</w:t>
      </w:r>
    </w:p>
    <w:p>
      <w:pPr>
        <w:spacing w:line="240" w:lineRule="auto"/>
        <w:ind w:hanging="198" w:left="198"/>
      </w:pPr>
      <w:r>
        <w:rPr>
          <w:rFonts w:ascii="宋体" w:hAnsi="宋体" w:eastAsia="宋体"/>
          <w:b w:val="0"/>
          <w:sz w:val="18"/>
        </w:rPr>
        <w:t>MacLeod, I. M., Bowman, P. J., Vander Jagt, C. J., et al. 2016. Exploiting biological priors and sequence variants enhances QTL discovery and genomic prediction of complex traits. BMC Genomics 17:144. https://doi.org/10.1186/s12864-016-2443-6.</w:t>
      </w:r>
    </w:p>
    <w:p>
      <w:pPr>
        <w:spacing w:line="240" w:lineRule="auto"/>
        <w:ind w:hanging="198" w:left="198"/>
      </w:pPr>
      <w:r>
        <w:rPr>
          <w:rFonts w:ascii="宋体" w:hAnsi="宋体" w:eastAsia="宋体"/>
          <w:b w:val="0"/>
          <w:sz w:val="18"/>
        </w:rPr>
        <w:t>McHugh, M. L. 2012. Interrater reliability: the kappa statistic. Biochemia Medica 22:276-282. https://doi.org/10.11613/BM.2012.031.</w:t>
      </w:r>
    </w:p>
    <w:p>
      <w:pPr>
        <w:spacing w:line="240" w:lineRule="auto"/>
        <w:ind w:hanging="198" w:left="198"/>
      </w:pPr>
      <w:r>
        <w:rPr>
          <w:rFonts w:ascii="宋体" w:hAnsi="宋体" w:eastAsia="宋体"/>
          <w:b w:val="0"/>
          <w:sz w:val="18"/>
        </w:rPr>
        <w:t>Mebratie, W., Madsen, P., Hawken, R., Romé, H., Marois, D., Henshall, J., Bovenhuis, H., and Jensen, J. 2019. Genetic parameters for body weight and different definitions of residual feed intake in broiler chickens. Genetics Selection Evolution 51:53. https://doi.org/10.1186/s12711-019-0494-2.</w:t>
      </w:r>
    </w:p>
    <w:p>
      <w:pPr>
        <w:spacing w:line="240" w:lineRule="auto"/>
        <w:ind w:hanging="198" w:left="198"/>
      </w:pPr>
      <w:r>
        <w:rPr>
          <w:rFonts w:ascii="宋体" w:hAnsi="宋体" w:eastAsia="宋体"/>
          <w:b w:val="0"/>
          <w:sz w:val="18"/>
        </w:rPr>
        <w:t>Ng, C. S., Wu, P., Foley, J., et al. 2012. The chicken frizzle feather is due to an α-keratin (KRT75) mutation that causes a defective rachis. PLoS Genetics 8:e1002748. https://doi.org/10.1371/journal.pgen.1002748.</w:t>
      </w:r>
    </w:p>
    <w:p>
      <w:pPr>
        <w:spacing w:line="240" w:lineRule="auto"/>
        <w:ind w:hanging="198" w:left="198"/>
      </w:pPr>
      <w:r>
        <w:rPr>
          <w:rFonts w:ascii="宋体" w:hAnsi="宋体" w:eastAsia="宋体"/>
          <w:b w:val="0"/>
          <w:sz w:val="18"/>
        </w:rPr>
        <w:t>Rehm, H. L., Berg, J. S., Brooks, L. D., et al. 2015. ClinGen--the Clinical Genome Resource. New England Journal of Medicine 372:2235-2242. https://doi.org/10.1056/NEJMsr1406261.</w:t>
      </w:r>
    </w:p>
    <w:p>
      <w:pPr>
        <w:spacing w:line="240" w:lineRule="auto"/>
        <w:ind w:hanging="198" w:left="198"/>
      </w:pPr>
      <w:r>
        <w:rPr>
          <w:rFonts w:ascii="宋体" w:hAnsi="宋体" w:eastAsia="宋体"/>
          <w:b w:val="0"/>
          <w:sz w:val="18"/>
        </w:rPr>
        <w:t>Rice, E. S., Alberdi, A., Alfieri, J., et al. 2023. A pangenome graph reference of 30 chicken genomes allows genotyping of large and complex structural variants. BMC Biology 21:267. https://doi.org/10.1186/s12915-023-01758-0.</w:t>
      </w:r>
    </w:p>
    <w:p>
      <w:pPr>
        <w:spacing w:line="240" w:lineRule="auto"/>
        <w:ind w:hanging="198" w:left="198"/>
      </w:pPr>
      <w:r>
        <w:rPr>
          <w:rFonts w:ascii="宋体" w:hAnsi="宋体" w:eastAsia="宋体"/>
          <w:b w:val="0"/>
          <w:sz w:val="18"/>
        </w:rPr>
        <w:t>Richards, S., Aziz, N., Bale, S., et al. 2015. Standards and guidelines for the interpretation of sequence variants: a joint consensus recommendation of the American College of Medical Genetics and Genomics and the Association for Molecular Pathology. Genetics in Medicine 17:405-423. https://doi.org/10.1038/gim.2015.30.</w:t>
      </w:r>
    </w:p>
    <w:p>
      <w:pPr>
        <w:spacing w:line="240" w:lineRule="auto"/>
        <w:ind w:hanging="198" w:left="198"/>
      </w:pPr>
      <w:r>
        <w:rPr>
          <w:rFonts w:ascii="宋体" w:hAnsi="宋体" w:eastAsia="宋体"/>
          <w:b w:val="0"/>
          <w:sz w:val="18"/>
        </w:rPr>
        <w:t>Rubin, C.-J., Zody, M. C., Eriksson, J., et al. 2010. Whole-genome resequencing reveals loci under selection during chicken domestication. Nature 464:587-591. https://doi.org/10.1038/nature08832.</w:t>
      </w:r>
    </w:p>
    <w:p>
      <w:pPr>
        <w:spacing w:line="240" w:lineRule="auto"/>
        <w:ind w:hanging="198" w:left="198"/>
      </w:pPr>
      <w:r>
        <w:rPr>
          <w:rFonts w:ascii="宋体" w:hAnsi="宋体" w:eastAsia="宋体"/>
          <w:b w:val="0"/>
          <w:sz w:val="18"/>
        </w:rPr>
        <w:t>Samiullah, S., and Roberts, J. R. 2015. Eggshell color in brown-egg laying hens: a review. Poultry Science 94:2566-2575. https://doi.org/10.3382/ps/pev202.</w:t>
      </w:r>
    </w:p>
    <w:p>
      <w:pPr>
        <w:spacing w:line="240" w:lineRule="auto"/>
        <w:ind w:hanging="198" w:left="198"/>
      </w:pPr>
      <w:r>
        <w:rPr>
          <w:rFonts w:ascii="宋体" w:hAnsi="宋体" w:eastAsia="宋体"/>
          <w:b w:val="0"/>
          <w:sz w:val="18"/>
        </w:rPr>
        <w:t>Shen, L., Bai, X., Zhao, L., et al. 2024. Integrative 3D genomics with multi-omics analysis and functional validation of genetic regulatory mechanisms of abdominal fat deposition in chickens. Nature Communications 15:9274. https://doi.org/10.1038/s41467-024-53692-6.</w:t>
      </w:r>
    </w:p>
    <w:p>
      <w:pPr>
        <w:spacing w:line="240" w:lineRule="auto"/>
        <w:ind w:hanging="198" w:left="198"/>
      </w:pPr>
      <w:r>
        <w:rPr>
          <w:rFonts w:ascii="宋体" w:hAnsi="宋体" w:eastAsia="宋体"/>
          <w:b w:val="0"/>
          <w:sz w:val="18"/>
        </w:rPr>
        <w:t>Smith, J., Sadeyen, J.-R., Butter, C., Kaiser, P., and Burt, D. W. 2015. Analysis of the early immune response to infection by infectious bursal disease virus in chickens differing in their resistance to the disease. Journal of Virology 89:2469-2482. https://doi.org/10.1128/JVI.02828-14.</w:t>
      </w:r>
    </w:p>
    <w:p>
      <w:pPr>
        <w:spacing w:line="240" w:lineRule="auto"/>
        <w:ind w:hanging="198" w:left="198"/>
      </w:pPr>
      <w:r>
        <w:rPr>
          <w:rFonts w:ascii="宋体" w:hAnsi="宋体" w:eastAsia="宋体"/>
          <w:b w:val="0"/>
          <w:sz w:val="18"/>
        </w:rPr>
        <w:t>Strande, N. T., Riggs, E. R., Buchanan, A. H., et al. 2017. Evaluating the clinical validity of gene-disease associations: an evidence-based framework developed by the Clinical Genome Resource. American Journal of Human Genetics 100:895-906. https://doi.org/10.1016/j.ajhg.2017.04.015.</w:t>
      </w:r>
    </w:p>
    <w:p>
      <w:pPr>
        <w:spacing w:line="240" w:lineRule="auto"/>
        <w:ind w:hanging="198" w:left="198"/>
      </w:pPr>
      <w:r>
        <w:rPr>
          <w:rFonts w:ascii="宋体" w:hAnsi="宋体" w:eastAsia="宋体"/>
          <w:b w:val="0"/>
          <w:sz w:val="18"/>
        </w:rPr>
        <w:t>Tohidi, R., Idris, I. B., Malar Panandam, J., and Hair Bejo, M. 2013. The effects of polymorphisms in 7 candidate genes on resistance to Salmonella Enteritidis in native chickens. Poultry Science 92:900-909. https://doi.org/10.3382/ps.2012-02797.</w:t>
      </w:r>
    </w:p>
    <w:p>
      <w:pPr>
        <w:spacing w:line="240" w:lineRule="auto"/>
        <w:ind w:hanging="198" w:left="198"/>
      </w:pPr>
      <w:r>
        <w:rPr>
          <w:rFonts w:ascii="宋体" w:hAnsi="宋体" w:eastAsia="宋体"/>
          <w:b w:val="0"/>
          <w:sz w:val="18"/>
        </w:rPr>
        <w:t>van de Lavoir, M.-C., Diamond, J. H., Leighton, P. A., et al. 2006. Germline transmission of genetically modified primordial germ cells. Nature 441:766-769. https://doi.org/10.1038/nature04831.</w:t>
      </w:r>
    </w:p>
    <w:p>
      <w:pPr>
        <w:spacing w:line="240" w:lineRule="auto"/>
        <w:ind w:hanging="198" w:left="198"/>
      </w:pPr>
      <w:r>
        <w:rPr>
          <w:rFonts w:ascii="宋体" w:hAnsi="宋体" w:eastAsia="宋体"/>
          <w:b w:val="0"/>
          <w:sz w:val="18"/>
        </w:rPr>
        <w:t>Wadood, A. A., and Zhang, X. 2024. The omics revolution in understanding chicken reproduction: a comprehensive review. Current Issues in Molecular Biology 46:6248-6266. https://doi.org/10.3390/cimb46060373.</w:t>
      </w:r>
    </w:p>
    <w:p>
      <w:pPr>
        <w:spacing w:line="240" w:lineRule="auto"/>
        <w:ind w:hanging="198" w:left="198"/>
      </w:pPr>
      <w:r>
        <w:rPr>
          <w:rFonts w:ascii="宋体" w:hAnsi="宋体" w:eastAsia="宋体"/>
          <w:b w:val="0"/>
          <w:sz w:val="18"/>
        </w:rPr>
        <w:t>Wang, D., Zhu, Y., Dong, J., Zhi, Y., Wei, G., Kang, X., and Liu, X. 2025. Exploring the functional variations of key candidate genes affecting egg production by hypothalamic-pituitary-ovarian axis in chickens. Poultry Science 104:105027. https://doi.org/10.1016/j.psj.2025.105027.</w:t>
      </w:r>
    </w:p>
    <w:p>
      <w:pPr>
        <w:spacing w:line="240" w:lineRule="auto"/>
        <w:ind w:hanging="198" w:left="198"/>
      </w:pPr>
      <w:r>
        <w:rPr>
          <w:rFonts w:ascii="宋体" w:hAnsi="宋体" w:eastAsia="宋体"/>
          <w:b w:val="0"/>
          <w:sz w:val="18"/>
        </w:rPr>
        <w:t>Wang, K., Hu, H., Tian, Y., et al. 2021. The chicken pan-genome reveals gene content variation and a promoter region deletion in IGF2BP1 affecting body size. Molecular Biology and Evolution 38:5066-5081. https://doi.org/10.1093/molbev/msab231.</w:t>
      </w:r>
    </w:p>
    <w:p>
      <w:pPr>
        <w:spacing w:line="240" w:lineRule="auto"/>
        <w:ind w:hanging="198" w:left="198"/>
      </w:pPr>
      <w:r>
        <w:rPr>
          <w:rFonts w:ascii="宋体" w:hAnsi="宋体" w:eastAsia="宋体"/>
          <w:b w:val="0"/>
          <w:sz w:val="18"/>
        </w:rPr>
        <w:t>Wang, Y., Brahmakshatriya, V., Lupiani, B., et al. 2012. Associations of chicken Mx1 polymorphism with antiviral responses in avian influenza virus infected embryos and broilers. Poultry Science 91:3019-3024. https://doi.org/10.3382/ps.2012-02471.</w:t>
      </w:r>
    </w:p>
    <w:p>
      <w:pPr>
        <w:spacing w:line="240" w:lineRule="auto"/>
        <w:ind w:hanging="198" w:left="198"/>
      </w:pPr>
      <w:r>
        <w:rPr>
          <w:rFonts w:ascii="宋体" w:hAnsi="宋体" w:eastAsia="宋体"/>
          <w:b w:val="0"/>
          <w:sz w:val="18"/>
        </w:rPr>
        <w:t>Wang, Y., Reid, A., Wilson, P. W., and Dunn, I. C. 2022. Identification of the core promoter and variants regulating chicken CCKAR expression. Genes 13:1083. https://doi.org/10.3390/genes13061083.</w:t>
      </w:r>
    </w:p>
    <w:p>
      <w:pPr>
        <w:spacing w:line="240" w:lineRule="auto"/>
        <w:ind w:hanging="198" w:left="198"/>
      </w:pPr>
      <w:r>
        <w:rPr>
          <w:rFonts w:ascii="宋体" w:hAnsi="宋体" w:eastAsia="宋体"/>
          <w:b w:val="0"/>
          <w:sz w:val="18"/>
        </w:rPr>
        <w:t>Wang, Z., and Zhou, Z. 2021. Research note: Fine mapping of sequence variants associated with body weight of Lueyang black-boned chicken in the CCKAR gene. Poultry Science 100:101448. https://doi.org/10.1016/j.psj.2021.101448.</w:t>
      </w:r>
    </w:p>
    <w:p>
      <w:pPr>
        <w:spacing w:line="240" w:lineRule="auto"/>
        <w:ind w:hanging="198" w:left="198"/>
      </w:pPr>
      <w:r>
        <w:rPr>
          <w:rFonts w:ascii="宋体" w:hAnsi="宋体" w:eastAsia="宋体"/>
          <w:b w:val="0"/>
          <w:sz w:val="18"/>
        </w:rPr>
        <w:t>Wang, Z., Qu, L., Yao, J., et al. 2013. An EAV-HP insertion in 5 flanking region of SLCO1B3 causes blue eggshell in the chicken. PLoS Genetics 9:e1003183. https://doi.org/10.1371/journal.pgen.1003183.</w:t>
      </w:r>
    </w:p>
    <w:p>
      <w:pPr>
        <w:spacing w:line="240" w:lineRule="auto"/>
        <w:ind w:hanging="198" w:left="198"/>
      </w:pPr>
      <w:r>
        <w:rPr>
          <w:rFonts w:ascii="宋体" w:hAnsi="宋体" w:eastAsia="宋体"/>
          <w:b w:val="0"/>
          <w:sz w:val="18"/>
        </w:rPr>
        <w:t>Whyte, J., Glover, J. D., Woodcock, M., et al. 2015. FGF, insulin, and SMAD signaling cooperate for avian primordial germ cell self-renewal. Stem Cell Reports 5:1171-1182. https://doi.org/10.1016/j.stemcr.2015.10.008.</w:t>
      </w:r>
    </w:p>
    <w:p>
      <w:pPr>
        <w:spacing w:line="240" w:lineRule="auto"/>
        <w:ind w:hanging="198" w:left="198"/>
      </w:pPr>
      <w:r>
        <w:rPr>
          <w:rFonts w:ascii="宋体" w:hAnsi="宋体" w:eastAsia="宋体"/>
          <w:b w:val="0"/>
          <w:sz w:val="18"/>
        </w:rPr>
        <w:t>Wolc, A. 2014. Understanding genomic selection in poultry breeding. World's Poultry Science Journal 70:309-314. https://doi.org/10.1017/S0043933914000324.</w:t>
      </w:r>
    </w:p>
    <w:p>
      <w:pPr>
        <w:spacing w:line="240" w:lineRule="auto"/>
        <w:ind w:hanging="198" w:left="198"/>
      </w:pPr>
      <w:r>
        <w:rPr>
          <w:rFonts w:ascii="宋体" w:hAnsi="宋体" w:eastAsia="宋体"/>
          <w:b w:val="0"/>
          <w:sz w:val="18"/>
        </w:rPr>
        <w:t>Wolc, A., Kranis, A., Arango, J., et al. 2016. Implementation of genomic selection in the poultry industry. Animal Frontiers 6:23-31. https://doi.org/10.2527/af.2016-0004.</w:t>
      </w:r>
    </w:p>
    <w:p>
      <w:pPr>
        <w:spacing w:line="240" w:lineRule="auto"/>
        <w:ind w:hanging="198" w:left="198"/>
      </w:pPr>
      <w:r>
        <w:rPr>
          <w:rFonts w:ascii="宋体" w:hAnsi="宋体" w:eastAsia="宋体"/>
          <w:b w:val="0"/>
          <w:sz w:val="18"/>
        </w:rPr>
        <w:t>Wright, D., Boije, H., Meadows, J. R. S., et al. 2009. Copy number variation in intron 1 of SOX5 causes the pea-comb phenotype in chickens. PLoS Genetics 5:e1000512. https://doi.org/10.1371/journal.pgen.1000512.</w:t>
      </w:r>
    </w:p>
    <w:p>
      <w:pPr>
        <w:spacing w:line="240" w:lineRule="auto"/>
        <w:ind w:hanging="198" w:left="198"/>
      </w:pPr>
      <w:r>
        <w:rPr>
          <w:rFonts w:ascii="宋体" w:hAnsi="宋体" w:eastAsia="宋体"/>
          <w:b w:val="0"/>
          <w:sz w:val="18"/>
        </w:rPr>
        <w:t>Xu, H., Nie, Q., and Zhang, X. 2013. Overview of genomic insights into chicken growth traits based on genome-wide association study and microRNA regulation. Current Genomics 14:137-146. https://doi.org/10.2174/1389202911314020006.</w:t>
      </w:r>
    </w:p>
    <w:p>
      <w:pPr>
        <w:spacing w:line="240" w:lineRule="auto"/>
        <w:ind w:hanging="198" w:left="198"/>
      </w:pPr>
      <w:r>
        <w:rPr>
          <w:rFonts w:ascii="宋体" w:hAnsi="宋体" w:eastAsia="宋体"/>
          <w:b w:val="0"/>
          <w:sz w:val="18"/>
        </w:rPr>
        <w:t>Yan, Y., Zhu, S., Jia, M., et al. 2024. Advances in single-cell transcriptomics in animal research. Journal of Animal Science and Biotechnology 15:102. https://doi.org/10.1186/s40104-024-01063-y.</w:t>
      </w:r>
    </w:p>
    <w:p>
      <w:pPr>
        <w:spacing w:line="240" w:lineRule="auto"/>
        <w:ind w:hanging="198" w:left="198"/>
      </w:pPr>
      <w:r>
        <w:rPr>
          <w:rFonts w:ascii="宋体" w:hAnsi="宋体" w:eastAsia="宋体"/>
          <w:b w:val="0"/>
          <w:sz w:val="18"/>
        </w:rPr>
        <w:t>Yang, L., Xu, L., Wang, X., et al. 2021. Genome-wide association study and genomic prediction for growth traits in yellow-plumage chicken using genotyping-by-sequencing. Genetics Selection Evolution 53:82. https://doi.org/10.1186/s12711-021-00672-9.</w:t>
      </w:r>
    </w:p>
    <w:p>
      <w:pPr>
        <w:spacing w:line="240" w:lineRule="auto"/>
        <w:ind w:hanging="198" w:left="198"/>
      </w:pPr>
      <w:r>
        <w:rPr>
          <w:rFonts w:ascii="宋体" w:hAnsi="宋体" w:eastAsia="宋体"/>
          <w:b w:val="0"/>
          <w:sz w:val="18"/>
        </w:rPr>
        <w:t>Zhang, M., Li, F., Sun, J.-W., et al. 2019. LncRNA IMFNCR promotes intramuscular adipocyte differentiation by sponging miR-128-3p and miR-27b-3p. Frontiers in Genetics 10:42. https://doi.org/10.3389/fgene.2019.00042.</w:t>
      </w:r>
    </w:p>
    <w:p>
      <w:pPr>
        <w:spacing w:line="240" w:lineRule="auto"/>
        <w:ind w:hanging="198" w:left="198"/>
      </w:pPr>
      <w:r>
        <w:rPr>
          <w:rFonts w:ascii="宋体" w:hAnsi="宋体" w:eastAsia="宋体"/>
          <w:b w:val="0"/>
          <w:sz w:val="18"/>
        </w:rPr>
        <w:t>Zheng, J., Li, J., Zhang, X., et al. 2022. Identification of crucial genes and metabolites regulating the eggshell brownness in chicken. BMC Genomics 23:805. https://doi.org/10.1186/s12864-022-08987-7.</w:t>
      </w:r>
    </w:p>
    <w:p>
      <w:pPr>
        <w:spacing w:line="240" w:lineRule="auto"/>
        <w:ind w:hanging="198" w:left="198"/>
      </w:pPr>
      <w:r>
        <w:rPr>
          <w:rFonts w:ascii="宋体" w:hAnsi="宋体" w:eastAsia="宋体"/>
          <w:b w:val="0"/>
          <w:sz w:val="18"/>
        </w:rPr>
        <w:t>Zhu, Z., Zhang, F., Hu, H., et al. 2016. Integration of summary data from GWAS and eQTL studies predicts complex trait gene targets. Nature Genetics 48:481-487. https://doi.org/10.1038/ng.3538.</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