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F9CA0" w14:textId="77777777" w:rsidR="005D7114" w:rsidRDefault="00287B38">
      <w:pPr>
        <w:pStyle w:val="Standard"/>
        <w:jc w:val="center"/>
        <w:rPr>
          <w:rFonts w:ascii="Open Sans" w:hAnsi="Open Sans"/>
        </w:rPr>
      </w:pPr>
      <w:r>
        <w:rPr>
          <w:rFonts w:ascii="Open Sans" w:hAnsi="Open Sans"/>
        </w:rPr>
        <w:t>In situ multispectral fluorescence, a new method for the assessment of phytoplankton community taxonomic composition from BGC-Argo floats</w:t>
      </w:r>
    </w:p>
    <w:p w14:paraId="4B687A32" w14:textId="77777777" w:rsidR="005D7114" w:rsidRDefault="005D7114">
      <w:pPr>
        <w:pStyle w:val="Standard"/>
        <w:jc w:val="center"/>
        <w:rPr>
          <w:rFonts w:ascii="Open Sans" w:hAnsi="Open Sans"/>
        </w:rPr>
      </w:pPr>
    </w:p>
    <w:p w14:paraId="0224A25D" w14:textId="77777777" w:rsidR="005D7114" w:rsidRDefault="005D7114">
      <w:pPr>
        <w:pStyle w:val="Standard"/>
        <w:rPr>
          <w:rFonts w:ascii="Open Sans" w:hAnsi="Open Sans"/>
        </w:rPr>
      </w:pPr>
    </w:p>
    <w:p w14:paraId="5275873A" w14:textId="77777777" w:rsidR="005D7114" w:rsidRDefault="00287B38">
      <w:pPr>
        <w:pStyle w:val="Standard"/>
        <w:rPr>
          <w:rFonts w:ascii="Open Sans" w:hAnsi="Open Sans"/>
        </w:rPr>
      </w:pPr>
      <w:r>
        <w:rPr>
          <w:rFonts w:ascii="Open Sans" w:hAnsi="Open Sans"/>
        </w:rPr>
        <w:t>1) Introduction</w:t>
      </w:r>
    </w:p>
    <w:p w14:paraId="01D193D1" w14:textId="77777777" w:rsidR="005D7114" w:rsidRDefault="00287B38">
      <w:pPr>
        <w:pStyle w:val="Standard"/>
        <w:rPr>
          <w:rFonts w:ascii="Open Sans" w:hAnsi="Open Sans"/>
        </w:rPr>
      </w:pPr>
      <w:r>
        <w:rPr>
          <w:rFonts w:ascii="Open Sans" w:hAnsi="Open Sans"/>
        </w:rPr>
        <w:tab/>
      </w:r>
    </w:p>
    <w:p w14:paraId="6BD81B36" w14:textId="006C0DFD" w:rsidR="007A6DE8" w:rsidRPr="009A3411" w:rsidRDefault="006418FF">
      <w:pPr>
        <w:pStyle w:val="Standard"/>
        <w:spacing w:line="360" w:lineRule="auto"/>
        <w:jc w:val="both"/>
        <w:rPr>
          <w:rFonts w:ascii="Open Sans" w:hAnsi="Open Sans"/>
          <w:sz w:val="22"/>
          <w:szCs w:val="22"/>
        </w:rPr>
      </w:pPr>
      <w:r>
        <w:rPr>
          <w:rFonts w:ascii="Open Sans" w:hAnsi="Open Sans"/>
          <w:sz w:val="22"/>
          <w:szCs w:val="22"/>
        </w:rPr>
        <w:t>Phytoplankton play a key role in numerous biogeochemical cycles. In th</w:t>
      </w:r>
      <w:r w:rsidR="00451913">
        <w:rPr>
          <w:rFonts w:ascii="Open Sans" w:hAnsi="Open Sans"/>
          <w:sz w:val="22"/>
          <w:szCs w:val="22"/>
        </w:rPr>
        <w:t>e current context</w:t>
      </w:r>
      <w:r w:rsidR="00287B38" w:rsidRPr="009A3411">
        <w:rPr>
          <w:rFonts w:ascii="Open Sans" w:hAnsi="Open Sans"/>
          <w:sz w:val="22"/>
          <w:szCs w:val="22"/>
        </w:rPr>
        <w:t xml:space="preserve"> of global changes</w:t>
      </w:r>
      <w:r>
        <w:rPr>
          <w:rFonts w:ascii="Open Sans" w:hAnsi="Open Sans"/>
          <w:sz w:val="22"/>
          <w:szCs w:val="22"/>
        </w:rPr>
        <w:t xml:space="preserve"> it is crucial to monitor its dynamic on the global scale</w:t>
      </w:r>
      <w:r w:rsidR="00287B38" w:rsidRPr="009A3411">
        <w:rPr>
          <w:rFonts w:ascii="Open Sans" w:hAnsi="Open Sans"/>
          <w:sz w:val="22"/>
          <w:szCs w:val="22"/>
        </w:rPr>
        <w:t>. The emergence of new observation tools such as Biogeochemical Argo (BGC-Argo) Floats opened the possibility to embark sensors to collect</w:t>
      </w:r>
      <w:r w:rsidR="009911E6">
        <w:rPr>
          <w:rFonts w:ascii="Open Sans" w:hAnsi="Open Sans"/>
          <w:sz w:val="22"/>
          <w:szCs w:val="22"/>
        </w:rPr>
        <w:t xml:space="preserve"> continuous vertical</w:t>
      </w:r>
      <w:r w:rsidR="00287B38" w:rsidRPr="009A3411">
        <w:rPr>
          <w:rFonts w:ascii="Open Sans" w:hAnsi="Open Sans"/>
          <w:sz w:val="22"/>
          <w:szCs w:val="22"/>
        </w:rPr>
        <w:t xml:space="preserve"> optical and chemical </w:t>
      </w:r>
      <w:r>
        <w:rPr>
          <w:rFonts w:ascii="Open Sans" w:hAnsi="Open Sans"/>
          <w:sz w:val="22"/>
          <w:szCs w:val="22"/>
        </w:rPr>
        <w:t>data on a quasi-global scale</w:t>
      </w:r>
      <w:r w:rsidR="00287B38" w:rsidRPr="009A3411">
        <w:rPr>
          <w:rFonts w:ascii="Open Sans" w:hAnsi="Open Sans"/>
          <w:sz w:val="22"/>
          <w:szCs w:val="22"/>
        </w:rPr>
        <w:t>.</w:t>
      </w:r>
      <w:r>
        <w:rPr>
          <w:rFonts w:ascii="Open Sans" w:hAnsi="Open Sans"/>
          <w:sz w:val="22"/>
          <w:szCs w:val="22"/>
        </w:rPr>
        <w:t xml:space="preserve"> However,</w:t>
      </w:r>
      <w:r w:rsidR="00287B38" w:rsidRPr="009A3411">
        <w:rPr>
          <w:rFonts w:ascii="Open Sans" w:hAnsi="Open Sans"/>
          <w:sz w:val="22"/>
          <w:szCs w:val="22"/>
        </w:rPr>
        <w:t xml:space="preserve"> </w:t>
      </w:r>
      <w:r>
        <w:rPr>
          <w:rFonts w:ascii="Open Sans" w:hAnsi="Open Sans"/>
          <w:sz w:val="22"/>
          <w:szCs w:val="22"/>
        </w:rPr>
        <w:t>t</w:t>
      </w:r>
      <w:r w:rsidR="00287B38" w:rsidRPr="009A3411">
        <w:rPr>
          <w:rFonts w:ascii="Open Sans" w:hAnsi="Open Sans"/>
          <w:sz w:val="22"/>
          <w:szCs w:val="22"/>
        </w:rPr>
        <w:t xml:space="preserve">he phytoplankton component is mostly </w:t>
      </w:r>
      <w:r w:rsidR="0063058F" w:rsidRPr="009A3411">
        <w:rPr>
          <w:rFonts w:ascii="Open Sans" w:hAnsi="Open Sans"/>
          <w:sz w:val="22"/>
          <w:szCs w:val="22"/>
        </w:rPr>
        <w:t>monitored</w:t>
      </w:r>
      <w:r w:rsidR="00287B38" w:rsidRPr="009A3411">
        <w:rPr>
          <w:rFonts w:ascii="Open Sans" w:hAnsi="Open Sans"/>
          <w:sz w:val="22"/>
          <w:szCs w:val="22"/>
        </w:rPr>
        <w:t xml:space="preserve"> through its biomass using a fluorometer to estimate chlorophyll-a concentration ([</w:t>
      </w:r>
      <w:proofErr w:type="spellStart"/>
      <w:r w:rsidR="00287B38" w:rsidRPr="009A3411">
        <w:rPr>
          <w:rFonts w:ascii="Open Sans" w:hAnsi="Open Sans"/>
          <w:sz w:val="22"/>
          <w:szCs w:val="22"/>
        </w:rPr>
        <w:t>chla</w:t>
      </w:r>
      <w:proofErr w:type="spellEnd"/>
      <w:r w:rsidR="00287B38" w:rsidRPr="009A3411">
        <w:rPr>
          <w:rFonts w:ascii="Open Sans" w:hAnsi="Open Sans"/>
          <w:sz w:val="22"/>
          <w:szCs w:val="22"/>
        </w:rPr>
        <w:t>]). However, the phytoplankton community</w:t>
      </w:r>
      <w:r w:rsidR="0063058F" w:rsidRPr="009A3411">
        <w:rPr>
          <w:rFonts w:ascii="Open Sans" w:hAnsi="Open Sans"/>
          <w:sz w:val="22"/>
          <w:szCs w:val="22"/>
        </w:rPr>
        <w:t xml:space="preserve"> composition</w:t>
      </w:r>
      <w:r w:rsidR="00287B38" w:rsidRPr="009A3411">
        <w:rPr>
          <w:rFonts w:ascii="Open Sans" w:hAnsi="Open Sans"/>
          <w:sz w:val="22"/>
          <w:szCs w:val="22"/>
        </w:rPr>
        <w:t xml:space="preserve"> plays a key role in the carbon cycle in many ways</w:t>
      </w:r>
      <w:r w:rsidR="0063058F" w:rsidRPr="009A3411">
        <w:rPr>
          <w:rFonts w:ascii="Open Sans" w:hAnsi="Open Sans"/>
          <w:sz w:val="22"/>
          <w:szCs w:val="22"/>
        </w:rPr>
        <w:t>..</w:t>
      </w:r>
      <w:r w:rsidR="00287B38" w:rsidRPr="009A3411">
        <w:rPr>
          <w:rFonts w:ascii="Open Sans" w:hAnsi="Open Sans"/>
          <w:sz w:val="22"/>
          <w:szCs w:val="22"/>
        </w:rPr>
        <w:t>.</w:t>
      </w:r>
      <w:r w:rsidR="0063058F" w:rsidRPr="009A3411">
        <w:rPr>
          <w:rFonts w:ascii="Open Sans" w:hAnsi="Open Sans"/>
          <w:sz w:val="22"/>
          <w:szCs w:val="22"/>
        </w:rPr>
        <w:t xml:space="preserve"> (</w:t>
      </w:r>
      <w:proofErr w:type="spellStart"/>
      <w:r w:rsidR="0063058F" w:rsidRPr="009A3411">
        <w:rPr>
          <w:rFonts w:ascii="Open Sans" w:hAnsi="Open Sans"/>
          <w:sz w:val="22"/>
          <w:szCs w:val="22"/>
        </w:rPr>
        <w:t>blabla</w:t>
      </w:r>
      <w:proofErr w:type="spellEnd"/>
      <w:r w:rsidR="0063058F" w:rsidRPr="009A3411">
        <w:rPr>
          <w:rFonts w:ascii="Open Sans" w:hAnsi="Open Sans"/>
          <w:sz w:val="22"/>
          <w:szCs w:val="22"/>
        </w:rPr>
        <w:t xml:space="preserve"> taille cellule, </w:t>
      </w:r>
      <w:proofErr w:type="spellStart"/>
      <w:r w:rsidR="0063058F" w:rsidRPr="009A3411">
        <w:rPr>
          <w:rFonts w:ascii="Open Sans" w:hAnsi="Open Sans"/>
          <w:sz w:val="22"/>
          <w:szCs w:val="22"/>
        </w:rPr>
        <w:t>efficacité</w:t>
      </w:r>
      <w:proofErr w:type="spellEnd"/>
      <w:r w:rsidR="0063058F" w:rsidRPr="009A3411">
        <w:rPr>
          <w:rFonts w:ascii="Open Sans" w:hAnsi="Open Sans"/>
          <w:sz w:val="22"/>
          <w:szCs w:val="22"/>
        </w:rPr>
        <w:t xml:space="preserve"> </w:t>
      </w:r>
      <w:proofErr w:type="spellStart"/>
      <w:r w:rsidR="0063058F" w:rsidRPr="009A3411">
        <w:rPr>
          <w:rFonts w:ascii="Open Sans" w:hAnsi="Open Sans"/>
          <w:sz w:val="22"/>
          <w:szCs w:val="22"/>
        </w:rPr>
        <w:t>photosynthèse</w:t>
      </w:r>
      <w:proofErr w:type="spellEnd"/>
      <w:r w:rsidR="0063058F" w:rsidRPr="009A3411">
        <w:rPr>
          <w:rFonts w:ascii="Open Sans" w:hAnsi="Open Sans"/>
          <w:sz w:val="22"/>
          <w:szCs w:val="22"/>
        </w:rPr>
        <w:t xml:space="preserve"> taxa </w:t>
      </w:r>
      <w:proofErr w:type="spellStart"/>
      <w:r w:rsidR="0063058F" w:rsidRPr="009A3411">
        <w:rPr>
          <w:rFonts w:ascii="Open Sans" w:hAnsi="Open Sans"/>
          <w:sz w:val="22"/>
          <w:szCs w:val="22"/>
        </w:rPr>
        <w:t>dépendant</w:t>
      </w:r>
      <w:proofErr w:type="spellEnd"/>
      <w:r w:rsidR="0063058F" w:rsidRPr="009A3411">
        <w:rPr>
          <w:rFonts w:ascii="Open Sans" w:hAnsi="Open Sans"/>
          <w:sz w:val="22"/>
          <w:szCs w:val="22"/>
        </w:rPr>
        <w:t>, NPP..)</w:t>
      </w:r>
      <w:r w:rsidR="00287B38" w:rsidRPr="009A3411">
        <w:rPr>
          <w:rFonts w:ascii="Open Sans" w:hAnsi="Open Sans"/>
          <w:sz w:val="22"/>
          <w:szCs w:val="22"/>
        </w:rPr>
        <w:t xml:space="preserve"> Some methods have been previously developed to estimate an index of the size structure of the community, either from optical data or from fluorescence profiles. Even if those measurements provide a good estimation of the size structure of the phytoplankton community we still miss the taxonomic variability hidden inside of each size class. Yet, it is established that the taxonomic composition of the phytoplankton community play</w:t>
      </w:r>
      <w:r w:rsidR="0063058F" w:rsidRPr="009A3411">
        <w:rPr>
          <w:rFonts w:ascii="Open Sans" w:hAnsi="Open Sans"/>
          <w:sz w:val="22"/>
          <w:szCs w:val="22"/>
        </w:rPr>
        <w:t>s</w:t>
      </w:r>
      <w:r w:rsidR="00287B38" w:rsidRPr="009A3411">
        <w:rPr>
          <w:rFonts w:ascii="Open Sans" w:hAnsi="Open Sans"/>
          <w:sz w:val="22"/>
          <w:szCs w:val="22"/>
        </w:rPr>
        <w:t xml:space="preserve"> a</w:t>
      </w:r>
      <w:r w:rsidR="0063058F" w:rsidRPr="009A3411">
        <w:rPr>
          <w:rFonts w:ascii="Open Sans" w:hAnsi="Open Sans"/>
          <w:sz w:val="22"/>
          <w:szCs w:val="22"/>
        </w:rPr>
        <w:t xml:space="preserve"> significant</w:t>
      </w:r>
      <w:r w:rsidR="00287B38" w:rsidRPr="009A3411">
        <w:rPr>
          <w:rFonts w:ascii="Open Sans" w:hAnsi="Open Sans"/>
          <w:sz w:val="22"/>
          <w:szCs w:val="22"/>
        </w:rPr>
        <w:t xml:space="preserve"> role in the carbon cycle. This study aims to evaluate a new method, based </w:t>
      </w:r>
      <w:r w:rsidR="009911E6">
        <w:rPr>
          <w:rFonts w:ascii="Open Sans" w:hAnsi="Open Sans"/>
          <w:sz w:val="22"/>
          <w:szCs w:val="22"/>
        </w:rPr>
        <w:t xml:space="preserve">on </w:t>
      </w:r>
      <w:r w:rsidR="009911E6">
        <w:rPr>
          <w:rFonts w:ascii="Open Sans" w:hAnsi="Open Sans"/>
          <w:i/>
          <w:iCs/>
          <w:sz w:val="22"/>
          <w:szCs w:val="22"/>
        </w:rPr>
        <w:t>in-situ</w:t>
      </w:r>
      <w:r w:rsidR="009911E6">
        <w:rPr>
          <w:rFonts w:ascii="Open Sans" w:hAnsi="Open Sans"/>
          <w:sz w:val="22"/>
          <w:szCs w:val="22"/>
        </w:rPr>
        <w:t xml:space="preserve"> multispectral fluorescence, </w:t>
      </w:r>
      <w:r w:rsidR="00287B38" w:rsidRPr="009A3411">
        <w:rPr>
          <w:rFonts w:ascii="Open Sans" w:hAnsi="Open Sans"/>
          <w:sz w:val="22"/>
          <w:szCs w:val="22"/>
        </w:rPr>
        <w:t>that would enable the</w:t>
      </w:r>
      <w:r w:rsidR="0063058F" w:rsidRPr="009A3411">
        <w:rPr>
          <w:rFonts w:ascii="Open Sans" w:hAnsi="Open Sans"/>
          <w:sz w:val="22"/>
          <w:szCs w:val="22"/>
        </w:rPr>
        <w:t xml:space="preserve"> estimation of the</w:t>
      </w:r>
      <w:r w:rsidR="00287B38" w:rsidRPr="009A3411">
        <w:rPr>
          <w:rFonts w:ascii="Open Sans" w:hAnsi="Open Sans"/>
          <w:sz w:val="22"/>
          <w:szCs w:val="22"/>
        </w:rPr>
        <w:t xml:space="preserve"> phytoplankton community</w:t>
      </w:r>
      <w:r w:rsidR="0063058F" w:rsidRPr="009A3411">
        <w:rPr>
          <w:rFonts w:ascii="Open Sans" w:hAnsi="Open Sans"/>
          <w:sz w:val="22"/>
          <w:szCs w:val="22"/>
        </w:rPr>
        <w:t xml:space="preserve"> taxonomic composition</w:t>
      </w:r>
      <w:r w:rsidR="00287B38" w:rsidRPr="009A3411">
        <w:rPr>
          <w:rFonts w:ascii="Open Sans" w:hAnsi="Open Sans"/>
          <w:sz w:val="22"/>
          <w:szCs w:val="22"/>
        </w:rPr>
        <w:t xml:space="preserve">. </w:t>
      </w:r>
      <w:r w:rsidR="00287B38" w:rsidRPr="009A3411">
        <w:rPr>
          <w:rFonts w:ascii="Open Sans" w:hAnsi="Open Sans"/>
          <w:sz w:val="22"/>
          <w:szCs w:val="22"/>
          <w:lang w:val="fr-FR"/>
        </w:rPr>
        <w:t>Multispectral fluorescence rel</w:t>
      </w:r>
      <w:r w:rsidR="009911E6">
        <w:rPr>
          <w:rFonts w:ascii="Open Sans" w:hAnsi="Open Sans"/>
          <w:sz w:val="22"/>
          <w:szCs w:val="22"/>
          <w:lang w:val="fr-FR"/>
        </w:rPr>
        <w:t>ies</w:t>
      </w:r>
      <w:r w:rsidR="00287B38" w:rsidRPr="009A3411">
        <w:rPr>
          <w:rFonts w:ascii="Open Sans" w:hAnsi="Open Sans"/>
          <w:sz w:val="22"/>
          <w:szCs w:val="22"/>
          <w:lang w:val="fr-FR"/>
        </w:rPr>
        <w:t xml:space="preserve"> on the </w:t>
      </w:r>
      <w:proofErr w:type="spellStart"/>
      <w:r w:rsidR="00287B38" w:rsidRPr="009A3411">
        <w:rPr>
          <w:rFonts w:ascii="Open Sans" w:hAnsi="Open Sans"/>
          <w:sz w:val="22"/>
          <w:szCs w:val="22"/>
          <w:lang w:val="fr-FR"/>
        </w:rPr>
        <w:t>diversity</w:t>
      </w:r>
      <w:proofErr w:type="spellEnd"/>
      <w:r w:rsidR="00287B38" w:rsidRPr="009A3411">
        <w:rPr>
          <w:rFonts w:ascii="Open Sans" w:hAnsi="Open Sans"/>
          <w:sz w:val="22"/>
          <w:szCs w:val="22"/>
          <w:lang w:val="fr-FR"/>
        </w:rPr>
        <w:t xml:space="preserve"> of pigment composition of the </w:t>
      </w:r>
      <w:proofErr w:type="spellStart"/>
      <w:r w:rsidR="00287B38" w:rsidRPr="009A3411">
        <w:rPr>
          <w:rFonts w:ascii="Open Sans" w:hAnsi="Open Sans"/>
          <w:sz w:val="22"/>
          <w:szCs w:val="22"/>
          <w:lang w:val="fr-FR"/>
        </w:rPr>
        <w:t>different</w:t>
      </w:r>
      <w:proofErr w:type="spellEnd"/>
      <w:r w:rsidR="00287B38" w:rsidRPr="009A3411">
        <w:rPr>
          <w:rFonts w:ascii="Open Sans" w:hAnsi="Open Sans"/>
          <w:sz w:val="22"/>
          <w:szCs w:val="22"/>
          <w:lang w:val="fr-FR"/>
        </w:rPr>
        <w:t xml:space="preserve"> </w:t>
      </w:r>
      <w:proofErr w:type="spellStart"/>
      <w:r w:rsidR="00287B38" w:rsidRPr="009A3411">
        <w:rPr>
          <w:rFonts w:ascii="Open Sans" w:hAnsi="Open Sans"/>
          <w:sz w:val="22"/>
          <w:szCs w:val="22"/>
          <w:lang w:val="fr-FR"/>
        </w:rPr>
        <w:t>phytoplankton</w:t>
      </w:r>
      <w:proofErr w:type="spellEnd"/>
      <w:r w:rsidR="00287B38" w:rsidRPr="009A3411">
        <w:rPr>
          <w:rFonts w:ascii="Open Sans" w:hAnsi="Open Sans"/>
          <w:sz w:val="22"/>
          <w:szCs w:val="22"/>
          <w:lang w:val="fr-FR"/>
        </w:rPr>
        <w:t xml:space="preserve"> taxon</w:t>
      </w:r>
      <w:r w:rsidR="0063058F" w:rsidRPr="009A3411">
        <w:rPr>
          <w:rFonts w:ascii="Open Sans" w:hAnsi="Open Sans"/>
          <w:sz w:val="22"/>
          <w:szCs w:val="22"/>
          <w:lang w:val="fr-FR"/>
        </w:rPr>
        <w:t xml:space="preserve"> (</w:t>
      </w:r>
      <w:proofErr w:type="spellStart"/>
      <w:r w:rsidR="0063058F" w:rsidRPr="009A3411">
        <w:rPr>
          <w:rFonts w:ascii="Open Sans" w:hAnsi="Open Sans"/>
          <w:sz w:val="22"/>
          <w:szCs w:val="22"/>
          <w:lang w:val="fr-FR"/>
        </w:rPr>
        <w:t>blabla</w:t>
      </w:r>
      <w:proofErr w:type="spellEnd"/>
      <w:r w:rsidR="0063058F" w:rsidRPr="009A3411">
        <w:rPr>
          <w:rFonts w:ascii="Open Sans" w:hAnsi="Open Sans"/>
          <w:sz w:val="22"/>
          <w:szCs w:val="22"/>
          <w:lang w:val="fr-FR"/>
        </w:rPr>
        <w:t xml:space="preserve"> </w:t>
      </w:r>
      <w:proofErr w:type="spellStart"/>
      <w:r w:rsidR="0063058F" w:rsidRPr="009A3411">
        <w:rPr>
          <w:rFonts w:ascii="Open Sans" w:hAnsi="Open Sans"/>
          <w:sz w:val="22"/>
          <w:szCs w:val="22"/>
          <w:lang w:val="fr-FR"/>
        </w:rPr>
        <w:t>difference</w:t>
      </w:r>
      <w:proofErr w:type="spellEnd"/>
      <w:r w:rsidR="0063058F" w:rsidRPr="009A3411">
        <w:rPr>
          <w:rFonts w:ascii="Open Sans" w:hAnsi="Open Sans"/>
          <w:sz w:val="22"/>
          <w:szCs w:val="22"/>
          <w:lang w:val="fr-FR"/>
        </w:rPr>
        <w:t xml:space="preserve"> pigment composition induit </w:t>
      </w:r>
      <w:proofErr w:type="spellStart"/>
      <w:r w:rsidR="0063058F" w:rsidRPr="009A3411">
        <w:rPr>
          <w:rFonts w:ascii="Open Sans" w:hAnsi="Open Sans"/>
          <w:sz w:val="22"/>
          <w:szCs w:val="22"/>
          <w:lang w:val="fr-FR"/>
        </w:rPr>
        <w:t>difference</w:t>
      </w:r>
      <w:proofErr w:type="spellEnd"/>
      <w:r w:rsidR="0063058F" w:rsidRPr="009A3411">
        <w:rPr>
          <w:rFonts w:ascii="Open Sans" w:hAnsi="Open Sans"/>
          <w:sz w:val="22"/>
          <w:szCs w:val="22"/>
          <w:lang w:val="fr-FR"/>
        </w:rPr>
        <w:t xml:space="preserve"> de fluorescence </w:t>
      </w:r>
      <w:proofErr w:type="spellStart"/>
      <w:r w:rsidR="0063058F" w:rsidRPr="009A3411">
        <w:rPr>
          <w:rFonts w:ascii="Open Sans" w:hAnsi="Open Sans"/>
          <w:sz w:val="22"/>
          <w:szCs w:val="22"/>
          <w:lang w:val="fr-FR"/>
        </w:rPr>
        <w:t>spectra</w:t>
      </w:r>
      <w:proofErr w:type="spellEnd"/>
      <w:r w:rsidR="0063058F" w:rsidRPr="009A3411">
        <w:rPr>
          <w:rFonts w:ascii="Open Sans" w:hAnsi="Open Sans"/>
          <w:sz w:val="22"/>
          <w:szCs w:val="22"/>
          <w:lang w:val="fr-FR"/>
        </w:rPr>
        <w:t xml:space="preserve"> donc possible de retrouv</w:t>
      </w:r>
      <w:r w:rsidR="009911E6">
        <w:rPr>
          <w:rFonts w:ascii="Open Sans" w:hAnsi="Open Sans"/>
          <w:sz w:val="22"/>
          <w:szCs w:val="22"/>
          <w:lang w:val="fr-FR"/>
        </w:rPr>
        <w:t>er</w:t>
      </w:r>
      <w:r w:rsidR="0063058F" w:rsidRPr="009A3411">
        <w:rPr>
          <w:rFonts w:ascii="Open Sans" w:hAnsi="Open Sans"/>
          <w:sz w:val="22"/>
          <w:szCs w:val="22"/>
          <w:lang w:val="fr-FR"/>
        </w:rPr>
        <w:t xml:space="preserve"> composition du phyto à partir de différentes longueurs d’ondes)</w:t>
      </w:r>
      <w:r w:rsidR="00287B38" w:rsidRPr="009A3411">
        <w:rPr>
          <w:rFonts w:ascii="Open Sans" w:hAnsi="Open Sans"/>
          <w:sz w:val="22"/>
          <w:szCs w:val="22"/>
          <w:lang w:val="fr-FR"/>
        </w:rPr>
        <w:t xml:space="preserve">. </w:t>
      </w:r>
      <w:r w:rsidR="00287B38" w:rsidRPr="009A3411">
        <w:rPr>
          <w:rFonts w:ascii="Open Sans" w:hAnsi="Open Sans"/>
          <w:sz w:val="22"/>
          <w:szCs w:val="22"/>
        </w:rPr>
        <w:t xml:space="preserve">Its composition influence the absorption spectra of the cell, and so, would define its fluorescence response in different wavelength. </w:t>
      </w:r>
      <w:commentRangeStart w:id="0"/>
      <w:r w:rsidR="00287B38" w:rsidRPr="009A3411">
        <w:rPr>
          <w:rFonts w:ascii="Open Sans" w:hAnsi="Open Sans"/>
          <w:sz w:val="22"/>
          <w:szCs w:val="22"/>
        </w:rPr>
        <w:t>We hypothesize that the pigment composition of phytoplankton on the global scale is contrasted enough to induce significant variability of fluorescence response between the three wavelength of excitation of the multispectral fluorometer  that would allow to define a classification method from the fluorometer output</w:t>
      </w:r>
      <w:commentRangeEnd w:id="0"/>
      <w:r w:rsidR="0063058F" w:rsidRPr="009A3411">
        <w:rPr>
          <w:rStyle w:val="Marquedecommentaire"/>
          <w:rFonts w:cs="Mangal"/>
          <w:sz w:val="22"/>
          <w:szCs w:val="22"/>
        </w:rPr>
        <w:commentReference w:id="0"/>
      </w:r>
      <w:r w:rsidR="00287B38" w:rsidRPr="009A3411">
        <w:rPr>
          <w:rFonts w:ascii="Open Sans" w:hAnsi="Open Sans"/>
          <w:sz w:val="22"/>
          <w:szCs w:val="22"/>
        </w:rPr>
        <w:t xml:space="preserve">. </w:t>
      </w:r>
    </w:p>
    <w:p w14:paraId="602077F0" w14:textId="2E768FC5" w:rsidR="005D7114" w:rsidRPr="009A3411" w:rsidRDefault="006418FF">
      <w:pPr>
        <w:pStyle w:val="Standard"/>
        <w:spacing w:line="360" w:lineRule="auto"/>
        <w:jc w:val="both"/>
        <w:rPr>
          <w:sz w:val="22"/>
          <w:szCs w:val="22"/>
        </w:rPr>
      </w:pPr>
      <w:r>
        <w:rPr>
          <w:rFonts w:ascii="Open Sans" w:hAnsi="Open Sans"/>
          <w:sz w:val="22"/>
          <w:szCs w:val="22"/>
        </w:rPr>
        <w:t>In this study w</w:t>
      </w:r>
      <w:r w:rsidR="0063058F" w:rsidRPr="009A3411">
        <w:rPr>
          <w:rFonts w:ascii="Open Sans" w:hAnsi="Open Sans"/>
          <w:sz w:val="22"/>
          <w:szCs w:val="22"/>
        </w:rPr>
        <w:t>e</w:t>
      </w:r>
      <w:r>
        <w:rPr>
          <w:rFonts w:ascii="Open Sans" w:hAnsi="Open Sans"/>
          <w:sz w:val="22"/>
          <w:szCs w:val="22"/>
        </w:rPr>
        <w:t xml:space="preserve"> combine laboratory and field work to investigate the possibility to retrieve a taxonomical information from multispectral fluorescence in combination with already equipped BGC-Argo float sensors. We</w:t>
      </w:r>
      <w:r w:rsidR="00287B38" w:rsidRPr="009A3411">
        <w:rPr>
          <w:rFonts w:ascii="Open Sans" w:hAnsi="Open Sans"/>
          <w:sz w:val="22"/>
          <w:szCs w:val="22"/>
        </w:rPr>
        <w:t xml:space="preserve"> selected ten different phytoplankton strains that correspond to the typical diversity observed during the seasonal succession of the north western (NW) Mediterranean sea. We measured the fluorometer signal on those ten strains </w:t>
      </w:r>
      <w:r w:rsidR="0063058F" w:rsidRPr="009A3411">
        <w:rPr>
          <w:rFonts w:ascii="Open Sans" w:hAnsi="Open Sans"/>
          <w:sz w:val="22"/>
          <w:szCs w:val="22"/>
        </w:rPr>
        <w:t xml:space="preserve">in </w:t>
      </w:r>
      <w:r w:rsidR="0063058F" w:rsidRPr="009A3411">
        <w:rPr>
          <w:rFonts w:ascii="Open Sans" w:hAnsi="Open Sans"/>
          <w:sz w:val="22"/>
          <w:szCs w:val="22"/>
        </w:rPr>
        <w:lastRenderedPageBreak/>
        <w:t>controlled conditions</w:t>
      </w:r>
      <w:r w:rsidR="007A6DE8" w:rsidRPr="009A3411">
        <w:rPr>
          <w:rFonts w:ascii="Open Sans" w:hAnsi="Open Sans"/>
          <w:sz w:val="22"/>
          <w:szCs w:val="22"/>
        </w:rPr>
        <w:t>, to test the multispectral fluorometer sensitivity to taxa variation. Ultimately, we</w:t>
      </w:r>
      <w:r w:rsidR="00287B38" w:rsidRPr="009A3411">
        <w:rPr>
          <w:rFonts w:ascii="Open Sans" w:hAnsi="Open Sans"/>
          <w:sz w:val="22"/>
          <w:szCs w:val="22"/>
        </w:rPr>
        <w:t xml:space="preserve"> introduce a classification method to assess the different phytoplankton </w:t>
      </w:r>
      <w:r w:rsidR="009911E6">
        <w:rPr>
          <w:rFonts w:ascii="Open Sans" w:hAnsi="Open Sans"/>
          <w:sz w:val="22"/>
          <w:szCs w:val="22"/>
        </w:rPr>
        <w:t>communities</w:t>
      </w:r>
      <w:r w:rsidR="00287B38" w:rsidRPr="009A3411">
        <w:rPr>
          <w:rFonts w:ascii="Open Sans" w:hAnsi="Open Sans"/>
          <w:sz w:val="22"/>
          <w:szCs w:val="22"/>
        </w:rPr>
        <w:t xml:space="preserve"> </w:t>
      </w:r>
      <w:r w:rsidR="007A6DE8" w:rsidRPr="009A3411">
        <w:rPr>
          <w:rFonts w:ascii="Open Sans" w:hAnsi="Open Sans"/>
          <w:sz w:val="22"/>
          <w:szCs w:val="22"/>
        </w:rPr>
        <w:t>based on a year of observations of phytoplankton communities composition and multispectral fluorescence values</w:t>
      </w:r>
      <w:r w:rsidR="00287B38" w:rsidRPr="009A3411">
        <w:rPr>
          <w:rFonts w:ascii="Open Sans" w:hAnsi="Open Sans"/>
          <w:sz w:val="22"/>
          <w:szCs w:val="22"/>
        </w:rPr>
        <w:t xml:space="preserve"> in the NW Mediterranean sea.</w:t>
      </w:r>
    </w:p>
    <w:p w14:paraId="58A6292D" w14:textId="77777777" w:rsidR="005D7114" w:rsidRDefault="005D7114">
      <w:pPr>
        <w:pStyle w:val="Standard"/>
        <w:rPr>
          <w:rFonts w:ascii="Open Sans" w:hAnsi="Open Sans"/>
        </w:rPr>
      </w:pPr>
    </w:p>
    <w:p w14:paraId="79867EE8" w14:textId="0CBD64C8" w:rsidR="005D7114" w:rsidRDefault="00287B38">
      <w:pPr>
        <w:pStyle w:val="Standard"/>
        <w:rPr>
          <w:rFonts w:ascii="Open Sans" w:hAnsi="Open Sans"/>
        </w:rPr>
      </w:pPr>
      <w:r>
        <w:rPr>
          <w:rFonts w:ascii="Open Sans" w:hAnsi="Open Sans"/>
        </w:rPr>
        <w:t>2) Mat</w:t>
      </w:r>
      <w:r w:rsidR="007118AF">
        <w:rPr>
          <w:rFonts w:ascii="Open Sans" w:hAnsi="Open Sans"/>
        </w:rPr>
        <w:t>erial</w:t>
      </w:r>
      <w:r>
        <w:rPr>
          <w:rFonts w:ascii="Open Sans" w:hAnsi="Open Sans"/>
        </w:rPr>
        <w:t xml:space="preserve"> &amp; Met</w:t>
      </w:r>
      <w:r w:rsidR="007118AF">
        <w:rPr>
          <w:rFonts w:ascii="Open Sans" w:hAnsi="Open Sans"/>
        </w:rPr>
        <w:t>hods</w:t>
      </w:r>
    </w:p>
    <w:p w14:paraId="37BF8923" w14:textId="77777777" w:rsidR="005D7114" w:rsidRDefault="005D7114">
      <w:pPr>
        <w:pStyle w:val="Standard"/>
        <w:rPr>
          <w:rFonts w:ascii="Open Sans" w:hAnsi="Open Sans"/>
        </w:rPr>
      </w:pPr>
    </w:p>
    <w:p w14:paraId="49FCCB1F" w14:textId="77777777" w:rsidR="005D7114" w:rsidRDefault="00287B38">
      <w:pPr>
        <w:pStyle w:val="Standard"/>
        <w:rPr>
          <w:rFonts w:ascii="Open Sans" w:hAnsi="Open Sans"/>
        </w:rPr>
      </w:pPr>
      <w:r>
        <w:rPr>
          <w:rFonts w:ascii="Open Sans" w:hAnsi="Open Sans"/>
        </w:rPr>
        <w:tab/>
        <w:t>2.1) Laboratory work</w:t>
      </w:r>
    </w:p>
    <w:p w14:paraId="02094213" w14:textId="77777777" w:rsidR="005D7114" w:rsidRDefault="005D7114">
      <w:pPr>
        <w:pStyle w:val="Standard"/>
        <w:rPr>
          <w:rFonts w:ascii="Open Sans" w:hAnsi="Open Sans"/>
        </w:rPr>
      </w:pPr>
    </w:p>
    <w:p w14:paraId="38389644" w14:textId="77777777" w:rsidR="005D7114" w:rsidRDefault="00287B38">
      <w:pPr>
        <w:pStyle w:val="Standard"/>
        <w:rPr>
          <w:rFonts w:ascii="Open Sans" w:hAnsi="Open Sans"/>
        </w:rPr>
      </w:pPr>
      <w:r>
        <w:rPr>
          <w:rFonts w:ascii="Open Sans" w:hAnsi="Open Sans"/>
        </w:rPr>
        <w:tab/>
        <w:t>2.1.1) Strain culture</w:t>
      </w:r>
    </w:p>
    <w:p w14:paraId="6DE96D7E" w14:textId="77777777" w:rsidR="005D7114" w:rsidRDefault="005D7114">
      <w:pPr>
        <w:pStyle w:val="Standard"/>
        <w:rPr>
          <w:rFonts w:ascii="Open Sans" w:hAnsi="Open Sans"/>
        </w:rPr>
      </w:pPr>
    </w:p>
    <w:p w14:paraId="2F1A73DC" w14:textId="4CA0C71F" w:rsidR="005D7114" w:rsidRPr="009A3411" w:rsidRDefault="00287B38" w:rsidP="009A3411">
      <w:pPr>
        <w:pStyle w:val="Standard"/>
        <w:spacing w:line="360" w:lineRule="auto"/>
        <w:jc w:val="both"/>
        <w:rPr>
          <w:rFonts w:ascii="Open Sans" w:hAnsi="Open Sans"/>
          <w:sz w:val="22"/>
          <w:szCs w:val="22"/>
        </w:rPr>
      </w:pPr>
      <w:r w:rsidRPr="009A3411">
        <w:rPr>
          <w:rFonts w:ascii="Open Sans" w:hAnsi="Open Sans"/>
          <w:sz w:val="22"/>
          <w:szCs w:val="22"/>
        </w:rPr>
        <w:t xml:space="preserve">Ten strains were selected for the protocol and provided by the </w:t>
      </w:r>
      <w:proofErr w:type="spellStart"/>
      <w:r w:rsidRPr="009A3411">
        <w:rPr>
          <w:rFonts w:ascii="Open Sans" w:hAnsi="Open Sans"/>
          <w:sz w:val="22"/>
          <w:szCs w:val="22"/>
        </w:rPr>
        <w:t>Ro</w:t>
      </w:r>
      <w:r w:rsidR="00F37FBB" w:rsidRPr="009A3411">
        <w:rPr>
          <w:rFonts w:ascii="Open Sans" w:hAnsi="Open Sans"/>
          <w:sz w:val="22"/>
          <w:szCs w:val="22"/>
        </w:rPr>
        <w:t>s</w:t>
      </w:r>
      <w:r w:rsidRPr="009A3411">
        <w:rPr>
          <w:rFonts w:ascii="Open Sans" w:hAnsi="Open Sans"/>
          <w:sz w:val="22"/>
          <w:szCs w:val="22"/>
        </w:rPr>
        <w:t>coff</w:t>
      </w:r>
      <w:proofErr w:type="spellEnd"/>
      <w:r w:rsidRPr="009A3411">
        <w:rPr>
          <w:rFonts w:ascii="Open Sans" w:hAnsi="Open Sans"/>
          <w:sz w:val="22"/>
          <w:szCs w:val="22"/>
        </w:rPr>
        <w:t xml:space="preserve"> Culture Collection (RCC). Three Synechococcus strains that are commonly observed in the summer surface waters, </w:t>
      </w:r>
      <w:r w:rsidR="006C7E26" w:rsidRPr="009A3411">
        <w:rPr>
          <w:rFonts w:ascii="Open Sans" w:hAnsi="Open Sans"/>
          <w:sz w:val="22"/>
          <w:szCs w:val="22"/>
        </w:rPr>
        <w:t xml:space="preserve">nom des </w:t>
      </w:r>
      <w:proofErr w:type="spellStart"/>
      <w:r w:rsidR="006C7E26" w:rsidRPr="009A3411">
        <w:rPr>
          <w:rFonts w:ascii="Open Sans" w:hAnsi="Open Sans"/>
          <w:sz w:val="22"/>
          <w:szCs w:val="22"/>
        </w:rPr>
        <w:t>souches</w:t>
      </w:r>
      <w:proofErr w:type="spellEnd"/>
      <w:r w:rsidR="006C7E26" w:rsidRPr="009A3411">
        <w:rPr>
          <w:rFonts w:ascii="Open Sans" w:hAnsi="Open Sans"/>
          <w:sz w:val="22"/>
          <w:szCs w:val="22"/>
        </w:rPr>
        <w:t xml:space="preserve">, three Prochlorococcus that are representative of deep picophytoplankton communities, nom des </w:t>
      </w:r>
      <w:proofErr w:type="spellStart"/>
      <w:r w:rsidR="006C7E26" w:rsidRPr="009A3411">
        <w:rPr>
          <w:rFonts w:ascii="Open Sans" w:hAnsi="Open Sans"/>
          <w:sz w:val="22"/>
          <w:szCs w:val="22"/>
        </w:rPr>
        <w:t>souches</w:t>
      </w:r>
      <w:proofErr w:type="spellEnd"/>
      <w:r w:rsidR="006C7E26" w:rsidRPr="009A3411">
        <w:rPr>
          <w:rFonts w:ascii="Open Sans" w:hAnsi="Open Sans"/>
          <w:sz w:val="22"/>
          <w:szCs w:val="22"/>
        </w:rPr>
        <w:t>, three diatoms with different size</w:t>
      </w:r>
      <w:r w:rsidR="00F37FBB" w:rsidRPr="009A3411">
        <w:rPr>
          <w:rFonts w:ascii="Open Sans" w:hAnsi="Open Sans"/>
          <w:sz w:val="22"/>
          <w:szCs w:val="22"/>
        </w:rPr>
        <w:t xml:space="preserve"> spectra</w:t>
      </w:r>
      <w:r w:rsidR="006C7E26" w:rsidRPr="009A3411">
        <w:rPr>
          <w:rFonts w:ascii="Open Sans" w:hAnsi="Open Sans"/>
          <w:sz w:val="22"/>
          <w:szCs w:val="22"/>
        </w:rPr>
        <w:t xml:space="preserve">, nom des </w:t>
      </w:r>
      <w:proofErr w:type="spellStart"/>
      <w:r w:rsidR="006C7E26" w:rsidRPr="009A3411">
        <w:rPr>
          <w:rFonts w:ascii="Open Sans" w:hAnsi="Open Sans"/>
          <w:sz w:val="22"/>
          <w:szCs w:val="22"/>
        </w:rPr>
        <w:t>souches</w:t>
      </w:r>
      <w:proofErr w:type="spellEnd"/>
      <w:r w:rsidR="006C7E26" w:rsidRPr="009A3411">
        <w:rPr>
          <w:rFonts w:ascii="Open Sans" w:hAnsi="Open Sans"/>
          <w:sz w:val="22"/>
          <w:szCs w:val="22"/>
        </w:rPr>
        <w:t xml:space="preserve">, </w:t>
      </w:r>
      <w:r w:rsidR="009911E6">
        <w:rPr>
          <w:rFonts w:ascii="Open Sans" w:hAnsi="Open Sans"/>
          <w:sz w:val="22"/>
          <w:szCs w:val="22"/>
        </w:rPr>
        <w:t>one</w:t>
      </w:r>
      <w:r w:rsidR="006C7E26" w:rsidRPr="009A3411">
        <w:rPr>
          <w:rFonts w:ascii="Open Sans" w:hAnsi="Open Sans"/>
          <w:sz w:val="22"/>
          <w:szCs w:val="22"/>
        </w:rPr>
        <w:t xml:space="preserve"> dinoflagellate and one pelagophyte</w:t>
      </w:r>
      <w:r w:rsidR="000B00C4">
        <w:rPr>
          <w:rFonts w:ascii="Open Sans" w:hAnsi="Open Sans"/>
          <w:sz w:val="22"/>
          <w:szCs w:val="22"/>
        </w:rPr>
        <w:t>….</w:t>
      </w:r>
    </w:p>
    <w:p w14:paraId="24DB86C8" w14:textId="73AC89B8" w:rsidR="005D7114" w:rsidRDefault="00287B38" w:rsidP="009A3411">
      <w:pPr>
        <w:spacing w:line="360" w:lineRule="auto"/>
        <w:jc w:val="both"/>
        <w:rPr>
          <w:rFonts w:ascii="Open Sans" w:hAnsi="Open Sans"/>
          <w:sz w:val="22"/>
          <w:szCs w:val="22"/>
        </w:rPr>
      </w:pPr>
      <w:r w:rsidRPr="009A3411">
        <w:rPr>
          <w:rFonts w:ascii="Open Sans" w:hAnsi="Open Sans"/>
          <w:sz w:val="22"/>
          <w:szCs w:val="22"/>
        </w:rPr>
        <w:t xml:space="preserve">10 </w:t>
      </w:r>
      <w:proofErr w:type="spellStart"/>
      <w:r w:rsidRPr="009A3411">
        <w:rPr>
          <w:rFonts w:ascii="Open Sans" w:hAnsi="Open Sans"/>
          <w:sz w:val="22"/>
          <w:szCs w:val="22"/>
        </w:rPr>
        <w:t>souches</w:t>
      </w:r>
      <w:proofErr w:type="spellEnd"/>
      <w:r w:rsidRPr="009A3411">
        <w:rPr>
          <w:rFonts w:ascii="Open Sans" w:hAnsi="Open Sans"/>
          <w:sz w:val="22"/>
          <w:szCs w:val="22"/>
        </w:rPr>
        <w:t> : PCC9511, RCC156, RCC2374, RCC 2319, RCC2379, RCC76, RCC100, RCC1717, RCC4213, RCC3006.</w:t>
      </w:r>
      <w:r w:rsidR="000B00C4">
        <w:rPr>
          <w:rFonts w:ascii="Open Sans" w:hAnsi="Open Sans"/>
          <w:sz w:val="22"/>
          <w:szCs w:val="22"/>
        </w:rPr>
        <w:t xml:space="preserve"> </w:t>
      </w:r>
    </w:p>
    <w:p w14:paraId="3D2C4038" w14:textId="57328090" w:rsidR="000B00C4" w:rsidRPr="000B00C4" w:rsidRDefault="000B00C4" w:rsidP="009A3411">
      <w:pPr>
        <w:spacing w:line="360" w:lineRule="auto"/>
        <w:jc w:val="both"/>
        <w:rPr>
          <w:rFonts w:ascii="Open Sans" w:hAnsi="Open Sans"/>
          <w:sz w:val="22"/>
          <w:szCs w:val="22"/>
        </w:rPr>
      </w:pPr>
      <w:r>
        <w:rPr>
          <w:rFonts w:ascii="Open Sans" w:hAnsi="Open Sans"/>
          <w:sz w:val="22"/>
          <w:szCs w:val="22"/>
        </w:rPr>
        <w:t>Multispectral fluorescence measurements were taken at different concentration. The culture was diluted in different medium volume to produce a dilution scale ranging from 10 mg m</w:t>
      </w:r>
      <w:r>
        <w:rPr>
          <w:rFonts w:ascii="Open Sans" w:hAnsi="Open Sans"/>
          <w:sz w:val="22"/>
          <w:szCs w:val="22"/>
          <w:vertAlign w:val="superscript"/>
        </w:rPr>
        <w:t>-3</w:t>
      </w:r>
      <w:r>
        <w:rPr>
          <w:rFonts w:ascii="Open Sans" w:hAnsi="Open Sans"/>
          <w:sz w:val="22"/>
          <w:szCs w:val="22"/>
        </w:rPr>
        <w:t xml:space="preserve"> to 0.1 mg m</w:t>
      </w:r>
      <w:r>
        <w:rPr>
          <w:rFonts w:ascii="Open Sans" w:hAnsi="Open Sans"/>
          <w:sz w:val="22"/>
          <w:szCs w:val="22"/>
          <w:vertAlign w:val="superscript"/>
        </w:rPr>
        <w:t>-3</w:t>
      </w:r>
      <w:r>
        <w:rPr>
          <w:rFonts w:ascii="Open Sans" w:hAnsi="Open Sans"/>
          <w:sz w:val="22"/>
          <w:szCs w:val="22"/>
        </w:rPr>
        <w:t xml:space="preserve">. </w:t>
      </w:r>
    </w:p>
    <w:p w14:paraId="03D2D58C" w14:textId="5422C0D4" w:rsidR="006C7E26" w:rsidRPr="00362A69" w:rsidRDefault="006C7E26" w:rsidP="009A3411">
      <w:pPr>
        <w:spacing w:line="360" w:lineRule="auto"/>
        <w:jc w:val="both"/>
        <w:rPr>
          <w:rFonts w:ascii="Open Sans" w:hAnsi="Open Sans"/>
          <w:sz w:val="22"/>
          <w:szCs w:val="22"/>
          <w:lang w:val="fr-FR"/>
        </w:rPr>
      </w:pPr>
      <w:r w:rsidRPr="009A3411">
        <w:rPr>
          <w:rFonts w:ascii="Open Sans" w:hAnsi="Open Sans"/>
          <w:sz w:val="22"/>
          <w:szCs w:val="22"/>
        </w:rPr>
        <w:t xml:space="preserve">All strains were grown under the same controlled conditions, </w:t>
      </w:r>
      <w:r w:rsidR="00CC583C" w:rsidRPr="009A3411">
        <w:rPr>
          <w:rFonts w:ascii="Open Sans" w:hAnsi="Open Sans"/>
          <w:sz w:val="22"/>
          <w:szCs w:val="22"/>
        </w:rPr>
        <w:t>*</w:t>
      </w:r>
      <w:proofErr w:type="spellStart"/>
      <w:r w:rsidR="00CC583C" w:rsidRPr="009A3411">
        <w:rPr>
          <w:rFonts w:ascii="Open Sans" w:hAnsi="Open Sans"/>
          <w:sz w:val="22"/>
          <w:szCs w:val="22"/>
        </w:rPr>
        <w:t>récupérer</w:t>
      </w:r>
      <w:proofErr w:type="spellEnd"/>
      <w:r w:rsidR="00CC583C" w:rsidRPr="009A3411">
        <w:rPr>
          <w:rFonts w:ascii="Open Sans" w:hAnsi="Open Sans"/>
          <w:sz w:val="22"/>
          <w:szCs w:val="22"/>
        </w:rPr>
        <w:t xml:space="preserve"> </w:t>
      </w:r>
      <w:proofErr w:type="spellStart"/>
      <w:r w:rsidR="00CC583C" w:rsidRPr="009A3411">
        <w:rPr>
          <w:rFonts w:ascii="Open Sans" w:hAnsi="Open Sans"/>
          <w:sz w:val="22"/>
          <w:szCs w:val="22"/>
        </w:rPr>
        <w:t>données</w:t>
      </w:r>
      <w:proofErr w:type="spellEnd"/>
      <w:r w:rsidR="00CC583C" w:rsidRPr="009A3411">
        <w:rPr>
          <w:rFonts w:ascii="Open Sans" w:hAnsi="Open Sans"/>
          <w:sz w:val="22"/>
          <w:szCs w:val="22"/>
        </w:rPr>
        <w:t xml:space="preserve"> de temp entre 26/10/2020 et 06/11/2020*, </w:t>
      </w:r>
      <w:r w:rsidRPr="009A3411">
        <w:rPr>
          <w:rFonts w:ascii="Open Sans" w:hAnsi="Open Sans"/>
          <w:sz w:val="22"/>
          <w:szCs w:val="22"/>
        </w:rPr>
        <w:t xml:space="preserve">at 52 </w:t>
      </w:r>
      <w:proofErr w:type="spellStart"/>
      <w:r w:rsidRPr="009A3411">
        <w:rPr>
          <w:rFonts w:ascii="Open Sans" w:hAnsi="Open Sans"/>
          <w:sz w:val="22"/>
          <w:szCs w:val="22"/>
        </w:rPr>
        <w:t>μE</w:t>
      </w:r>
      <w:proofErr w:type="spellEnd"/>
      <w:r w:rsidRPr="009A3411">
        <w:rPr>
          <w:rFonts w:ascii="Open Sans" w:hAnsi="Open Sans"/>
          <w:sz w:val="22"/>
          <w:szCs w:val="22"/>
        </w:rPr>
        <w:t xml:space="preserve"> of continuous </w:t>
      </w:r>
      <w:r w:rsidR="00A20E91" w:rsidRPr="009A3411">
        <w:rPr>
          <w:rFonts w:ascii="Open Sans" w:hAnsi="Open Sans"/>
          <w:sz w:val="22"/>
          <w:szCs w:val="22"/>
        </w:rPr>
        <w:t>white</w:t>
      </w:r>
      <w:r w:rsidRPr="009A3411">
        <w:rPr>
          <w:rFonts w:ascii="Open Sans" w:hAnsi="Open Sans"/>
          <w:sz w:val="22"/>
          <w:szCs w:val="22"/>
        </w:rPr>
        <w:t xml:space="preserve"> light, in </w:t>
      </w:r>
      <w:proofErr w:type="spellStart"/>
      <w:r w:rsidRPr="009A3411">
        <w:rPr>
          <w:rFonts w:ascii="Open Sans" w:hAnsi="Open Sans"/>
          <w:sz w:val="22"/>
          <w:szCs w:val="22"/>
        </w:rPr>
        <w:t>K+Si</w:t>
      </w:r>
      <w:proofErr w:type="spellEnd"/>
      <w:r w:rsidRPr="009A3411">
        <w:rPr>
          <w:rFonts w:ascii="Open Sans" w:hAnsi="Open Sans"/>
          <w:sz w:val="22"/>
          <w:szCs w:val="22"/>
        </w:rPr>
        <w:t xml:space="preserve"> or PCRS11 medium. The growth state of the culture was monitored with a Pulse Amplification Method (PAM) fluorometer, using</w:t>
      </w:r>
      <w:r w:rsidR="00CC583C" w:rsidRPr="009A3411">
        <w:rPr>
          <w:rFonts w:ascii="Open Sans" w:hAnsi="Open Sans"/>
          <w:sz w:val="22"/>
          <w:szCs w:val="22"/>
        </w:rPr>
        <w:t xml:space="preserve"> the</w:t>
      </w:r>
      <w:r w:rsidRPr="009A3411">
        <w:rPr>
          <w:rFonts w:ascii="Open Sans" w:hAnsi="Open Sans"/>
          <w:sz w:val="22"/>
          <w:szCs w:val="22"/>
        </w:rPr>
        <w:t xml:space="preserve"> </w:t>
      </w:r>
      <w:proofErr w:type="spellStart"/>
      <w:r w:rsidRPr="009A3411">
        <w:rPr>
          <w:rFonts w:ascii="Open Sans" w:hAnsi="Open Sans"/>
          <w:sz w:val="22"/>
          <w:szCs w:val="22"/>
        </w:rPr>
        <w:t>Fv</w:t>
      </w:r>
      <w:proofErr w:type="spellEnd"/>
      <w:r w:rsidRPr="009A3411">
        <w:rPr>
          <w:rFonts w:ascii="Open Sans" w:hAnsi="Open Sans"/>
          <w:sz w:val="22"/>
          <w:szCs w:val="22"/>
        </w:rPr>
        <w:t xml:space="preserve">/Fm </w:t>
      </w:r>
      <w:r w:rsidR="00CC583C" w:rsidRPr="009A3411">
        <w:rPr>
          <w:rFonts w:ascii="Open Sans" w:hAnsi="Open Sans"/>
          <w:sz w:val="22"/>
          <w:szCs w:val="22"/>
        </w:rPr>
        <w:t>index. The protocol of multispectral fluorescence measurement was performed on each culture in the end of the exponential growth phase.</w:t>
      </w:r>
      <w:r w:rsidR="00590CB2" w:rsidRPr="009A3411">
        <w:rPr>
          <w:rFonts w:ascii="Open Sans" w:hAnsi="Open Sans"/>
          <w:sz w:val="22"/>
          <w:szCs w:val="22"/>
        </w:rPr>
        <w:t xml:space="preserve"> </w:t>
      </w:r>
      <w:proofErr w:type="spellStart"/>
      <w:r w:rsidR="00590CB2" w:rsidRPr="009A3411">
        <w:rPr>
          <w:rFonts w:ascii="Open Sans" w:hAnsi="Open Sans"/>
          <w:sz w:val="22"/>
          <w:szCs w:val="22"/>
        </w:rPr>
        <w:t>Expliquer</w:t>
      </w:r>
      <w:proofErr w:type="spellEnd"/>
      <w:r w:rsidR="00590CB2" w:rsidRPr="009A3411">
        <w:rPr>
          <w:rFonts w:ascii="Open Sans" w:hAnsi="Open Sans"/>
          <w:sz w:val="22"/>
          <w:szCs w:val="22"/>
        </w:rPr>
        <w:t xml:space="preserve"> </w:t>
      </w:r>
      <w:proofErr w:type="spellStart"/>
      <w:r w:rsidR="00590CB2" w:rsidRPr="009A3411">
        <w:rPr>
          <w:rFonts w:ascii="Open Sans" w:hAnsi="Open Sans"/>
          <w:sz w:val="22"/>
          <w:szCs w:val="22"/>
        </w:rPr>
        <w:t>pourquoi</w:t>
      </w:r>
      <w:proofErr w:type="spellEnd"/>
      <w:r w:rsidR="00590CB2" w:rsidRPr="009A3411">
        <w:rPr>
          <w:rFonts w:ascii="Open Sans" w:hAnsi="Open Sans"/>
          <w:sz w:val="22"/>
          <w:szCs w:val="22"/>
        </w:rPr>
        <w:t>..</w:t>
      </w:r>
      <w:r w:rsidR="00CC583C" w:rsidRPr="009A3411">
        <w:rPr>
          <w:rFonts w:ascii="Open Sans" w:hAnsi="Open Sans"/>
          <w:sz w:val="22"/>
          <w:szCs w:val="22"/>
        </w:rPr>
        <w:t xml:space="preserve"> </w:t>
      </w:r>
      <w:commentRangeStart w:id="1"/>
      <w:r w:rsidR="00CC583C" w:rsidRPr="009A3411">
        <w:rPr>
          <w:rFonts w:ascii="Open Sans" w:hAnsi="Open Sans"/>
          <w:sz w:val="22"/>
          <w:szCs w:val="22"/>
        </w:rPr>
        <w:t>Afterward each culture was putted back in growth condition until a new exponential growth, three times, to get biological triplicate</w:t>
      </w:r>
      <w:commentRangeEnd w:id="1"/>
      <w:r w:rsidR="00590CB2" w:rsidRPr="009A3411">
        <w:rPr>
          <w:rFonts w:ascii="Open Sans" w:hAnsi="Open Sans"/>
        </w:rPr>
        <w:commentReference w:id="1"/>
      </w:r>
      <w:r w:rsidR="00CC583C" w:rsidRPr="009A3411">
        <w:rPr>
          <w:rFonts w:ascii="Open Sans" w:hAnsi="Open Sans"/>
          <w:sz w:val="22"/>
          <w:szCs w:val="22"/>
        </w:rPr>
        <w:t>.</w:t>
      </w:r>
      <w:r w:rsidR="00590CB2" w:rsidRPr="009A3411">
        <w:rPr>
          <w:rFonts w:ascii="Open Sans" w:hAnsi="Open Sans"/>
          <w:sz w:val="22"/>
          <w:szCs w:val="22"/>
        </w:rPr>
        <w:t xml:space="preserve"> </w:t>
      </w:r>
      <w:r w:rsidR="00590CB2" w:rsidRPr="00362A69">
        <w:rPr>
          <w:rFonts w:ascii="Open Sans" w:hAnsi="Open Sans"/>
          <w:sz w:val="22"/>
          <w:szCs w:val="22"/>
          <w:lang w:val="fr-FR"/>
        </w:rPr>
        <w:t>E</w:t>
      </w:r>
      <w:r w:rsidR="006418FF">
        <w:rPr>
          <w:rFonts w:ascii="Open Sans" w:hAnsi="Open Sans"/>
          <w:sz w:val="22"/>
          <w:szCs w:val="22"/>
          <w:lang w:val="fr-FR"/>
        </w:rPr>
        <w:t>x</w:t>
      </w:r>
      <w:r w:rsidR="00590CB2" w:rsidRPr="00362A69">
        <w:rPr>
          <w:rFonts w:ascii="Open Sans" w:hAnsi="Open Sans"/>
          <w:sz w:val="22"/>
          <w:szCs w:val="22"/>
          <w:lang w:val="fr-FR"/>
        </w:rPr>
        <w:t>pliquer pourquoi…</w:t>
      </w:r>
    </w:p>
    <w:p w14:paraId="20A6D28C" w14:textId="050AC6D5" w:rsidR="005D7114" w:rsidRPr="00362A69" w:rsidRDefault="005D7114" w:rsidP="006A4E76">
      <w:pPr>
        <w:jc w:val="both"/>
        <w:rPr>
          <w:lang w:val="fr-FR"/>
        </w:rPr>
      </w:pPr>
    </w:p>
    <w:p w14:paraId="3AE812A3" w14:textId="77777777" w:rsidR="005D7114" w:rsidRPr="00362A69" w:rsidRDefault="005D7114">
      <w:pPr>
        <w:jc w:val="both"/>
        <w:rPr>
          <w:lang w:val="fr-FR"/>
        </w:rPr>
      </w:pPr>
    </w:p>
    <w:p w14:paraId="741FBF85" w14:textId="3B021BAF" w:rsidR="005D7114" w:rsidRPr="006C7E26" w:rsidRDefault="00287B38">
      <w:pPr>
        <w:jc w:val="both"/>
        <w:rPr>
          <w:lang w:val="fr-FR"/>
        </w:rPr>
      </w:pPr>
      <w:r w:rsidRPr="00362A69">
        <w:rPr>
          <w:lang w:val="fr-FR"/>
        </w:rPr>
        <w:tab/>
      </w:r>
      <w:r w:rsidRPr="006C7E26">
        <w:rPr>
          <w:rFonts w:ascii="Open Sans" w:hAnsi="Open Sans"/>
          <w:lang w:val="fr-FR"/>
        </w:rPr>
        <w:t>2.1.</w:t>
      </w:r>
      <w:r w:rsidR="006A4E76">
        <w:rPr>
          <w:rFonts w:ascii="Open Sans" w:hAnsi="Open Sans"/>
          <w:lang w:val="fr-FR"/>
        </w:rPr>
        <w:t>2</w:t>
      </w:r>
      <w:r w:rsidRPr="006C7E26">
        <w:rPr>
          <w:rFonts w:ascii="Open Sans" w:hAnsi="Open Sans"/>
          <w:lang w:val="fr-FR"/>
        </w:rPr>
        <w:t xml:space="preserve">) Multispectral fluorescence </w:t>
      </w:r>
      <w:proofErr w:type="spellStart"/>
      <w:r w:rsidRPr="006C7E26">
        <w:rPr>
          <w:rFonts w:ascii="Open Sans" w:hAnsi="Open Sans"/>
          <w:lang w:val="fr-FR"/>
        </w:rPr>
        <w:t>measurements</w:t>
      </w:r>
      <w:proofErr w:type="spellEnd"/>
    </w:p>
    <w:p w14:paraId="01033606" w14:textId="5AECD3E0" w:rsidR="005D7114" w:rsidRDefault="005D7114">
      <w:pPr>
        <w:jc w:val="both"/>
        <w:rPr>
          <w:lang w:val="fr-FR"/>
        </w:rPr>
      </w:pPr>
    </w:p>
    <w:p w14:paraId="4A892745" w14:textId="4339B055" w:rsidR="006A4E76" w:rsidRDefault="006A4E76">
      <w:pPr>
        <w:jc w:val="both"/>
        <w:rPr>
          <w:lang w:val="fr-FR"/>
        </w:rPr>
      </w:pPr>
    </w:p>
    <w:p w14:paraId="68E7F16D" w14:textId="55839459" w:rsidR="005D7114" w:rsidRPr="00362A69" w:rsidRDefault="00287B38" w:rsidP="009A3411">
      <w:pPr>
        <w:pStyle w:val="Standard"/>
        <w:spacing w:line="360" w:lineRule="auto"/>
        <w:jc w:val="both"/>
        <w:rPr>
          <w:rFonts w:ascii="Open Sans" w:hAnsi="Open Sans"/>
          <w:sz w:val="22"/>
          <w:szCs w:val="22"/>
          <w:lang w:val="fr-FR"/>
        </w:rPr>
      </w:pPr>
      <w:r w:rsidRPr="00362A69">
        <w:rPr>
          <w:rFonts w:ascii="Open Sans" w:hAnsi="Open Sans"/>
          <w:sz w:val="22"/>
          <w:szCs w:val="22"/>
          <w:lang w:val="fr-FR"/>
        </w:rPr>
        <w:t xml:space="preserve">Pour la culture mère et chaque dilution, </w:t>
      </w:r>
    </w:p>
    <w:p w14:paraId="33DF1092" w14:textId="476DA3C5" w:rsidR="00590CB2" w:rsidRPr="00362A69" w:rsidRDefault="00590CB2" w:rsidP="009A3411">
      <w:pPr>
        <w:pStyle w:val="Standard"/>
        <w:spacing w:line="360" w:lineRule="auto"/>
        <w:jc w:val="both"/>
        <w:rPr>
          <w:rFonts w:ascii="Open Sans" w:hAnsi="Open Sans"/>
          <w:sz w:val="22"/>
          <w:szCs w:val="22"/>
          <w:lang w:val="fr-FR"/>
        </w:rPr>
      </w:pPr>
      <w:r w:rsidRPr="00362A69">
        <w:rPr>
          <w:rFonts w:ascii="Open Sans" w:hAnsi="Open Sans"/>
          <w:sz w:val="22"/>
          <w:szCs w:val="22"/>
          <w:lang w:val="fr-FR"/>
        </w:rPr>
        <w:t>- mesure au noir, après une acclimatation des cultures au noir. (Combien de temps ?)</w:t>
      </w:r>
    </w:p>
    <w:p w14:paraId="361C4AF1" w14:textId="6D9F4098" w:rsidR="005D7114" w:rsidRPr="00362A69" w:rsidRDefault="00287B38" w:rsidP="009A3411">
      <w:pPr>
        <w:pStyle w:val="Standard"/>
        <w:spacing w:line="360" w:lineRule="auto"/>
        <w:jc w:val="both"/>
        <w:rPr>
          <w:rFonts w:ascii="Open Sans" w:hAnsi="Open Sans"/>
          <w:sz w:val="22"/>
          <w:szCs w:val="22"/>
          <w:lang w:val="fr-FR"/>
        </w:rPr>
      </w:pPr>
      <w:r w:rsidRPr="00362A69">
        <w:rPr>
          <w:rFonts w:ascii="Open Sans" w:hAnsi="Open Sans"/>
          <w:sz w:val="22"/>
          <w:szCs w:val="22"/>
          <w:lang w:val="fr-FR"/>
        </w:rPr>
        <w:lastRenderedPageBreak/>
        <w:t xml:space="preserve">- Prélever 2 </w:t>
      </w:r>
      <w:proofErr w:type="spellStart"/>
      <w:r w:rsidRPr="00362A69">
        <w:rPr>
          <w:rFonts w:ascii="Open Sans" w:hAnsi="Open Sans"/>
          <w:sz w:val="22"/>
          <w:szCs w:val="22"/>
          <w:lang w:val="fr-FR"/>
        </w:rPr>
        <w:t>mL</w:t>
      </w:r>
      <w:proofErr w:type="spellEnd"/>
      <w:r w:rsidRPr="00362A69">
        <w:rPr>
          <w:rFonts w:ascii="Open Sans" w:hAnsi="Open Sans"/>
          <w:sz w:val="22"/>
          <w:szCs w:val="22"/>
          <w:lang w:val="fr-FR"/>
        </w:rPr>
        <w:t xml:space="preserve"> dans un cuve de </w:t>
      </w:r>
      <w:proofErr w:type="spellStart"/>
      <w:r w:rsidRPr="00362A69">
        <w:rPr>
          <w:rFonts w:ascii="Open Sans" w:hAnsi="Open Sans"/>
          <w:sz w:val="22"/>
          <w:szCs w:val="22"/>
          <w:lang w:val="fr-FR"/>
        </w:rPr>
        <w:t>spectrofluorimétrie</w:t>
      </w:r>
      <w:proofErr w:type="spellEnd"/>
      <w:r w:rsidRPr="00362A69">
        <w:rPr>
          <w:rFonts w:ascii="Open Sans" w:hAnsi="Open Sans"/>
          <w:sz w:val="22"/>
          <w:szCs w:val="22"/>
          <w:lang w:val="fr-FR"/>
        </w:rPr>
        <w:t xml:space="preserve"> (</w:t>
      </w:r>
      <w:proofErr w:type="spellStart"/>
      <w:r w:rsidRPr="00362A69">
        <w:rPr>
          <w:rFonts w:ascii="Open Sans" w:hAnsi="Open Sans"/>
          <w:sz w:val="22"/>
          <w:szCs w:val="22"/>
          <w:lang w:val="fr-FR"/>
        </w:rPr>
        <w:t>ref</w:t>
      </w:r>
      <w:proofErr w:type="spellEnd"/>
      <w:r w:rsidRPr="00362A69">
        <w:rPr>
          <w:rFonts w:ascii="Open Sans" w:hAnsi="Open Sans"/>
          <w:sz w:val="22"/>
          <w:szCs w:val="22"/>
          <w:lang w:val="fr-FR"/>
        </w:rPr>
        <w:t>) pour mesurer le F0</w:t>
      </w:r>
      <w:r w:rsidR="00672EB8">
        <w:rPr>
          <w:rFonts w:ascii="Open Sans" w:hAnsi="Open Sans"/>
          <w:sz w:val="22"/>
          <w:szCs w:val="22"/>
          <w:lang w:val="fr-FR"/>
        </w:rPr>
        <w:t xml:space="preserve"> </w:t>
      </w:r>
      <w:r w:rsidRPr="00362A69">
        <w:rPr>
          <w:rFonts w:ascii="Open Sans" w:hAnsi="Open Sans"/>
          <w:sz w:val="22"/>
          <w:szCs w:val="22"/>
          <w:lang w:val="fr-FR"/>
        </w:rPr>
        <w:t xml:space="preserve">le </w:t>
      </w:r>
      <w:proofErr w:type="spellStart"/>
      <w:r w:rsidRPr="00362A69">
        <w:rPr>
          <w:rFonts w:ascii="Open Sans" w:hAnsi="Open Sans"/>
          <w:sz w:val="22"/>
          <w:szCs w:val="22"/>
          <w:lang w:val="fr-FR"/>
        </w:rPr>
        <w:t>Fmd</w:t>
      </w:r>
      <w:proofErr w:type="spellEnd"/>
      <w:r w:rsidRPr="00362A69">
        <w:rPr>
          <w:rFonts w:ascii="Open Sans" w:hAnsi="Open Sans"/>
          <w:sz w:val="22"/>
          <w:szCs w:val="22"/>
          <w:lang w:val="fr-FR"/>
        </w:rPr>
        <w:t xml:space="preserve"> et le Fm et calculer le </w:t>
      </w:r>
      <w:proofErr w:type="spellStart"/>
      <w:r w:rsidRPr="00362A69">
        <w:rPr>
          <w:rFonts w:ascii="Open Sans" w:hAnsi="Open Sans"/>
          <w:sz w:val="22"/>
          <w:szCs w:val="22"/>
          <w:lang w:val="fr-FR"/>
        </w:rPr>
        <w:t>Fv</w:t>
      </w:r>
      <w:proofErr w:type="spellEnd"/>
      <w:r w:rsidRPr="00362A69">
        <w:rPr>
          <w:rFonts w:ascii="Open Sans" w:hAnsi="Open Sans"/>
          <w:sz w:val="22"/>
          <w:szCs w:val="22"/>
          <w:lang w:val="fr-FR"/>
        </w:rPr>
        <w:t>/Fm à l’aide du PAM (</w:t>
      </w:r>
      <w:proofErr w:type="spellStart"/>
      <w:r w:rsidRPr="00362A69">
        <w:rPr>
          <w:rFonts w:ascii="Open Sans" w:hAnsi="Open Sans"/>
          <w:sz w:val="22"/>
          <w:szCs w:val="22"/>
          <w:lang w:val="fr-FR"/>
        </w:rPr>
        <w:t>ref</w:t>
      </w:r>
      <w:proofErr w:type="spellEnd"/>
      <w:r w:rsidRPr="00362A69">
        <w:rPr>
          <w:rFonts w:ascii="Open Sans" w:hAnsi="Open Sans"/>
          <w:sz w:val="22"/>
          <w:szCs w:val="22"/>
          <w:lang w:val="fr-FR"/>
        </w:rPr>
        <w:t>) ;</w:t>
      </w:r>
    </w:p>
    <w:p w14:paraId="7673E1A1" w14:textId="77777777" w:rsidR="005D7114" w:rsidRPr="00362A69" w:rsidRDefault="00287B38" w:rsidP="009A3411">
      <w:pPr>
        <w:pStyle w:val="Standard"/>
        <w:spacing w:line="360" w:lineRule="auto"/>
        <w:jc w:val="both"/>
        <w:rPr>
          <w:rFonts w:ascii="Open Sans" w:hAnsi="Open Sans"/>
          <w:sz w:val="22"/>
          <w:szCs w:val="22"/>
          <w:lang w:val="fr-FR"/>
        </w:rPr>
      </w:pPr>
      <w:r w:rsidRPr="00362A69">
        <w:rPr>
          <w:rFonts w:ascii="Open Sans" w:hAnsi="Open Sans"/>
          <w:sz w:val="22"/>
          <w:szCs w:val="22"/>
          <w:lang w:val="fr-FR"/>
        </w:rPr>
        <w:t>- S’assurer que le fluorimètre est droit et au centre du bécher immergé de 5mm dans la culture. S’assurer de l’absence de bulles au niveaux des canaux d’excitations et du canal de mesure, mettre la culture sous légère agitation statique. Mesurer 3 * 1minutes avec 2 minutes de désexcitation entre chaque acquisition.</w:t>
      </w:r>
    </w:p>
    <w:p w14:paraId="08FC8FEF" w14:textId="117DEBB3" w:rsidR="005D7114" w:rsidRPr="00362A69" w:rsidRDefault="00287B38" w:rsidP="00672EB8">
      <w:pPr>
        <w:pStyle w:val="Standard"/>
        <w:spacing w:line="360" w:lineRule="auto"/>
        <w:jc w:val="both"/>
        <w:rPr>
          <w:rFonts w:ascii="Open Sans" w:hAnsi="Open Sans"/>
          <w:sz w:val="22"/>
          <w:szCs w:val="22"/>
          <w:lang w:val="fr-FR"/>
        </w:rPr>
      </w:pPr>
      <w:r w:rsidRPr="00362A69">
        <w:rPr>
          <w:rFonts w:ascii="Open Sans" w:hAnsi="Open Sans"/>
          <w:sz w:val="22"/>
          <w:szCs w:val="22"/>
          <w:lang w:val="fr-FR"/>
        </w:rPr>
        <w:t xml:space="preserve">Pour la culture mère, créer une référence avec le PAM. </w:t>
      </w:r>
    </w:p>
    <w:p w14:paraId="5C2A665D" w14:textId="77777777" w:rsidR="005D7114" w:rsidRDefault="005D7114">
      <w:pPr>
        <w:pStyle w:val="Standard"/>
        <w:rPr>
          <w:rFonts w:ascii="Open Sans" w:hAnsi="Open Sans"/>
          <w:lang w:val="fr-FR"/>
        </w:rPr>
      </w:pPr>
    </w:p>
    <w:p w14:paraId="61A5F3DF" w14:textId="77777777" w:rsidR="005D7114" w:rsidRDefault="005D7114">
      <w:pPr>
        <w:pStyle w:val="Standard"/>
        <w:rPr>
          <w:rFonts w:ascii="Open Sans" w:hAnsi="Open Sans"/>
          <w:lang w:val="fr-FR"/>
        </w:rPr>
      </w:pPr>
    </w:p>
    <w:p w14:paraId="3689960B" w14:textId="2D693B49" w:rsidR="005D7114" w:rsidRDefault="00287B38">
      <w:pPr>
        <w:pStyle w:val="Standard"/>
        <w:rPr>
          <w:rFonts w:ascii="Open Sans" w:hAnsi="Open Sans"/>
        </w:rPr>
      </w:pPr>
      <w:r>
        <w:rPr>
          <w:rFonts w:ascii="Open Sans" w:hAnsi="Open Sans"/>
          <w:lang w:val="fr-FR"/>
        </w:rPr>
        <w:tab/>
      </w:r>
      <w:r w:rsidRPr="006C7E26">
        <w:rPr>
          <w:rFonts w:ascii="Open Sans" w:hAnsi="Open Sans"/>
          <w:lang w:val="en-GB"/>
        </w:rPr>
        <w:t xml:space="preserve">2.2) </w:t>
      </w:r>
      <w:commentRangeStart w:id="2"/>
      <w:r>
        <w:rPr>
          <w:rFonts w:ascii="Open Sans" w:hAnsi="Open Sans"/>
        </w:rPr>
        <w:t>Time series acquisition</w:t>
      </w:r>
      <w:commentRangeEnd w:id="2"/>
      <w:r w:rsidR="002E11C7">
        <w:rPr>
          <w:rStyle w:val="Marquedecommentaire"/>
          <w:rFonts w:cs="Mangal"/>
        </w:rPr>
        <w:commentReference w:id="2"/>
      </w:r>
    </w:p>
    <w:p w14:paraId="3914395C" w14:textId="57E95018" w:rsidR="00FF6695" w:rsidRDefault="00FF6695">
      <w:pPr>
        <w:pStyle w:val="Standard"/>
        <w:rPr>
          <w:rFonts w:ascii="Open Sans" w:hAnsi="Open Sans"/>
        </w:rPr>
      </w:pPr>
    </w:p>
    <w:p w14:paraId="2CB2821C" w14:textId="72B7E08B" w:rsidR="00FF6695" w:rsidRDefault="00FF6695" w:rsidP="009A3411">
      <w:pPr>
        <w:pStyle w:val="Standard"/>
        <w:spacing w:line="360" w:lineRule="auto"/>
        <w:jc w:val="both"/>
        <w:rPr>
          <w:rFonts w:ascii="Open Sans" w:hAnsi="Open Sans"/>
          <w:sz w:val="22"/>
          <w:szCs w:val="22"/>
        </w:rPr>
      </w:pPr>
      <w:r w:rsidRPr="009A3411">
        <w:rPr>
          <w:rFonts w:ascii="Open Sans" w:hAnsi="Open Sans"/>
          <w:sz w:val="22"/>
          <w:szCs w:val="22"/>
        </w:rPr>
        <w:t xml:space="preserve">The MF was deployed at sea from December 2020 to October 2021, in the North Western Mediterranean sea, at the B.. BOUSSOLE site. This site was chosen for its seasonality that leads to contrasted phytoplankton community succession through the year. Its diversity of phytoplankton communities may be compared to the trophic gradient observed on the global scale going from microphytoplankton dominated communities to picophytoplankton dominated communities. Once a month, a cruise took place with a conductivity temperature depth (CTD) device mounted with the </w:t>
      </w:r>
      <w:r w:rsidR="00905971">
        <w:rPr>
          <w:rFonts w:ascii="Open Sans" w:hAnsi="Open Sans"/>
          <w:sz w:val="22"/>
          <w:szCs w:val="22"/>
        </w:rPr>
        <w:t>multispectral fluorometer (</w:t>
      </w:r>
      <w:r w:rsidRPr="009A3411">
        <w:rPr>
          <w:rFonts w:ascii="Open Sans" w:hAnsi="Open Sans"/>
          <w:sz w:val="22"/>
          <w:szCs w:val="22"/>
        </w:rPr>
        <w:t>MF</w:t>
      </w:r>
      <w:r w:rsidR="00905971">
        <w:rPr>
          <w:rFonts w:ascii="Open Sans" w:hAnsi="Open Sans"/>
          <w:sz w:val="22"/>
          <w:szCs w:val="22"/>
        </w:rPr>
        <w:t>)</w:t>
      </w:r>
      <w:r w:rsidRPr="009A3411">
        <w:rPr>
          <w:rFonts w:ascii="Open Sans" w:hAnsi="Open Sans"/>
          <w:sz w:val="22"/>
          <w:szCs w:val="22"/>
        </w:rPr>
        <w:t xml:space="preserve"> </w:t>
      </w:r>
      <w:r w:rsidR="00D1321A" w:rsidRPr="009A3411">
        <w:rPr>
          <w:rFonts w:ascii="Open Sans" w:hAnsi="Open Sans"/>
          <w:sz w:val="22"/>
          <w:szCs w:val="22"/>
        </w:rPr>
        <w:t xml:space="preserve">to cast a profile from surface to 400m depth. In addition, the </w:t>
      </w:r>
      <w:proofErr w:type="spellStart"/>
      <w:r w:rsidR="00D1321A" w:rsidRPr="009A3411">
        <w:rPr>
          <w:rFonts w:ascii="Open Sans" w:hAnsi="Open Sans"/>
          <w:sz w:val="22"/>
          <w:szCs w:val="22"/>
        </w:rPr>
        <w:t>Wetlabs</w:t>
      </w:r>
      <w:proofErr w:type="spellEnd"/>
      <w:r w:rsidR="00D1321A" w:rsidRPr="009A3411">
        <w:rPr>
          <w:rFonts w:ascii="Open Sans" w:hAnsi="Open Sans"/>
          <w:sz w:val="22"/>
          <w:szCs w:val="22"/>
        </w:rPr>
        <w:t xml:space="preserve"> ECO-series (ref) fluorometer and a transmissiometer (ref) were mounted on the CTD providing BBP and Cp measurements concurrently to the multispectral fluorescence signal…</w:t>
      </w:r>
      <w:r w:rsidR="00464426">
        <w:rPr>
          <w:rFonts w:ascii="Open Sans" w:hAnsi="Open Sans"/>
          <w:sz w:val="22"/>
          <w:szCs w:val="22"/>
        </w:rPr>
        <w:t xml:space="preserve"> </w:t>
      </w:r>
    </w:p>
    <w:p w14:paraId="6E72A1C5" w14:textId="01980F1A" w:rsidR="00464426" w:rsidRPr="009A3411" w:rsidRDefault="00464426" w:rsidP="009A3411">
      <w:pPr>
        <w:pStyle w:val="Standard"/>
        <w:spacing w:line="360" w:lineRule="auto"/>
        <w:jc w:val="both"/>
        <w:rPr>
          <w:rFonts w:ascii="Open Sans" w:hAnsi="Open Sans"/>
          <w:sz w:val="22"/>
          <w:szCs w:val="22"/>
        </w:rPr>
      </w:pPr>
      <w:r>
        <w:rPr>
          <w:rFonts w:ascii="Open Sans" w:hAnsi="Open Sans"/>
          <w:sz w:val="22"/>
          <w:szCs w:val="22"/>
        </w:rPr>
        <w:t>Profiles were binned every meter and spike were removed following a moving median method…</w:t>
      </w:r>
    </w:p>
    <w:p w14:paraId="574DEA47" w14:textId="77777777" w:rsidR="005D7114" w:rsidRDefault="005D7114">
      <w:pPr>
        <w:pStyle w:val="Standard"/>
        <w:rPr>
          <w:rFonts w:ascii="Open Sans" w:hAnsi="Open Sans"/>
        </w:rPr>
      </w:pPr>
    </w:p>
    <w:p w14:paraId="63218E2B" w14:textId="77777777" w:rsidR="005D7114" w:rsidRDefault="00287B38">
      <w:pPr>
        <w:pStyle w:val="Standard"/>
        <w:rPr>
          <w:rFonts w:ascii="Open Sans" w:hAnsi="Open Sans"/>
        </w:rPr>
      </w:pPr>
      <w:r>
        <w:rPr>
          <w:rFonts w:ascii="Open Sans" w:hAnsi="Open Sans"/>
        </w:rPr>
        <w:tab/>
        <w:t>2.3) Statistics</w:t>
      </w:r>
    </w:p>
    <w:p w14:paraId="1957E270" w14:textId="77777777" w:rsidR="005D7114" w:rsidRDefault="005D7114">
      <w:pPr>
        <w:pStyle w:val="Standard"/>
        <w:rPr>
          <w:rFonts w:ascii="Open Sans" w:hAnsi="Open Sans"/>
        </w:rPr>
      </w:pPr>
    </w:p>
    <w:p w14:paraId="5B969BDB" w14:textId="42E19841" w:rsidR="005D7114" w:rsidRDefault="00287B38">
      <w:pPr>
        <w:pStyle w:val="Standard"/>
        <w:rPr>
          <w:rFonts w:ascii="Open Sans" w:hAnsi="Open Sans"/>
        </w:rPr>
      </w:pPr>
      <w:r>
        <w:rPr>
          <w:rFonts w:ascii="Open Sans" w:hAnsi="Open Sans"/>
        </w:rPr>
        <w:tab/>
        <w:t xml:space="preserve">2.3.1) </w:t>
      </w:r>
      <w:r w:rsidR="00183EF8">
        <w:rPr>
          <w:rFonts w:ascii="Open Sans" w:hAnsi="Open Sans"/>
        </w:rPr>
        <w:t>Classification methods</w:t>
      </w:r>
    </w:p>
    <w:p w14:paraId="4AFB8848" w14:textId="7684E3C4" w:rsidR="00D1321A" w:rsidRDefault="00D1321A" w:rsidP="002E11C7">
      <w:pPr>
        <w:pStyle w:val="Standard"/>
        <w:jc w:val="both"/>
        <w:rPr>
          <w:rFonts w:ascii="Open Sans" w:hAnsi="Open Sans"/>
        </w:rPr>
      </w:pPr>
    </w:p>
    <w:p w14:paraId="6322C71F" w14:textId="3B7388C5" w:rsidR="00D1321A" w:rsidRDefault="00D1321A" w:rsidP="009A3411">
      <w:pPr>
        <w:pStyle w:val="Standard"/>
        <w:spacing w:line="360" w:lineRule="auto"/>
        <w:jc w:val="both"/>
        <w:rPr>
          <w:rFonts w:ascii="Open Sans" w:hAnsi="Open Sans"/>
          <w:sz w:val="22"/>
          <w:szCs w:val="22"/>
        </w:rPr>
      </w:pPr>
      <w:r w:rsidRPr="009A3411">
        <w:rPr>
          <w:rFonts w:ascii="Open Sans" w:hAnsi="Open Sans"/>
          <w:sz w:val="22"/>
          <w:szCs w:val="22"/>
        </w:rPr>
        <w:t xml:space="preserve">The classification of the laboratory samples was determined using a </w:t>
      </w:r>
      <w:r w:rsidR="00862804" w:rsidRPr="009A3411">
        <w:rPr>
          <w:rFonts w:ascii="Open Sans" w:hAnsi="Open Sans"/>
          <w:sz w:val="22"/>
          <w:szCs w:val="22"/>
        </w:rPr>
        <w:t>S</w:t>
      </w:r>
      <w:r w:rsidRPr="009A3411">
        <w:rPr>
          <w:rFonts w:ascii="Open Sans" w:hAnsi="Open Sans"/>
          <w:sz w:val="22"/>
          <w:szCs w:val="22"/>
        </w:rPr>
        <w:t xml:space="preserve">upport Vector Machine </w:t>
      </w:r>
      <w:r w:rsidR="00862804" w:rsidRPr="009A3411">
        <w:rPr>
          <w:rFonts w:ascii="Open Sans" w:hAnsi="Open Sans"/>
          <w:sz w:val="22"/>
          <w:szCs w:val="22"/>
        </w:rPr>
        <w:t xml:space="preserve">Classifier </w:t>
      </w:r>
      <w:r w:rsidRPr="009A3411">
        <w:rPr>
          <w:rFonts w:ascii="Open Sans" w:hAnsi="Open Sans"/>
          <w:sz w:val="22"/>
          <w:szCs w:val="22"/>
        </w:rPr>
        <w:t>(SVC)</w:t>
      </w:r>
      <w:r w:rsidR="00862804" w:rsidRPr="009A3411">
        <w:rPr>
          <w:rFonts w:ascii="Open Sans" w:hAnsi="Open Sans"/>
          <w:sz w:val="22"/>
          <w:szCs w:val="22"/>
        </w:rPr>
        <w:t xml:space="preserve"> which allows a visual interpretation of the results. The SVC was designed using a Radian Based Function (RBF) kernel in order to precise the discrimination power of the model, by allowing non-linearity of the decision boundaries.</w:t>
      </w:r>
    </w:p>
    <w:p w14:paraId="32D2E84F" w14:textId="49E0C3CA" w:rsidR="00183EF8" w:rsidRPr="009A3411" w:rsidRDefault="00183EF8" w:rsidP="00183EF8">
      <w:pPr>
        <w:pStyle w:val="Standard"/>
        <w:spacing w:line="360" w:lineRule="auto"/>
        <w:jc w:val="both"/>
        <w:rPr>
          <w:rFonts w:ascii="Open Sans" w:hAnsi="Open Sans"/>
          <w:sz w:val="22"/>
          <w:szCs w:val="22"/>
        </w:rPr>
      </w:pPr>
      <w:r w:rsidRPr="009A3411">
        <w:rPr>
          <w:rFonts w:ascii="Open Sans" w:hAnsi="Open Sans"/>
          <w:sz w:val="22"/>
          <w:szCs w:val="22"/>
        </w:rPr>
        <w:t xml:space="preserve">The apparent complexity of in-situ phytoplankton community composition compared to laboratory monospecific cultured encouraged us to use </w:t>
      </w:r>
      <w:r>
        <w:rPr>
          <w:rFonts w:ascii="Open Sans" w:hAnsi="Open Sans"/>
          <w:sz w:val="22"/>
          <w:szCs w:val="22"/>
        </w:rPr>
        <w:t xml:space="preserve">a </w:t>
      </w:r>
      <w:r w:rsidRPr="009A3411">
        <w:rPr>
          <w:rFonts w:ascii="Open Sans" w:hAnsi="Open Sans"/>
          <w:sz w:val="22"/>
          <w:szCs w:val="22"/>
        </w:rPr>
        <w:t xml:space="preserve">more complex classification method, including new descriptors. Thus, we used an Histogram Gradient Boosting (HGB) classification model, including multispectral fluorescence data and optical measurement that can be </w:t>
      </w:r>
      <w:r w:rsidRPr="009A3411">
        <w:rPr>
          <w:rFonts w:ascii="Open Sans" w:hAnsi="Open Sans"/>
          <w:sz w:val="22"/>
          <w:szCs w:val="22"/>
        </w:rPr>
        <w:lastRenderedPageBreak/>
        <w:t>monitored with BGC-Argo floats (i.e. BBP and Cp). This type of machine learning model is  particularly well suited for tabular data</w:t>
      </w:r>
      <w:r w:rsidR="0080143D">
        <w:rPr>
          <w:rFonts w:ascii="Open Sans" w:hAnsi="Open Sans"/>
          <w:sz w:val="22"/>
          <w:szCs w:val="22"/>
        </w:rPr>
        <w:t xml:space="preserve"> (</w:t>
      </w:r>
      <w:proofErr w:type="spellStart"/>
      <w:r w:rsidR="0080143D">
        <w:rPr>
          <w:rFonts w:ascii="Open Sans" w:hAnsi="Open Sans"/>
          <w:sz w:val="22"/>
          <w:szCs w:val="22"/>
        </w:rPr>
        <w:t>avantages</w:t>
      </w:r>
      <w:proofErr w:type="spellEnd"/>
      <w:r w:rsidR="0080143D">
        <w:rPr>
          <w:rFonts w:ascii="Open Sans" w:hAnsi="Open Sans"/>
          <w:sz w:val="22"/>
          <w:szCs w:val="22"/>
        </w:rPr>
        <w:t xml:space="preserve"> de la </w:t>
      </w:r>
      <w:proofErr w:type="spellStart"/>
      <w:r w:rsidR="0080143D">
        <w:rPr>
          <w:rFonts w:ascii="Open Sans" w:hAnsi="Open Sans"/>
          <w:sz w:val="22"/>
          <w:szCs w:val="22"/>
        </w:rPr>
        <w:t>méthode</w:t>
      </w:r>
      <w:proofErr w:type="spellEnd"/>
      <w:r w:rsidR="0080143D">
        <w:rPr>
          <w:rFonts w:ascii="Open Sans" w:hAnsi="Open Sans"/>
          <w:sz w:val="22"/>
          <w:szCs w:val="22"/>
        </w:rPr>
        <w:t>)</w:t>
      </w:r>
      <w:r w:rsidRPr="009A3411">
        <w:rPr>
          <w:rFonts w:ascii="Open Sans" w:hAnsi="Open Sans"/>
          <w:sz w:val="22"/>
          <w:szCs w:val="22"/>
        </w:rPr>
        <w:t xml:space="preserve"> etc..</w:t>
      </w:r>
      <w:r w:rsidR="0080143D">
        <w:rPr>
          <w:rFonts w:ascii="Open Sans" w:hAnsi="Open Sans"/>
          <w:sz w:val="22"/>
          <w:szCs w:val="22"/>
        </w:rPr>
        <w:t xml:space="preserve"> The imbalance in the number of samples per cluster was counterbalanced by a SMOTE oversampling. Each cluster was oversampled to get as much observation as the largest cluster</w:t>
      </w:r>
      <w:r w:rsidR="00464426">
        <w:rPr>
          <w:rFonts w:ascii="Open Sans" w:hAnsi="Open Sans"/>
          <w:sz w:val="22"/>
          <w:szCs w:val="22"/>
        </w:rPr>
        <w:t>.</w:t>
      </w:r>
      <w:r w:rsidR="0080143D">
        <w:rPr>
          <w:rFonts w:ascii="Open Sans" w:hAnsi="Open Sans"/>
          <w:sz w:val="22"/>
          <w:szCs w:val="22"/>
        </w:rPr>
        <w:t xml:space="preserve"> </w:t>
      </w:r>
      <w:r w:rsidR="00464426">
        <w:rPr>
          <w:rFonts w:ascii="Open Sans" w:hAnsi="Open Sans"/>
          <w:sz w:val="22"/>
          <w:szCs w:val="22"/>
        </w:rPr>
        <w:t>I</w:t>
      </w:r>
      <w:r w:rsidR="0080143D">
        <w:rPr>
          <w:rFonts w:ascii="Open Sans" w:hAnsi="Open Sans"/>
          <w:sz w:val="22"/>
          <w:szCs w:val="22"/>
        </w:rPr>
        <w:t>n the end, each cluster is composed of 32 samples.</w:t>
      </w:r>
      <w:r w:rsidRPr="009A3411">
        <w:rPr>
          <w:rFonts w:ascii="Open Sans" w:hAnsi="Open Sans"/>
          <w:sz w:val="22"/>
          <w:szCs w:val="22"/>
        </w:rPr>
        <w:t xml:space="preserve"> </w:t>
      </w:r>
      <w:commentRangeStart w:id="3"/>
      <w:r w:rsidRPr="009A3411">
        <w:rPr>
          <w:rFonts w:ascii="Open Sans" w:hAnsi="Open Sans"/>
          <w:sz w:val="22"/>
          <w:szCs w:val="22"/>
        </w:rPr>
        <w:t xml:space="preserve">The </w:t>
      </w:r>
      <w:commentRangeStart w:id="4"/>
      <w:r w:rsidRPr="009A3411">
        <w:rPr>
          <w:rFonts w:ascii="Open Sans" w:hAnsi="Open Sans"/>
          <w:sz w:val="22"/>
          <w:szCs w:val="22"/>
        </w:rPr>
        <w:t>descriptors</w:t>
      </w:r>
      <w:commentRangeEnd w:id="4"/>
      <w:r w:rsidRPr="009A3411">
        <w:rPr>
          <w:rFonts w:ascii="Open Sans" w:hAnsi="Open Sans"/>
          <w:sz w:val="22"/>
          <w:szCs w:val="22"/>
        </w:rPr>
        <w:commentReference w:id="4"/>
      </w:r>
      <w:r w:rsidRPr="009A3411">
        <w:rPr>
          <w:rFonts w:ascii="Open Sans" w:hAnsi="Open Sans"/>
          <w:sz w:val="22"/>
          <w:szCs w:val="22"/>
        </w:rPr>
        <w:t xml:space="preserve"> do not rely on absolute values to prevent any overfitting to the local environment. </w:t>
      </w:r>
      <w:commentRangeEnd w:id="3"/>
      <w:r w:rsidRPr="009A3411">
        <w:rPr>
          <w:rFonts w:ascii="Open Sans" w:hAnsi="Open Sans"/>
          <w:sz w:val="22"/>
          <w:szCs w:val="22"/>
        </w:rPr>
        <w:commentReference w:id="3"/>
      </w:r>
      <w:r w:rsidRPr="009A3411">
        <w:rPr>
          <w:rFonts w:ascii="Open Sans" w:hAnsi="Open Sans"/>
          <w:sz w:val="22"/>
          <w:szCs w:val="22"/>
        </w:rPr>
        <w:t xml:space="preserve">The hyperparameters of the model were defined using a cross validation grid search </w:t>
      </w:r>
      <w:proofErr w:type="spellStart"/>
      <w:r w:rsidRPr="009A3411">
        <w:rPr>
          <w:rFonts w:ascii="Open Sans" w:hAnsi="Open Sans"/>
          <w:sz w:val="22"/>
          <w:szCs w:val="22"/>
        </w:rPr>
        <w:t>etc</w:t>
      </w:r>
      <w:proofErr w:type="spellEnd"/>
      <w:r w:rsidRPr="009A3411">
        <w:rPr>
          <w:rFonts w:ascii="Open Sans" w:hAnsi="Open Sans"/>
          <w:sz w:val="22"/>
          <w:szCs w:val="22"/>
        </w:rPr>
        <w:t xml:space="preserve">… etc.. </w:t>
      </w:r>
      <w:proofErr w:type="spellStart"/>
      <w:r w:rsidRPr="009A3411">
        <w:rPr>
          <w:rFonts w:ascii="Open Sans" w:hAnsi="Open Sans"/>
          <w:sz w:val="22"/>
          <w:szCs w:val="22"/>
        </w:rPr>
        <w:t>détailler</w:t>
      </w:r>
      <w:proofErr w:type="spellEnd"/>
      <w:r w:rsidRPr="009A3411">
        <w:rPr>
          <w:rFonts w:ascii="Open Sans" w:hAnsi="Open Sans"/>
          <w:sz w:val="22"/>
          <w:szCs w:val="22"/>
        </w:rPr>
        <w:t xml:space="preserve"> le </w:t>
      </w:r>
      <w:proofErr w:type="spellStart"/>
      <w:r w:rsidRPr="009A3411">
        <w:rPr>
          <w:rFonts w:ascii="Open Sans" w:hAnsi="Open Sans"/>
          <w:sz w:val="22"/>
          <w:szCs w:val="22"/>
        </w:rPr>
        <w:t>modèle</w:t>
      </w:r>
      <w:proofErr w:type="spellEnd"/>
      <w:r w:rsidRPr="009A3411">
        <w:rPr>
          <w:rFonts w:ascii="Open Sans" w:hAnsi="Open Sans"/>
          <w:sz w:val="22"/>
          <w:szCs w:val="22"/>
        </w:rPr>
        <w:t>.</w:t>
      </w:r>
    </w:p>
    <w:p w14:paraId="5A52BABE" w14:textId="6026FE02" w:rsidR="00183EF8" w:rsidRPr="009A3411" w:rsidRDefault="00183EF8" w:rsidP="00183EF8">
      <w:pPr>
        <w:pStyle w:val="Standard"/>
        <w:spacing w:line="360" w:lineRule="auto"/>
        <w:jc w:val="both"/>
        <w:rPr>
          <w:rFonts w:ascii="Open Sans" w:hAnsi="Open Sans"/>
          <w:sz w:val="22"/>
          <w:szCs w:val="22"/>
        </w:rPr>
      </w:pPr>
      <w:r w:rsidRPr="009A3411">
        <w:rPr>
          <w:rFonts w:ascii="Open Sans" w:hAnsi="Open Sans"/>
          <w:sz w:val="22"/>
          <w:szCs w:val="22"/>
        </w:rPr>
        <w:t xml:space="preserve">Ultimately the performance of the HGB classification model is discussed regarding 4 different possible configuration of BGC-Argo sensor packages. One with MF, transmissiometer </w:t>
      </w:r>
      <w:proofErr w:type="spellStart"/>
      <w:r w:rsidRPr="009A3411">
        <w:rPr>
          <w:rFonts w:ascii="Open Sans" w:hAnsi="Open Sans"/>
          <w:sz w:val="22"/>
          <w:szCs w:val="22"/>
        </w:rPr>
        <w:t>etc</w:t>
      </w:r>
      <w:proofErr w:type="spellEnd"/>
      <w:r w:rsidRPr="009A3411">
        <w:rPr>
          <w:rFonts w:ascii="Open Sans" w:hAnsi="Open Sans"/>
          <w:sz w:val="22"/>
          <w:szCs w:val="22"/>
        </w:rPr>
        <w:t>…</w:t>
      </w:r>
    </w:p>
    <w:p w14:paraId="02118E18" w14:textId="77777777" w:rsidR="00D1321A" w:rsidRDefault="00D1321A">
      <w:pPr>
        <w:pStyle w:val="Standard"/>
        <w:rPr>
          <w:rFonts w:ascii="Open Sans" w:hAnsi="Open Sans"/>
        </w:rPr>
      </w:pPr>
    </w:p>
    <w:p w14:paraId="3BE6111A" w14:textId="77777777" w:rsidR="005D7114" w:rsidRDefault="005D7114">
      <w:pPr>
        <w:pStyle w:val="Standard"/>
        <w:rPr>
          <w:rFonts w:ascii="Open Sans" w:hAnsi="Open Sans"/>
        </w:rPr>
      </w:pPr>
    </w:p>
    <w:p w14:paraId="042AE58B" w14:textId="2581842D" w:rsidR="005D7114" w:rsidRDefault="00287B38">
      <w:pPr>
        <w:pStyle w:val="Standard"/>
        <w:rPr>
          <w:rFonts w:ascii="Open Sans" w:hAnsi="Open Sans"/>
        </w:rPr>
      </w:pPr>
      <w:r>
        <w:rPr>
          <w:rFonts w:ascii="Open Sans" w:hAnsi="Open Sans"/>
        </w:rPr>
        <w:tab/>
        <w:t>2.3.2) Clustering method</w:t>
      </w:r>
    </w:p>
    <w:p w14:paraId="74B88956" w14:textId="6679A406" w:rsidR="00862804" w:rsidRDefault="00862804">
      <w:pPr>
        <w:pStyle w:val="Standard"/>
        <w:rPr>
          <w:rFonts w:ascii="Open Sans" w:hAnsi="Open Sans"/>
        </w:rPr>
      </w:pPr>
    </w:p>
    <w:p w14:paraId="5E221FDA" w14:textId="23550A53" w:rsidR="00B870B9" w:rsidRPr="009A3411" w:rsidRDefault="00862804" w:rsidP="009A3411">
      <w:pPr>
        <w:pStyle w:val="Standard"/>
        <w:spacing w:line="360" w:lineRule="auto"/>
        <w:jc w:val="both"/>
        <w:rPr>
          <w:rFonts w:ascii="Open Sans" w:hAnsi="Open Sans"/>
          <w:sz w:val="22"/>
          <w:szCs w:val="22"/>
        </w:rPr>
      </w:pPr>
      <w:r w:rsidRPr="009A3411">
        <w:rPr>
          <w:rFonts w:ascii="Open Sans" w:hAnsi="Open Sans"/>
          <w:sz w:val="22"/>
          <w:szCs w:val="22"/>
        </w:rPr>
        <w:t xml:space="preserve">The </w:t>
      </w:r>
      <w:r w:rsidRPr="008B7FD5">
        <w:rPr>
          <w:rFonts w:ascii="Open Sans" w:hAnsi="Open Sans"/>
          <w:i/>
          <w:iCs/>
          <w:sz w:val="22"/>
          <w:szCs w:val="22"/>
        </w:rPr>
        <w:t>in-situ</w:t>
      </w:r>
      <w:r w:rsidRPr="009A3411">
        <w:rPr>
          <w:rFonts w:ascii="Open Sans" w:hAnsi="Open Sans"/>
          <w:sz w:val="22"/>
          <w:szCs w:val="22"/>
        </w:rPr>
        <w:t xml:space="preserve"> HPLC data were clusterized in order to define phytoplankton communities that are meant to be discriminated by the </w:t>
      </w:r>
      <w:r w:rsidR="00183EF8">
        <w:rPr>
          <w:rFonts w:ascii="Open Sans" w:hAnsi="Open Sans"/>
          <w:sz w:val="22"/>
          <w:szCs w:val="22"/>
        </w:rPr>
        <w:t>HGB classification method</w:t>
      </w:r>
      <w:r w:rsidRPr="009A3411">
        <w:rPr>
          <w:rFonts w:ascii="Open Sans" w:hAnsi="Open Sans"/>
          <w:sz w:val="22"/>
          <w:szCs w:val="22"/>
        </w:rPr>
        <w:t xml:space="preserve">. An assemblage of pigments concentration (i.e. c chlorophyll c1, c2 and c3; peridinin;  but; fucoxanthin; neoxanthin; </w:t>
      </w:r>
      <w:proofErr w:type="spellStart"/>
      <w:r w:rsidRPr="009A3411">
        <w:rPr>
          <w:rFonts w:ascii="Open Sans" w:hAnsi="Open Sans"/>
          <w:sz w:val="22"/>
          <w:szCs w:val="22"/>
        </w:rPr>
        <w:t>prasinoxanthin</w:t>
      </w:r>
      <w:proofErr w:type="spellEnd"/>
      <w:r w:rsidRPr="009A3411">
        <w:rPr>
          <w:rFonts w:ascii="Open Sans" w:hAnsi="Open Sans"/>
          <w:sz w:val="22"/>
          <w:szCs w:val="22"/>
        </w:rPr>
        <w:t xml:space="preserve">; violaxanthin; hex; diadinoxanthin; alloxanthin; </w:t>
      </w:r>
      <w:proofErr w:type="spellStart"/>
      <w:r w:rsidRPr="009A3411">
        <w:rPr>
          <w:rFonts w:ascii="Open Sans" w:hAnsi="Open Sans"/>
          <w:sz w:val="22"/>
          <w:szCs w:val="22"/>
        </w:rPr>
        <w:t>diatinoxanthin</w:t>
      </w:r>
      <w:proofErr w:type="spellEnd"/>
      <w:r w:rsidRPr="009A3411">
        <w:rPr>
          <w:rFonts w:ascii="Open Sans" w:hAnsi="Open Sans"/>
          <w:sz w:val="22"/>
          <w:szCs w:val="22"/>
        </w:rPr>
        <w:t>; zeaxanthin; lutein; divinyl chlorophyll b; chlorophyll b; divinyl chlorophyll a</w:t>
      </w:r>
      <w:r w:rsidR="00E82E60" w:rsidRPr="009A3411">
        <w:rPr>
          <w:rFonts w:ascii="Open Sans" w:hAnsi="Open Sans"/>
          <w:sz w:val="22"/>
          <w:szCs w:val="22"/>
        </w:rPr>
        <w:t xml:space="preserve"> and </w:t>
      </w:r>
      <w:r w:rsidRPr="009A3411">
        <w:rPr>
          <w:rFonts w:ascii="Open Sans" w:hAnsi="Open Sans"/>
          <w:sz w:val="22"/>
          <w:szCs w:val="22"/>
        </w:rPr>
        <w:t>chl</w:t>
      </w:r>
      <w:r w:rsidR="00E82E60" w:rsidRPr="009A3411">
        <w:rPr>
          <w:rFonts w:ascii="Open Sans" w:hAnsi="Open Sans"/>
          <w:sz w:val="22"/>
          <w:szCs w:val="22"/>
        </w:rPr>
        <w:t xml:space="preserve">orophyll </w:t>
      </w:r>
      <w:r w:rsidRPr="009A3411">
        <w:rPr>
          <w:rFonts w:ascii="Open Sans" w:hAnsi="Open Sans"/>
          <w:sz w:val="22"/>
          <w:szCs w:val="22"/>
        </w:rPr>
        <w:t>a)</w:t>
      </w:r>
      <w:r w:rsidR="00E82E60" w:rsidRPr="009A3411">
        <w:rPr>
          <w:rFonts w:ascii="Open Sans" w:hAnsi="Open Sans"/>
          <w:sz w:val="22"/>
          <w:szCs w:val="22"/>
        </w:rPr>
        <w:t xml:space="preserve"> were used as descriptors of a correspond analysis (CA)</w:t>
      </w:r>
      <w:r w:rsidR="00183EF8">
        <w:rPr>
          <w:rFonts w:ascii="Open Sans" w:hAnsi="Open Sans"/>
          <w:sz w:val="22"/>
          <w:szCs w:val="22"/>
        </w:rPr>
        <w:t>. The first two dimensions of the CA</w:t>
      </w:r>
      <w:r w:rsidR="00E82E60" w:rsidRPr="009A3411">
        <w:rPr>
          <w:rFonts w:ascii="Open Sans" w:hAnsi="Open Sans"/>
          <w:sz w:val="22"/>
          <w:szCs w:val="22"/>
        </w:rPr>
        <w:t xml:space="preserve"> </w:t>
      </w:r>
      <w:r w:rsidR="00183EF8">
        <w:rPr>
          <w:rFonts w:ascii="Open Sans" w:hAnsi="Open Sans"/>
          <w:sz w:val="22"/>
          <w:szCs w:val="22"/>
        </w:rPr>
        <w:t xml:space="preserve">were used as numerical estimation </w:t>
      </w:r>
      <w:r w:rsidR="00E82E60" w:rsidRPr="009A3411">
        <w:rPr>
          <w:rFonts w:ascii="Open Sans" w:hAnsi="Open Sans"/>
          <w:sz w:val="22"/>
          <w:szCs w:val="22"/>
        </w:rPr>
        <w:t>of the pigment composition resemblance of each samples. A clusteri</w:t>
      </w:r>
      <w:r w:rsidR="002E11C7" w:rsidRPr="009A3411">
        <w:rPr>
          <w:rFonts w:ascii="Open Sans" w:hAnsi="Open Sans"/>
          <w:sz w:val="22"/>
          <w:szCs w:val="22"/>
        </w:rPr>
        <w:t>z</w:t>
      </w:r>
      <w:r w:rsidR="00E82E60" w:rsidRPr="009A3411">
        <w:rPr>
          <w:rFonts w:ascii="Open Sans" w:hAnsi="Open Sans"/>
          <w:sz w:val="22"/>
          <w:szCs w:val="22"/>
        </w:rPr>
        <w:t>ation was then made on the first 2 dimensions, using a Hierarchical Ascending Classification (HAC). The number of cluster was decided by looking at the</w:t>
      </w:r>
      <w:r w:rsidR="00183EF8">
        <w:rPr>
          <w:rFonts w:ascii="Open Sans" w:hAnsi="Open Sans"/>
          <w:sz w:val="22"/>
          <w:szCs w:val="22"/>
        </w:rPr>
        <w:t xml:space="preserve"> resulting</w:t>
      </w:r>
      <w:r w:rsidR="00E82E60" w:rsidRPr="009A3411">
        <w:rPr>
          <w:rFonts w:ascii="Open Sans" w:hAnsi="Open Sans"/>
          <w:sz w:val="22"/>
          <w:szCs w:val="22"/>
        </w:rPr>
        <w:t xml:space="preserve"> cluster dendrogram. </w:t>
      </w:r>
      <w:commentRangeStart w:id="5"/>
      <w:r w:rsidR="00E82E60" w:rsidRPr="009A3411">
        <w:rPr>
          <w:rFonts w:ascii="Open Sans" w:hAnsi="Open Sans"/>
          <w:sz w:val="22"/>
          <w:szCs w:val="22"/>
        </w:rPr>
        <w:t xml:space="preserve">As there is a strong difference of pigment composition between prokaryotic picophytoplankton communities and micro/nano-phytoplankton communities the same method was applied excluding picophytoplankton-dominated samples. In the end </w:t>
      </w:r>
      <w:r w:rsidR="00813A49" w:rsidRPr="009A3411">
        <w:rPr>
          <w:rFonts w:ascii="Open Sans" w:hAnsi="Open Sans"/>
          <w:sz w:val="22"/>
          <w:szCs w:val="22"/>
        </w:rPr>
        <w:t>4 different phytoplankton communities were defined.</w:t>
      </w:r>
      <w:commentRangeEnd w:id="5"/>
      <w:r w:rsidR="002E11C7" w:rsidRPr="009A3411">
        <w:rPr>
          <w:rFonts w:ascii="Open Sans" w:hAnsi="Open Sans"/>
          <w:sz w:val="22"/>
          <w:szCs w:val="22"/>
        </w:rPr>
        <w:commentReference w:id="5"/>
      </w:r>
    </w:p>
    <w:p w14:paraId="76F3AED9" w14:textId="77777777" w:rsidR="005D7114" w:rsidRDefault="005D7114">
      <w:pPr>
        <w:pStyle w:val="Standard"/>
        <w:rPr>
          <w:rFonts w:ascii="Open Sans" w:hAnsi="Open Sans"/>
        </w:rPr>
      </w:pPr>
    </w:p>
    <w:p w14:paraId="7D87BDF4" w14:textId="5A42E3D9" w:rsidR="005D7114" w:rsidRDefault="00287B38">
      <w:pPr>
        <w:pStyle w:val="Standard"/>
        <w:rPr>
          <w:rFonts w:ascii="Open Sans" w:hAnsi="Open Sans"/>
        </w:rPr>
      </w:pPr>
      <w:r>
        <w:rPr>
          <w:rFonts w:ascii="Open Sans" w:hAnsi="Open Sans"/>
        </w:rPr>
        <w:t>3) Results</w:t>
      </w:r>
      <w:r w:rsidR="009F629D">
        <w:rPr>
          <w:rFonts w:ascii="Open Sans" w:hAnsi="Open Sans"/>
        </w:rPr>
        <w:t xml:space="preserve"> and discussion</w:t>
      </w:r>
    </w:p>
    <w:p w14:paraId="5B8F350C" w14:textId="77777777" w:rsidR="005D7114" w:rsidRDefault="00287B38">
      <w:pPr>
        <w:pStyle w:val="Standard"/>
        <w:rPr>
          <w:rFonts w:ascii="Open Sans" w:hAnsi="Open Sans"/>
        </w:rPr>
      </w:pPr>
      <w:r>
        <w:rPr>
          <w:rFonts w:ascii="Open Sans" w:hAnsi="Open Sans"/>
        </w:rPr>
        <w:tab/>
      </w:r>
    </w:p>
    <w:p w14:paraId="1FF2ED7F" w14:textId="316EC7B2" w:rsidR="005D7114" w:rsidRDefault="009F629D" w:rsidP="009F629D">
      <w:pPr>
        <w:pStyle w:val="Standard"/>
        <w:ind w:firstLine="709"/>
        <w:rPr>
          <w:rFonts w:ascii="Open Sans" w:hAnsi="Open Sans"/>
        </w:rPr>
      </w:pPr>
      <w:r>
        <w:rPr>
          <w:rFonts w:ascii="Open Sans" w:hAnsi="Open Sans"/>
        </w:rPr>
        <w:t>3.1) Discrimination of phytoplankton taxa in controlled conditions</w:t>
      </w:r>
    </w:p>
    <w:p w14:paraId="553A3F43" w14:textId="77777777" w:rsidR="009F629D" w:rsidRDefault="009F629D">
      <w:pPr>
        <w:pStyle w:val="Standard"/>
        <w:rPr>
          <w:rFonts w:ascii="Open Sans" w:hAnsi="Open Sans"/>
        </w:rPr>
      </w:pPr>
    </w:p>
    <w:p w14:paraId="6B26FBC6" w14:textId="337B977B" w:rsidR="005A7346" w:rsidRPr="009A3411" w:rsidRDefault="008110E6" w:rsidP="009A3411">
      <w:pPr>
        <w:pStyle w:val="Standard"/>
        <w:spacing w:line="360" w:lineRule="auto"/>
        <w:jc w:val="both"/>
        <w:rPr>
          <w:rFonts w:ascii="Open Sans" w:hAnsi="Open Sans"/>
          <w:sz w:val="22"/>
          <w:szCs w:val="22"/>
        </w:rPr>
      </w:pPr>
      <w:r w:rsidRPr="009A3411">
        <w:rPr>
          <w:rFonts w:ascii="Open Sans" w:hAnsi="Open Sans"/>
          <w:sz w:val="22"/>
          <w:szCs w:val="22"/>
        </w:rPr>
        <w:t>In order to</w:t>
      </w:r>
      <w:r w:rsidR="009F629D" w:rsidRPr="009A3411">
        <w:rPr>
          <w:rFonts w:ascii="Open Sans" w:hAnsi="Open Sans"/>
          <w:sz w:val="22"/>
          <w:szCs w:val="22"/>
        </w:rPr>
        <w:t xml:space="preserve"> investigate the possibility </w:t>
      </w:r>
      <w:r w:rsidRPr="009A3411">
        <w:rPr>
          <w:rFonts w:ascii="Open Sans" w:hAnsi="Open Sans"/>
          <w:sz w:val="22"/>
          <w:szCs w:val="22"/>
        </w:rPr>
        <w:t xml:space="preserve">of using the MF as a tool for taxa discrimination we measured multispectral fluorescence response of the cultures in controlled conditions, </w:t>
      </w:r>
      <w:r w:rsidR="008B7FD5">
        <w:rPr>
          <w:rFonts w:ascii="Open Sans" w:hAnsi="Open Sans"/>
          <w:sz w:val="22"/>
          <w:szCs w:val="22"/>
        </w:rPr>
        <w:t>on</w:t>
      </w:r>
      <w:r w:rsidRPr="009A3411">
        <w:rPr>
          <w:rFonts w:ascii="Open Sans" w:hAnsi="Open Sans"/>
          <w:sz w:val="22"/>
          <w:szCs w:val="22"/>
        </w:rPr>
        <w:t xml:space="preserve"> a</w:t>
      </w:r>
      <w:r w:rsidR="008B7FD5">
        <w:rPr>
          <w:rFonts w:ascii="Open Sans" w:hAnsi="Open Sans"/>
          <w:sz w:val="22"/>
          <w:szCs w:val="22"/>
        </w:rPr>
        <w:t xml:space="preserve"> range of</w:t>
      </w:r>
      <w:r w:rsidRPr="009A3411">
        <w:rPr>
          <w:rFonts w:ascii="Open Sans" w:hAnsi="Open Sans"/>
          <w:sz w:val="22"/>
          <w:szCs w:val="22"/>
        </w:rPr>
        <w:t xml:space="preserve"> concentration </w:t>
      </w:r>
      <w:r w:rsidR="008B7FD5">
        <w:rPr>
          <w:rFonts w:ascii="Open Sans" w:hAnsi="Open Sans"/>
          <w:sz w:val="22"/>
          <w:szCs w:val="22"/>
        </w:rPr>
        <w:t>going from</w:t>
      </w:r>
      <w:r w:rsidRPr="009A3411">
        <w:rPr>
          <w:rFonts w:ascii="Open Sans" w:hAnsi="Open Sans"/>
          <w:sz w:val="22"/>
          <w:szCs w:val="22"/>
        </w:rPr>
        <w:t xml:space="preserve"> </w:t>
      </w:r>
      <w:r w:rsidR="008B7FD5">
        <w:rPr>
          <w:rFonts w:ascii="Open Sans" w:hAnsi="Open Sans"/>
          <w:sz w:val="22"/>
          <w:szCs w:val="22"/>
        </w:rPr>
        <w:t>0.1 to 10</w:t>
      </w:r>
      <w:r w:rsidRPr="009A3411">
        <w:rPr>
          <w:rFonts w:ascii="Open Sans" w:hAnsi="Open Sans"/>
          <w:sz w:val="22"/>
          <w:szCs w:val="22"/>
        </w:rPr>
        <w:t xml:space="preserve"> mg m-3</w:t>
      </w:r>
      <w:r w:rsidR="009F629D" w:rsidRPr="009A3411">
        <w:rPr>
          <w:rFonts w:ascii="Open Sans" w:hAnsi="Open Sans"/>
          <w:sz w:val="22"/>
          <w:szCs w:val="22"/>
        </w:rPr>
        <w:t xml:space="preserve">. The ratio between the three different fluorescence signal from the three excitation wavelengths of the 3X1M is shown on the figure </w:t>
      </w:r>
      <w:r w:rsidR="009F629D" w:rsidRPr="009A3411">
        <w:rPr>
          <w:rFonts w:ascii="Open Sans" w:hAnsi="Open Sans"/>
          <w:sz w:val="22"/>
          <w:szCs w:val="22"/>
        </w:rPr>
        <w:lastRenderedPageBreak/>
        <w:t xml:space="preserve">1.  </w:t>
      </w:r>
      <w:commentRangeStart w:id="6"/>
      <w:r w:rsidR="009F629D" w:rsidRPr="009A3411">
        <w:rPr>
          <w:rFonts w:ascii="Open Sans" w:hAnsi="Open Sans"/>
          <w:sz w:val="22"/>
          <w:szCs w:val="22"/>
        </w:rPr>
        <w:t xml:space="preserve">The </w:t>
      </w:r>
      <w:r w:rsidR="007A4232" w:rsidRPr="009A3411">
        <w:rPr>
          <w:rFonts w:ascii="Open Sans" w:hAnsi="Open Sans"/>
          <w:sz w:val="22"/>
          <w:szCs w:val="22"/>
        </w:rPr>
        <w:t>aims of the classification is to discriminate taxa rather than species, so the different strains are group by taxa in this study</w:t>
      </w:r>
      <w:commentRangeEnd w:id="6"/>
      <w:r w:rsidRPr="009A3411">
        <w:rPr>
          <w:rFonts w:ascii="Open Sans" w:hAnsi="Open Sans"/>
          <w:sz w:val="22"/>
          <w:szCs w:val="22"/>
        </w:rPr>
        <w:commentReference w:id="6"/>
      </w:r>
      <w:r w:rsidR="007A4232" w:rsidRPr="009A3411">
        <w:rPr>
          <w:rFonts w:ascii="Open Sans" w:hAnsi="Open Sans"/>
          <w:sz w:val="22"/>
          <w:szCs w:val="22"/>
        </w:rPr>
        <w:t xml:space="preserve">. The different </w:t>
      </w:r>
      <w:r w:rsidR="008B7FD5">
        <w:rPr>
          <w:rFonts w:ascii="Open Sans" w:hAnsi="Open Sans"/>
          <w:sz w:val="22"/>
          <w:szCs w:val="22"/>
        </w:rPr>
        <w:t xml:space="preserve">taxa are spatially grouped </w:t>
      </w:r>
      <w:r w:rsidR="003E5C15" w:rsidRPr="009A3411">
        <w:rPr>
          <w:rFonts w:ascii="Open Sans" w:hAnsi="Open Sans"/>
          <w:sz w:val="22"/>
          <w:szCs w:val="22"/>
        </w:rPr>
        <w:t>in the scatterplot</w:t>
      </w:r>
      <w:r w:rsidR="008B7FD5">
        <w:rPr>
          <w:rFonts w:ascii="Open Sans" w:hAnsi="Open Sans"/>
          <w:sz w:val="22"/>
          <w:szCs w:val="22"/>
        </w:rPr>
        <w:t xml:space="preserve">, even despite the variability of strains in each of them. This </w:t>
      </w:r>
      <w:r w:rsidR="00841723" w:rsidRPr="009A3411">
        <w:rPr>
          <w:rFonts w:ascii="Open Sans" w:hAnsi="Open Sans"/>
          <w:sz w:val="22"/>
          <w:szCs w:val="22"/>
        </w:rPr>
        <w:t>indicat</w:t>
      </w:r>
      <w:r w:rsidR="008B7FD5">
        <w:rPr>
          <w:rFonts w:ascii="Open Sans" w:hAnsi="Open Sans"/>
          <w:sz w:val="22"/>
          <w:szCs w:val="22"/>
        </w:rPr>
        <w:t>es</w:t>
      </w:r>
      <w:r w:rsidR="00841723" w:rsidRPr="009A3411">
        <w:rPr>
          <w:rFonts w:ascii="Open Sans" w:hAnsi="Open Sans"/>
          <w:sz w:val="22"/>
          <w:szCs w:val="22"/>
        </w:rPr>
        <w:t xml:space="preserve"> that </w:t>
      </w:r>
      <w:r w:rsidR="008B7FD5">
        <w:rPr>
          <w:rFonts w:ascii="Open Sans" w:hAnsi="Open Sans"/>
          <w:sz w:val="22"/>
          <w:szCs w:val="22"/>
        </w:rPr>
        <w:t>reducing the taxonomic information to this level</w:t>
      </w:r>
      <w:r w:rsidR="00841723" w:rsidRPr="009A3411">
        <w:rPr>
          <w:rFonts w:ascii="Open Sans" w:hAnsi="Open Sans"/>
          <w:sz w:val="22"/>
          <w:szCs w:val="22"/>
        </w:rPr>
        <w:t xml:space="preserve"> is well suited for interpreting the fluorometer outputs.</w:t>
      </w:r>
      <w:r w:rsidR="003E5C15" w:rsidRPr="009A3411">
        <w:rPr>
          <w:rFonts w:ascii="Open Sans" w:hAnsi="Open Sans"/>
          <w:sz w:val="22"/>
          <w:szCs w:val="22"/>
        </w:rPr>
        <w:t xml:space="preserve"> </w:t>
      </w:r>
      <w:commentRangeStart w:id="7"/>
      <w:r w:rsidR="003E5C15" w:rsidRPr="009A3411">
        <w:rPr>
          <w:rFonts w:ascii="Open Sans" w:hAnsi="Open Sans"/>
          <w:sz w:val="22"/>
          <w:szCs w:val="22"/>
        </w:rPr>
        <w:t>Synechococcus have a consistently high value of F532/F470 and a relatively heterogeneous values of F440/F470. Pelagophytes have low values of both F532/F470 and F440/F470. Prochlorococcus have medium to high values of F532/F470 and consistently high values of F440/F470. Finally, Diatoms are found in the middle of the scatterplot with median values of F532/F470 and F440/F470</w:t>
      </w:r>
      <w:commentRangeEnd w:id="7"/>
      <w:r w:rsidRPr="009A3411">
        <w:rPr>
          <w:rFonts w:ascii="Open Sans" w:hAnsi="Open Sans"/>
          <w:sz w:val="22"/>
          <w:szCs w:val="22"/>
        </w:rPr>
        <w:commentReference w:id="7"/>
      </w:r>
      <w:r w:rsidR="003E5C15" w:rsidRPr="009A3411">
        <w:rPr>
          <w:rFonts w:ascii="Open Sans" w:hAnsi="Open Sans"/>
          <w:sz w:val="22"/>
          <w:szCs w:val="22"/>
        </w:rPr>
        <w:t>.</w:t>
      </w:r>
    </w:p>
    <w:p w14:paraId="0FF69BB1" w14:textId="6B2DC7D4" w:rsidR="005A7346" w:rsidRPr="009A3411" w:rsidRDefault="005A7346" w:rsidP="009A3411">
      <w:pPr>
        <w:pStyle w:val="Standard"/>
        <w:spacing w:line="360" w:lineRule="auto"/>
        <w:jc w:val="both"/>
        <w:rPr>
          <w:rFonts w:ascii="Open Sans" w:hAnsi="Open Sans"/>
          <w:sz w:val="22"/>
          <w:szCs w:val="22"/>
        </w:rPr>
      </w:pPr>
      <w:commentRangeStart w:id="8"/>
      <w:r w:rsidRPr="009A3411">
        <w:rPr>
          <w:rFonts w:ascii="Open Sans" w:hAnsi="Open Sans"/>
          <w:sz w:val="22"/>
          <w:szCs w:val="22"/>
        </w:rPr>
        <w:t>Higher values of F532/F470 in the Synechococcus and Prochlorococcus taxa may be explained by a higher fluorescence response with the 532 nm excitation</w:t>
      </w:r>
      <w:r w:rsidR="008238E1" w:rsidRPr="009A3411">
        <w:rPr>
          <w:rFonts w:ascii="Open Sans" w:hAnsi="Open Sans"/>
          <w:sz w:val="22"/>
          <w:szCs w:val="22"/>
        </w:rPr>
        <w:t>, induced</w:t>
      </w:r>
      <w:r w:rsidR="00ED6D3B" w:rsidRPr="009A3411">
        <w:rPr>
          <w:rFonts w:ascii="Open Sans" w:hAnsi="Open Sans"/>
          <w:sz w:val="22"/>
          <w:szCs w:val="22"/>
        </w:rPr>
        <w:t xml:space="preserve"> </w:t>
      </w:r>
      <w:r w:rsidR="008238E1" w:rsidRPr="009A3411">
        <w:rPr>
          <w:rFonts w:ascii="Open Sans" w:hAnsi="Open Sans"/>
          <w:sz w:val="22"/>
          <w:szCs w:val="22"/>
        </w:rPr>
        <w:t>by t</w:t>
      </w:r>
      <w:r w:rsidR="00ED6D3B" w:rsidRPr="009A3411">
        <w:rPr>
          <w:rFonts w:ascii="Open Sans" w:hAnsi="Open Sans"/>
          <w:sz w:val="22"/>
          <w:szCs w:val="22"/>
        </w:rPr>
        <w:t>he presence of phycobilins</w:t>
      </w:r>
      <w:r w:rsidR="008238E1" w:rsidRPr="009A3411">
        <w:rPr>
          <w:rFonts w:ascii="Open Sans" w:hAnsi="Open Sans"/>
          <w:sz w:val="22"/>
          <w:szCs w:val="22"/>
        </w:rPr>
        <w:t xml:space="preserve"> </w:t>
      </w:r>
      <w:r w:rsidR="00ED6D3B" w:rsidRPr="009A3411">
        <w:rPr>
          <w:rFonts w:ascii="Open Sans" w:hAnsi="Open Sans"/>
          <w:sz w:val="22"/>
          <w:szCs w:val="22"/>
        </w:rPr>
        <w:t>in Synech</w:t>
      </w:r>
      <w:r w:rsidR="008238E1" w:rsidRPr="009A3411">
        <w:rPr>
          <w:rFonts w:ascii="Open Sans" w:hAnsi="Open Sans"/>
          <w:sz w:val="22"/>
          <w:szCs w:val="22"/>
        </w:rPr>
        <w:t>oc</w:t>
      </w:r>
      <w:r w:rsidR="00ED6D3B" w:rsidRPr="009A3411">
        <w:rPr>
          <w:rFonts w:ascii="Open Sans" w:hAnsi="Open Sans"/>
          <w:sz w:val="22"/>
          <w:szCs w:val="22"/>
        </w:rPr>
        <w:t>occus</w:t>
      </w:r>
      <w:r w:rsidR="00FF371D" w:rsidRPr="009A3411">
        <w:rPr>
          <w:rFonts w:ascii="Open Sans" w:hAnsi="Open Sans"/>
          <w:sz w:val="22"/>
          <w:szCs w:val="22"/>
        </w:rPr>
        <w:t xml:space="preserve"> </w:t>
      </w:r>
      <w:r w:rsidR="00FF371D" w:rsidRPr="009A3411">
        <w:rPr>
          <w:rFonts w:ascii="Open Sans" w:hAnsi="Open Sans"/>
          <w:sz w:val="22"/>
          <w:szCs w:val="22"/>
        </w:rPr>
        <w:fldChar w:fldCharType="begin"/>
      </w:r>
      <w:r w:rsidR="00FF371D" w:rsidRPr="009A3411">
        <w:rPr>
          <w:rFonts w:ascii="Open Sans" w:hAnsi="Open Sans"/>
          <w:sz w:val="22"/>
          <w:szCs w:val="22"/>
        </w:rPr>
        <w:instrText xml:space="preserve"> ADDIN ZOTERO_ITEM CSL_CITATION {"citationID":"oBgPJ3bD","properties":{"formattedCitation":"(Six et al., 2007)","plainCitation":"(Six et al., 2007)","noteIndex":0},"citationItems":[{"id":662,"uris":["http://zotero.org/users/5676793/items/VQADMEWY"],"itemData":{"id":662,"type":"article-journal","abstract":"Marine Synechococcus owe their specific vivid color (ranging from blue-green to orange) to their large extrinsic antenna complexes called phycobilisomes, comprising a central allophycocyanin core and rods of variable phycobiliprotein composition. Three major pigment types can be defined depending on the major phycobiliprotein found in the rods (phycocyanin, phycoerythrin I or phycoerythrin II). Among strains containing both phycoerythrins I and II, four subtypes can be distinguished based on the ratio of the two chromophores bound to these phycobiliproteins. Genomes of eleven marine Synechococcus strains recently became available with one to four strains per pigment type or subtype, allowing an unprecedented comparative genomics study of genes involved in phycobilisome metabolism.","container-title":"Genome Biology","DOI":"10.1186/gb-2007-8-12-r259","ISSN":"1474-760X","issue":"12","journalAbbreviation":"Genome Biology","page":"R259","source":"BioMed Central","title":"Diversity and evolution of phycobilisomes in marine Synechococcusspp.: a comparative genomics study","title-short":"Diversity and evolution of phycobilisomes in marine Synechococcusspp.","volume":"8","author":[{"family":"Six","given":"Christophe"},{"family":"Thomas","given":"Jean-Claude"},{"family":"Garczarek","given":"Laurence"},{"family":"Ostrowski","given":"Martin"},{"family":"Dufresne","given":"Alexis"},{"family":"Blot","given":"Nicolas"},{"family":"Scanlan","given":"David J."},{"family":"Partensky","given":"Frédéric"}],"issued":{"date-parts":[["2007",12,5]]}}}],"schema":"https://github.com/citation-style-language/schema/raw/master/csl-citation.json"} </w:instrText>
      </w:r>
      <w:r w:rsidR="00FF371D" w:rsidRPr="009A3411">
        <w:rPr>
          <w:rFonts w:ascii="Open Sans" w:hAnsi="Open Sans"/>
          <w:sz w:val="22"/>
          <w:szCs w:val="22"/>
        </w:rPr>
        <w:fldChar w:fldCharType="separate"/>
      </w:r>
      <w:r w:rsidR="00FF371D" w:rsidRPr="009A3411">
        <w:rPr>
          <w:rFonts w:ascii="Open Sans" w:hAnsi="Open Sans"/>
          <w:sz w:val="22"/>
          <w:szCs w:val="22"/>
        </w:rPr>
        <w:t>(Six et al., 2007)</w:t>
      </w:r>
      <w:r w:rsidR="00FF371D" w:rsidRPr="009A3411">
        <w:rPr>
          <w:rFonts w:ascii="Open Sans" w:hAnsi="Open Sans"/>
          <w:sz w:val="22"/>
          <w:szCs w:val="22"/>
        </w:rPr>
        <w:fldChar w:fldCharType="end"/>
      </w:r>
      <w:r w:rsidR="00ED6D3B" w:rsidRPr="009A3411">
        <w:rPr>
          <w:rFonts w:ascii="Open Sans" w:hAnsi="Open Sans"/>
          <w:sz w:val="22"/>
          <w:szCs w:val="22"/>
        </w:rPr>
        <w:t xml:space="preserve"> </w:t>
      </w:r>
      <w:r w:rsidR="008238E1" w:rsidRPr="009A3411">
        <w:rPr>
          <w:rFonts w:ascii="Open Sans" w:hAnsi="Open Sans"/>
          <w:sz w:val="22"/>
          <w:szCs w:val="22"/>
        </w:rPr>
        <w:t>and, in less extent, in Prochlorococcus</w:t>
      </w:r>
      <w:r w:rsidR="00DD3810" w:rsidRPr="009A3411">
        <w:rPr>
          <w:rFonts w:ascii="Open Sans" w:hAnsi="Open Sans"/>
          <w:sz w:val="22"/>
          <w:szCs w:val="22"/>
        </w:rPr>
        <w:t xml:space="preserve"> </w:t>
      </w:r>
      <w:r w:rsidR="00DD3810" w:rsidRPr="009A3411">
        <w:rPr>
          <w:rFonts w:ascii="Open Sans" w:hAnsi="Open Sans"/>
          <w:sz w:val="22"/>
          <w:szCs w:val="22"/>
        </w:rPr>
        <w:fldChar w:fldCharType="begin"/>
      </w:r>
      <w:r w:rsidR="00DD3810" w:rsidRPr="009A3411">
        <w:rPr>
          <w:rFonts w:ascii="Open Sans" w:hAnsi="Open Sans"/>
          <w:sz w:val="22"/>
          <w:szCs w:val="22"/>
        </w:rPr>
        <w:instrText xml:space="preserve"> ADDIN ZOTERO_ITEM CSL_CITATION {"citationID":"pbPp7amD","properties":{"formattedCitation":"(Wiethaus et al., 2010)","plainCitation":"(Wiethaus et al., 2010)","noteIndex":0},"citationItems":[{"id":660,"uris":["http://zotero.org/users/5676793/items/QGXPI6W4"],"itemData":{"id":660,"type":"article-journal","abstract":"Prochlorococcus sp. is a very unique and highly abundant class of organisms within the cyanobacteria. Found in the world's oceans Prochlorococcus is very small in size and possesses the smallest genome of a photosynthetic autotroph. Prochlorococcus is characterized by a special chlorophyll antenna for light harvesting and the absence of classical cyanobacterial phycobilisomes. Despite the lack of phycobilisomes Prochlorococcus possesses remnants thereof which is the phycobiliprotein phycoerythrin (PE) encoded in a PE operon as well as genes encoding enzymes of phycobilin biosynthesis. The size of this PE operon varies depending on the light-adapted ecotype. While high-light strains only possess a β-subunit of PE, low-light adapted strains possess both, an α- and a β-subunit. α-/β-subunits are also present in functional phycobilisomes. Consistent with the number of subunits is also the varying number of putative lyase genes, involved in the transfer and attachment of phycobilins (open-chain tetrapyrroles) to the PE subunits. This minireview summarizes the only sparely available data on the biosynthesis and assembly of Prochlorococcus PE. On one hand the quite well understood biosynthesis of pigments will be reviewed but also new data on the phycobiliprotein lyase-mediated transfer of the phycobilins to the PE subunits will be discussed.","collection-title":"Molecular Biology of Complex Functions of Botanical Systems","container-title":"European Journal of Cell Biology","DOI":"10.1016/j.ejcb.2010.06.017","ISSN":"0171-9335","issue":"12","journalAbbreviation":"European Journal of Cell Biology","language":"en","page":"1005-1010","source":"ScienceDirect","title":"Phycobiliproteins in Prochlorococcus marinus: Biosynthesis of pigments and their assembly into proteins","title-short":"Phycobiliproteins in Prochlorococcus marinus","volume":"89","author":[{"family":"Wiethaus","given":"Jessica"},{"family":"Busch","given":"Andrea W. U."},{"family":"Dammeyer","given":"Thorben"},{"family":"Frankenberg-Dinkel","given":"Nicole"}],"issued":{"date-parts":[["2010",12,1]]}}}],"schema":"https://github.com/citation-style-language/schema/raw/master/csl-citation.json"} </w:instrText>
      </w:r>
      <w:r w:rsidR="00DD3810" w:rsidRPr="009A3411">
        <w:rPr>
          <w:rFonts w:ascii="Open Sans" w:hAnsi="Open Sans"/>
          <w:sz w:val="22"/>
          <w:szCs w:val="22"/>
        </w:rPr>
        <w:fldChar w:fldCharType="separate"/>
      </w:r>
      <w:r w:rsidR="00DD3810" w:rsidRPr="009A3411">
        <w:rPr>
          <w:rFonts w:ascii="Open Sans" w:hAnsi="Open Sans"/>
          <w:sz w:val="22"/>
          <w:szCs w:val="22"/>
        </w:rPr>
        <w:t>(Wiethaus et al., 2010)</w:t>
      </w:r>
      <w:r w:rsidR="00DD3810" w:rsidRPr="009A3411">
        <w:rPr>
          <w:rFonts w:ascii="Open Sans" w:hAnsi="Open Sans"/>
          <w:sz w:val="22"/>
          <w:szCs w:val="22"/>
        </w:rPr>
        <w:fldChar w:fldCharType="end"/>
      </w:r>
      <w:r w:rsidR="008238E1" w:rsidRPr="009A3411">
        <w:rPr>
          <w:rFonts w:ascii="Open Sans" w:hAnsi="Open Sans"/>
          <w:sz w:val="22"/>
          <w:szCs w:val="22"/>
        </w:rPr>
        <w:t>. Phycobilins extend the light harvest complex, they have a peak absorption at 560 nm and transmit absorbed energy to the photosystem, leading to a significant fluorescence response when excited at 532 nm.</w:t>
      </w:r>
      <w:r w:rsidR="00FF371D" w:rsidRPr="009A3411">
        <w:rPr>
          <w:rFonts w:ascii="Open Sans" w:hAnsi="Open Sans"/>
          <w:sz w:val="22"/>
          <w:szCs w:val="22"/>
        </w:rPr>
        <w:t xml:space="preserve"> The difference of F440/F470 ratio values between pelagophytes and diatoms may be explained by a difference of carotenoids compositions.</w:t>
      </w:r>
      <w:r w:rsidR="009202C2" w:rsidRPr="009A3411">
        <w:rPr>
          <w:rFonts w:ascii="Open Sans" w:hAnsi="Open Sans"/>
          <w:sz w:val="22"/>
          <w:szCs w:val="22"/>
        </w:rPr>
        <w:t xml:space="preserve"> </w:t>
      </w:r>
      <w:commentRangeEnd w:id="8"/>
      <w:r w:rsidR="00841723" w:rsidRPr="009A3411">
        <w:rPr>
          <w:rFonts w:ascii="Open Sans" w:hAnsi="Open Sans"/>
          <w:sz w:val="22"/>
          <w:szCs w:val="22"/>
        </w:rPr>
        <w:commentReference w:id="8"/>
      </w:r>
    </w:p>
    <w:p w14:paraId="79E2942E" w14:textId="77777777" w:rsidR="005A7346" w:rsidRPr="009A3411" w:rsidRDefault="005A7346" w:rsidP="009A3411">
      <w:pPr>
        <w:pStyle w:val="Standard"/>
        <w:spacing w:line="360" w:lineRule="auto"/>
        <w:jc w:val="both"/>
        <w:rPr>
          <w:rFonts w:ascii="Open Sans" w:hAnsi="Open Sans"/>
          <w:sz w:val="22"/>
          <w:szCs w:val="22"/>
        </w:rPr>
      </w:pPr>
    </w:p>
    <w:p w14:paraId="5785EBD1" w14:textId="77777777" w:rsidR="008B7FD5" w:rsidRDefault="00287B38" w:rsidP="009A3411">
      <w:pPr>
        <w:pStyle w:val="Standard"/>
        <w:spacing w:line="360" w:lineRule="auto"/>
        <w:jc w:val="both"/>
        <w:rPr>
          <w:rFonts w:ascii="Open Sans" w:hAnsi="Open Sans"/>
          <w:sz w:val="22"/>
          <w:szCs w:val="22"/>
        </w:rPr>
      </w:pPr>
      <w:r w:rsidRPr="009A3411">
        <w:rPr>
          <w:rFonts w:ascii="Open Sans" w:hAnsi="Open Sans"/>
          <w:sz w:val="22"/>
          <w:szCs w:val="22"/>
        </w:rPr>
        <w:t>Th</w:t>
      </w:r>
      <w:r w:rsidR="000433AD" w:rsidRPr="009A3411">
        <w:rPr>
          <w:rFonts w:ascii="Open Sans" w:hAnsi="Open Sans"/>
          <w:sz w:val="22"/>
          <w:szCs w:val="22"/>
        </w:rPr>
        <w:t>e visual discrimination of the different taxa in this scatterplot indicates that the</w:t>
      </w:r>
      <w:r w:rsidRPr="009A3411">
        <w:rPr>
          <w:rFonts w:ascii="Open Sans" w:hAnsi="Open Sans"/>
          <w:sz w:val="22"/>
          <w:szCs w:val="22"/>
        </w:rPr>
        <w:t xml:space="preserve"> fluorometer response is taxa-dependent. </w:t>
      </w:r>
      <w:r w:rsidR="000433AD" w:rsidRPr="009A3411">
        <w:rPr>
          <w:rFonts w:ascii="Open Sans" w:hAnsi="Open Sans"/>
          <w:sz w:val="22"/>
          <w:szCs w:val="22"/>
        </w:rPr>
        <w:t>Moreover, its response should be sensitive e</w:t>
      </w:r>
      <w:r w:rsidRPr="009A3411">
        <w:rPr>
          <w:rFonts w:ascii="Open Sans" w:hAnsi="Open Sans"/>
          <w:sz w:val="22"/>
          <w:szCs w:val="22"/>
        </w:rPr>
        <w:t>nough to be successfully used in a</w:t>
      </w:r>
      <w:r w:rsidR="00841723" w:rsidRPr="009A3411">
        <w:rPr>
          <w:rFonts w:ascii="Open Sans" w:hAnsi="Open Sans"/>
          <w:sz w:val="22"/>
          <w:szCs w:val="22"/>
        </w:rPr>
        <w:t xml:space="preserve"> SVC</w:t>
      </w:r>
      <w:r w:rsidRPr="009A3411">
        <w:rPr>
          <w:rFonts w:ascii="Open Sans" w:hAnsi="Open Sans"/>
          <w:sz w:val="22"/>
          <w:szCs w:val="22"/>
        </w:rPr>
        <w:t xml:space="preserve"> classification model. (fig. </w:t>
      </w:r>
      <w:r w:rsidR="00FB4E60" w:rsidRPr="009A3411">
        <w:rPr>
          <w:rFonts w:ascii="Open Sans" w:hAnsi="Open Sans"/>
          <w:sz w:val="22"/>
          <w:szCs w:val="22"/>
        </w:rPr>
        <w:t>2</w:t>
      </w:r>
      <w:r w:rsidRPr="009A3411">
        <w:rPr>
          <w:rFonts w:ascii="Open Sans" w:hAnsi="Open Sans"/>
          <w:sz w:val="22"/>
          <w:szCs w:val="22"/>
        </w:rPr>
        <w:t>)</w:t>
      </w:r>
      <w:r w:rsidR="000433AD" w:rsidRPr="009A3411">
        <w:rPr>
          <w:rFonts w:ascii="Open Sans" w:hAnsi="Open Sans"/>
          <w:sz w:val="22"/>
          <w:szCs w:val="22"/>
        </w:rPr>
        <w:t xml:space="preserve"> </w:t>
      </w:r>
      <w:r w:rsidRPr="009A3411">
        <w:rPr>
          <w:rFonts w:ascii="Open Sans" w:hAnsi="Open Sans"/>
          <w:sz w:val="22"/>
          <w:szCs w:val="22"/>
        </w:rPr>
        <w:t>However there is some ambiguous samples</w:t>
      </w:r>
      <w:r w:rsidR="00841723" w:rsidRPr="009A3411">
        <w:rPr>
          <w:rFonts w:ascii="Open Sans" w:hAnsi="Open Sans"/>
          <w:sz w:val="22"/>
          <w:szCs w:val="22"/>
        </w:rPr>
        <w:t>, we observe the lowest precision on the diatoms</w:t>
      </w:r>
      <w:r w:rsidR="008B7FD5">
        <w:rPr>
          <w:rFonts w:ascii="Open Sans" w:hAnsi="Open Sans"/>
          <w:sz w:val="22"/>
          <w:szCs w:val="22"/>
        </w:rPr>
        <w:t>…</w:t>
      </w:r>
    </w:p>
    <w:p w14:paraId="3CA2410B" w14:textId="53CA1130" w:rsidR="007118AF" w:rsidRPr="00271E8C" w:rsidRDefault="008B7FD5" w:rsidP="009A3411">
      <w:pPr>
        <w:pStyle w:val="Standard"/>
        <w:spacing w:line="360" w:lineRule="auto"/>
        <w:jc w:val="both"/>
        <w:rPr>
          <w:rFonts w:ascii="Open Sans" w:hAnsi="Open Sans"/>
          <w:sz w:val="22"/>
          <w:szCs w:val="22"/>
        </w:rPr>
      </w:pPr>
      <w:r>
        <w:rPr>
          <w:rFonts w:ascii="Open Sans" w:hAnsi="Open Sans"/>
          <w:sz w:val="22"/>
          <w:szCs w:val="22"/>
        </w:rPr>
        <w:t>Th</w:t>
      </w:r>
      <w:r w:rsidR="007118AF" w:rsidRPr="00271E8C">
        <w:rPr>
          <w:rFonts w:ascii="Open Sans" w:hAnsi="Open Sans"/>
          <w:sz w:val="22"/>
          <w:szCs w:val="22"/>
        </w:rPr>
        <w:t xml:space="preserve">e multispectral fluorescence at 440, 470 and 532 nm is sensitive enough to discriminate </w:t>
      </w:r>
      <w:r w:rsidR="00271E8C" w:rsidRPr="00271E8C">
        <w:rPr>
          <w:rFonts w:ascii="Open Sans" w:hAnsi="Open Sans"/>
          <w:sz w:val="22"/>
          <w:szCs w:val="22"/>
        </w:rPr>
        <w:t xml:space="preserve">four different taxa in controlled condition. Thus we can hypothesize that it can provide significant information on the taxonomical composition of </w:t>
      </w:r>
      <w:r w:rsidR="00271E8C" w:rsidRPr="00271E8C">
        <w:rPr>
          <w:rFonts w:ascii="Open Sans" w:hAnsi="Open Sans"/>
          <w:i/>
          <w:iCs/>
          <w:sz w:val="22"/>
          <w:szCs w:val="22"/>
        </w:rPr>
        <w:t xml:space="preserve">in-situ </w:t>
      </w:r>
      <w:r w:rsidR="00271E8C" w:rsidRPr="00271E8C">
        <w:rPr>
          <w:rFonts w:ascii="Open Sans" w:hAnsi="Open Sans"/>
          <w:sz w:val="22"/>
          <w:szCs w:val="22"/>
        </w:rPr>
        <w:t>phytoplankton composition. To validate this assumption, we will evaluate the possibility to discriminate different phytoplankton communit</w:t>
      </w:r>
      <w:r>
        <w:rPr>
          <w:rFonts w:ascii="Open Sans" w:hAnsi="Open Sans"/>
          <w:sz w:val="22"/>
          <w:szCs w:val="22"/>
        </w:rPr>
        <w:t>ies</w:t>
      </w:r>
      <w:r w:rsidR="00271E8C" w:rsidRPr="00271E8C">
        <w:rPr>
          <w:rFonts w:ascii="Open Sans" w:hAnsi="Open Sans"/>
          <w:sz w:val="22"/>
          <w:szCs w:val="22"/>
        </w:rPr>
        <w:t xml:space="preserve"> in the NW Mediterranean sea using </w:t>
      </w:r>
      <w:r>
        <w:rPr>
          <w:rFonts w:ascii="Open Sans" w:hAnsi="Open Sans"/>
          <w:i/>
          <w:iCs/>
          <w:sz w:val="22"/>
          <w:szCs w:val="22"/>
        </w:rPr>
        <w:t xml:space="preserve">in-situ </w:t>
      </w:r>
      <w:r w:rsidR="00271E8C" w:rsidRPr="00271E8C">
        <w:rPr>
          <w:rFonts w:ascii="Open Sans" w:hAnsi="Open Sans"/>
          <w:sz w:val="22"/>
          <w:szCs w:val="22"/>
        </w:rPr>
        <w:t>multispectral fluorescence and optical measurements.</w:t>
      </w:r>
    </w:p>
    <w:p w14:paraId="4282C35E" w14:textId="3428BD4C" w:rsidR="00AA7E43" w:rsidRDefault="00AA7E43" w:rsidP="009A3411">
      <w:pPr>
        <w:pStyle w:val="Standard"/>
        <w:spacing w:line="360" w:lineRule="auto"/>
        <w:jc w:val="both"/>
        <w:rPr>
          <w:rFonts w:ascii="Open Sans" w:hAnsi="Open Sans"/>
        </w:rPr>
      </w:pPr>
      <w:r>
        <w:rPr>
          <w:rFonts w:ascii="Open Sans" w:hAnsi="Open Sans"/>
        </w:rPr>
        <w:tab/>
      </w:r>
    </w:p>
    <w:p w14:paraId="19F2DE22" w14:textId="25BBFE4B" w:rsidR="00AA7E43" w:rsidRDefault="00AA7E43" w:rsidP="009A3411">
      <w:pPr>
        <w:pStyle w:val="Standard"/>
        <w:spacing w:line="360" w:lineRule="auto"/>
        <w:jc w:val="both"/>
        <w:rPr>
          <w:rFonts w:ascii="Open Sans" w:hAnsi="Open Sans"/>
        </w:rPr>
      </w:pPr>
      <w:r>
        <w:rPr>
          <w:rFonts w:ascii="Open Sans" w:hAnsi="Open Sans"/>
        </w:rPr>
        <w:tab/>
        <w:t>3.2) Identification of phytoplankton communities</w:t>
      </w:r>
    </w:p>
    <w:p w14:paraId="1A8B685A" w14:textId="712F0C53" w:rsidR="00AA7E43" w:rsidRDefault="00AA7E43" w:rsidP="009A3411">
      <w:pPr>
        <w:pStyle w:val="Standard"/>
        <w:spacing w:line="360" w:lineRule="auto"/>
        <w:jc w:val="both"/>
        <w:rPr>
          <w:rFonts w:ascii="Open Sans" w:hAnsi="Open Sans"/>
        </w:rPr>
      </w:pPr>
    </w:p>
    <w:p w14:paraId="4AE61F15" w14:textId="6CA5D914" w:rsidR="00271E8C" w:rsidRDefault="00271E8C" w:rsidP="00AA7E43">
      <w:pPr>
        <w:pStyle w:val="Standard"/>
        <w:spacing w:line="360" w:lineRule="auto"/>
        <w:jc w:val="both"/>
        <w:rPr>
          <w:rFonts w:ascii="Open Sans" w:hAnsi="Open Sans"/>
          <w:sz w:val="22"/>
          <w:szCs w:val="22"/>
        </w:rPr>
      </w:pPr>
      <w:r>
        <w:rPr>
          <w:rFonts w:ascii="Open Sans" w:hAnsi="Open Sans"/>
          <w:sz w:val="22"/>
          <w:szCs w:val="22"/>
        </w:rPr>
        <w:t xml:space="preserve">The different phytoplankton communities were defined using a pigment based clusterization that allows the clustering of samples with similar pigment composition. </w:t>
      </w:r>
    </w:p>
    <w:p w14:paraId="521C0D5D" w14:textId="19398C72" w:rsidR="00B350E1" w:rsidRDefault="00AA7E43" w:rsidP="00AA7E43">
      <w:pPr>
        <w:pStyle w:val="Standard"/>
        <w:spacing w:line="360" w:lineRule="auto"/>
        <w:jc w:val="both"/>
        <w:rPr>
          <w:rFonts w:ascii="Open Sans" w:hAnsi="Open Sans"/>
          <w:sz w:val="22"/>
          <w:szCs w:val="22"/>
        </w:rPr>
      </w:pPr>
      <w:r w:rsidRPr="009A3411">
        <w:rPr>
          <w:rFonts w:ascii="Open Sans" w:hAnsi="Open Sans"/>
          <w:sz w:val="22"/>
          <w:szCs w:val="22"/>
        </w:rPr>
        <w:lastRenderedPageBreak/>
        <w:t xml:space="preserve">To compromise between </w:t>
      </w:r>
      <w:r w:rsidR="00271E8C">
        <w:rPr>
          <w:rFonts w:ascii="Open Sans" w:hAnsi="Open Sans"/>
          <w:sz w:val="22"/>
          <w:szCs w:val="22"/>
        </w:rPr>
        <w:t>the number of samples</w:t>
      </w:r>
      <w:r w:rsidRPr="009A3411">
        <w:rPr>
          <w:rFonts w:ascii="Open Sans" w:hAnsi="Open Sans"/>
          <w:sz w:val="22"/>
          <w:szCs w:val="22"/>
        </w:rPr>
        <w:t xml:space="preserve"> per cluster</w:t>
      </w:r>
      <w:r w:rsidR="00271E8C">
        <w:rPr>
          <w:rFonts w:ascii="Open Sans" w:hAnsi="Open Sans"/>
          <w:sz w:val="22"/>
          <w:szCs w:val="22"/>
        </w:rPr>
        <w:t xml:space="preserve"> and the </w:t>
      </w:r>
      <w:r w:rsidRPr="009A3411">
        <w:rPr>
          <w:rFonts w:ascii="Open Sans" w:hAnsi="Open Sans"/>
          <w:sz w:val="22"/>
          <w:szCs w:val="22"/>
        </w:rPr>
        <w:t>ecological meaning of each cluster we used 4 clusters (figure 3). The first one correspond to late summer deep picophytoplankton and winter communities with a significant proportion of chlorophyll-b</w:t>
      </w:r>
      <w:r w:rsidR="00271E8C">
        <w:rPr>
          <w:rFonts w:ascii="Open Sans" w:hAnsi="Open Sans"/>
          <w:sz w:val="22"/>
          <w:szCs w:val="22"/>
        </w:rPr>
        <w:t>.</w:t>
      </w:r>
      <w:r w:rsidRPr="009A3411">
        <w:rPr>
          <w:rFonts w:ascii="Open Sans" w:hAnsi="Open Sans"/>
          <w:sz w:val="22"/>
          <w:szCs w:val="22"/>
        </w:rPr>
        <w:t xml:space="preserve"> </w:t>
      </w:r>
      <w:r w:rsidR="00271E8C">
        <w:rPr>
          <w:rFonts w:ascii="Open Sans" w:hAnsi="Open Sans"/>
          <w:sz w:val="22"/>
          <w:szCs w:val="22"/>
        </w:rPr>
        <w:t>T</w:t>
      </w:r>
      <w:r w:rsidRPr="009A3411">
        <w:rPr>
          <w:rFonts w:ascii="Open Sans" w:hAnsi="Open Sans"/>
          <w:sz w:val="22"/>
          <w:szCs w:val="22"/>
        </w:rPr>
        <w:t>he second cluster correspond to the bloom community with a domination of microphytoplankton with  a high fucoxanthin proportion, typically associated to diatoms</w:t>
      </w:r>
      <w:r w:rsidR="00271E8C">
        <w:rPr>
          <w:rFonts w:ascii="Open Sans" w:hAnsi="Open Sans"/>
          <w:sz w:val="22"/>
          <w:szCs w:val="22"/>
        </w:rPr>
        <w:t>.</w:t>
      </w:r>
      <w:r w:rsidRPr="009A3411">
        <w:rPr>
          <w:rFonts w:ascii="Open Sans" w:hAnsi="Open Sans"/>
          <w:sz w:val="22"/>
          <w:szCs w:val="22"/>
        </w:rPr>
        <w:t xml:space="preserve"> </w:t>
      </w:r>
      <w:r w:rsidR="00271E8C">
        <w:rPr>
          <w:rFonts w:ascii="Open Sans" w:hAnsi="Open Sans"/>
          <w:sz w:val="22"/>
          <w:szCs w:val="22"/>
        </w:rPr>
        <w:t>T</w:t>
      </w:r>
      <w:r w:rsidRPr="009A3411">
        <w:rPr>
          <w:rFonts w:ascii="Open Sans" w:hAnsi="Open Sans"/>
          <w:sz w:val="22"/>
          <w:szCs w:val="22"/>
        </w:rPr>
        <w:t>he third one is associated to summer communities below the DCM with a mixed composition of micro and nanophytoplankton</w:t>
      </w:r>
      <w:r w:rsidR="00271E8C">
        <w:rPr>
          <w:rFonts w:ascii="Open Sans" w:hAnsi="Open Sans"/>
          <w:sz w:val="22"/>
          <w:szCs w:val="22"/>
        </w:rPr>
        <w:t>.</w:t>
      </w:r>
      <w:r w:rsidRPr="009A3411">
        <w:rPr>
          <w:rFonts w:ascii="Open Sans" w:hAnsi="Open Sans"/>
          <w:sz w:val="22"/>
          <w:szCs w:val="22"/>
        </w:rPr>
        <w:t xml:space="preserve"> </w:t>
      </w:r>
      <w:r w:rsidR="00271E8C">
        <w:rPr>
          <w:rFonts w:ascii="Open Sans" w:hAnsi="Open Sans"/>
          <w:sz w:val="22"/>
          <w:szCs w:val="22"/>
        </w:rPr>
        <w:t>Finally,</w:t>
      </w:r>
      <w:r w:rsidRPr="009A3411">
        <w:rPr>
          <w:rFonts w:ascii="Open Sans" w:hAnsi="Open Sans"/>
          <w:sz w:val="22"/>
          <w:szCs w:val="22"/>
        </w:rPr>
        <w:t xml:space="preserve"> the fourth one correspond</w:t>
      </w:r>
      <w:r w:rsidR="00B350E1">
        <w:rPr>
          <w:rFonts w:ascii="Open Sans" w:hAnsi="Open Sans"/>
          <w:sz w:val="22"/>
          <w:szCs w:val="22"/>
        </w:rPr>
        <w:t>s</w:t>
      </w:r>
      <w:r w:rsidRPr="009A3411">
        <w:rPr>
          <w:rFonts w:ascii="Open Sans" w:hAnsi="Open Sans"/>
          <w:sz w:val="22"/>
          <w:szCs w:val="22"/>
        </w:rPr>
        <w:t xml:space="preserve"> to surface summer picophytoplankton dominated communities, typically associated to Synechococcus. </w:t>
      </w:r>
    </w:p>
    <w:p w14:paraId="4FCDABDC" w14:textId="59529470" w:rsidR="00B350E1" w:rsidRDefault="00B350E1" w:rsidP="00AA7E43">
      <w:pPr>
        <w:pStyle w:val="Standard"/>
        <w:spacing w:line="360" w:lineRule="auto"/>
        <w:jc w:val="both"/>
        <w:rPr>
          <w:rFonts w:ascii="Open Sans" w:hAnsi="Open Sans"/>
          <w:sz w:val="22"/>
          <w:szCs w:val="22"/>
        </w:rPr>
      </w:pPr>
      <w:r>
        <w:rPr>
          <w:rFonts w:ascii="Open Sans" w:hAnsi="Open Sans"/>
          <w:sz w:val="22"/>
          <w:szCs w:val="22"/>
        </w:rPr>
        <w:t xml:space="preserve">In order to compare the </w:t>
      </w:r>
      <w:r w:rsidR="00655EDC">
        <w:rPr>
          <w:rFonts w:ascii="Open Sans" w:hAnsi="Open Sans"/>
          <w:sz w:val="22"/>
          <w:szCs w:val="22"/>
        </w:rPr>
        <w:t>relative</w:t>
      </w:r>
      <w:r>
        <w:rPr>
          <w:rFonts w:ascii="Open Sans" w:hAnsi="Open Sans"/>
          <w:sz w:val="22"/>
          <w:szCs w:val="22"/>
        </w:rPr>
        <w:t xml:space="preserve"> pigment composition of this four cluster in comparison to the selected strains we built a correspondence analysis from the pigment composition of the strains and projected the pigment composition of the cluster samples on it. We observe three distinct poles corresponding to the different strains taxa. On</w:t>
      </w:r>
      <w:r w:rsidR="006F15F6">
        <w:rPr>
          <w:rFonts w:ascii="Open Sans" w:hAnsi="Open Sans"/>
          <w:sz w:val="22"/>
          <w:szCs w:val="22"/>
        </w:rPr>
        <w:t>e</w:t>
      </w:r>
      <w:r>
        <w:rPr>
          <w:rFonts w:ascii="Open Sans" w:hAnsi="Open Sans"/>
          <w:sz w:val="22"/>
          <w:szCs w:val="22"/>
        </w:rPr>
        <w:t xml:space="preserve"> is composed of the Diatoms and Pelagophytes while the two other poles correspond</w:t>
      </w:r>
      <w:r w:rsidR="006F15F6">
        <w:rPr>
          <w:rFonts w:ascii="Open Sans" w:hAnsi="Open Sans"/>
          <w:sz w:val="22"/>
          <w:szCs w:val="22"/>
        </w:rPr>
        <w:t xml:space="preserve"> respectively</w:t>
      </w:r>
      <w:r>
        <w:rPr>
          <w:rFonts w:ascii="Open Sans" w:hAnsi="Open Sans"/>
          <w:sz w:val="22"/>
          <w:szCs w:val="22"/>
        </w:rPr>
        <w:t xml:space="preserve"> to </w:t>
      </w:r>
      <w:r w:rsidRPr="00B350E1">
        <w:rPr>
          <w:rFonts w:ascii="Open Sans" w:hAnsi="Open Sans"/>
          <w:i/>
          <w:iCs/>
          <w:sz w:val="22"/>
          <w:szCs w:val="22"/>
        </w:rPr>
        <w:t>Synechococcus</w:t>
      </w:r>
      <w:r>
        <w:rPr>
          <w:rFonts w:ascii="Open Sans" w:hAnsi="Open Sans"/>
          <w:sz w:val="22"/>
          <w:szCs w:val="22"/>
        </w:rPr>
        <w:t xml:space="preserve"> and </w:t>
      </w:r>
      <w:r w:rsidRPr="00B350E1">
        <w:rPr>
          <w:rFonts w:ascii="Open Sans" w:hAnsi="Open Sans"/>
          <w:i/>
          <w:iCs/>
          <w:sz w:val="22"/>
          <w:szCs w:val="22"/>
        </w:rPr>
        <w:t>Prochlorococcus</w:t>
      </w:r>
      <w:r>
        <w:rPr>
          <w:rFonts w:ascii="Open Sans" w:hAnsi="Open Sans"/>
          <w:sz w:val="22"/>
          <w:szCs w:val="22"/>
        </w:rPr>
        <w:t xml:space="preserve">. The </w:t>
      </w:r>
      <w:r>
        <w:rPr>
          <w:rFonts w:ascii="Open Sans" w:hAnsi="Open Sans"/>
          <w:i/>
          <w:iCs/>
          <w:sz w:val="22"/>
          <w:szCs w:val="22"/>
        </w:rPr>
        <w:t xml:space="preserve">in-situ </w:t>
      </w:r>
      <w:r>
        <w:rPr>
          <w:rFonts w:ascii="Open Sans" w:hAnsi="Open Sans"/>
          <w:sz w:val="22"/>
          <w:szCs w:val="22"/>
        </w:rPr>
        <w:t>samples are</w:t>
      </w:r>
      <w:r w:rsidR="006F15F6">
        <w:rPr>
          <w:rFonts w:ascii="Open Sans" w:hAnsi="Open Sans"/>
          <w:sz w:val="22"/>
          <w:szCs w:val="22"/>
        </w:rPr>
        <w:t xml:space="preserve"> evenly spread in the center of the plan, indicating that we find the same variability of pigment composition as the laboratory strains.  Moreover, the four cluster are well distinguished in this plan</w:t>
      </w:r>
      <w:r w:rsidR="00595E0D">
        <w:rPr>
          <w:rFonts w:ascii="Open Sans" w:hAnsi="Open Sans"/>
          <w:sz w:val="22"/>
          <w:szCs w:val="22"/>
        </w:rPr>
        <w:t>. As we already showed that the MF can</w:t>
      </w:r>
      <w:r w:rsidR="00905971">
        <w:rPr>
          <w:rFonts w:ascii="Open Sans" w:hAnsi="Open Sans"/>
          <w:sz w:val="22"/>
          <w:szCs w:val="22"/>
        </w:rPr>
        <w:t xml:space="preserve"> be used to</w:t>
      </w:r>
      <w:r w:rsidR="00595E0D">
        <w:rPr>
          <w:rFonts w:ascii="Open Sans" w:hAnsi="Open Sans"/>
          <w:sz w:val="22"/>
          <w:szCs w:val="22"/>
        </w:rPr>
        <w:t xml:space="preserve"> discriminate the different poles of this CA we can expect that it will be performant enough to discriminate the </w:t>
      </w:r>
      <w:r w:rsidR="00595E0D">
        <w:rPr>
          <w:rFonts w:ascii="Open Sans" w:hAnsi="Open Sans"/>
          <w:i/>
          <w:iCs/>
          <w:sz w:val="22"/>
          <w:szCs w:val="22"/>
        </w:rPr>
        <w:t xml:space="preserve">in-situ </w:t>
      </w:r>
      <w:r w:rsidR="00595E0D">
        <w:rPr>
          <w:rFonts w:ascii="Open Sans" w:hAnsi="Open Sans"/>
          <w:sz w:val="22"/>
          <w:szCs w:val="22"/>
        </w:rPr>
        <w:t>clusters.</w:t>
      </w:r>
    </w:p>
    <w:p w14:paraId="73BA2261" w14:textId="1D6CE9A2" w:rsidR="00595E0D" w:rsidRPr="00595E0D" w:rsidRDefault="00595E0D" w:rsidP="00AA7E43">
      <w:pPr>
        <w:pStyle w:val="Standard"/>
        <w:spacing w:line="360" w:lineRule="auto"/>
        <w:jc w:val="both"/>
        <w:rPr>
          <w:rFonts w:ascii="Open Sans" w:hAnsi="Open Sans"/>
          <w:sz w:val="22"/>
          <w:szCs w:val="22"/>
        </w:rPr>
      </w:pPr>
      <w:r>
        <w:rPr>
          <w:rFonts w:ascii="Open Sans" w:hAnsi="Open Sans"/>
          <w:sz w:val="22"/>
          <w:szCs w:val="22"/>
        </w:rPr>
        <w:t xml:space="preserve">However, the </w:t>
      </w:r>
      <w:r>
        <w:rPr>
          <w:rFonts w:ascii="Open Sans" w:hAnsi="Open Sans"/>
          <w:i/>
          <w:iCs/>
          <w:sz w:val="22"/>
          <w:szCs w:val="22"/>
        </w:rPr>
        <w:t xml:space="preserve">in-situ </w:t>
      </w:r>
      <w:r>
        <w:rPr>
          <w:rFonts w:ascii="Open Sans" w:hAnsi="Open Sans"/>
          <w:sz w:val="22"/>
          <w:szCs w:val="22"/>
        </w:rPr>
        <w:t>samples are not as far from the middle as the laboratory strains. This results from the complexity of environmental samples that are composed of different species instead of one monospecific strains, leading to mixed pigment composition, which may reduce the discrimination efficiency of the MF.</w:t>
      </w:r>
    </w:p>
    <w:p w14:paraId="4AB31933" w14:textId="7E982535" w:rsidR="005D7114" w:rsidRPr="00F627A9" w:rsidRDefault="005D7114">
      <w:pPr>
        <w:pStyle w:val="Standard"/>
        <w:rPr>
          <w:rFonts w:ascii="Open Sans" w:hAnsi="Open Sans"/>
          <w:color w:val="FF0000"/>
        </w:rPr>
      </w:pPr>
    </w:p>
    <w:p w14:paraId="53DA9F21" w14:textId="3E877A71" w:rsidR="005D7114" w:rsidRPr="00BC4B84" w:rsidRDefault="00BC4B84">
      <w:pPr>
        <w:pStyle w:val="Standard"/>
        <w:rPr>
          <w:rFonts w:ascii="Open Sans" w:hAnsi="Open Sans"/>
          <w:lang w:val="en-GB"/>
        </w:rPr>
      </w:pPr>
      <w:r w:rsidRPr="00F627A9">
        <w:rPr>
          <w:rFonts w:ascii="Open Sans" w:hAnsi="Open Sans"/>
          <w:lang w:val="en-GB"/>
        </w:rPr>
        <w:tab/>
      </w:r>
      <w:r w:rsidRPr="00BC4B84">
        <w:rPr>
          <w:rFonts w:ascii="Open Sans" w:hAnsi="Open Sans"/>
          <w:lang w:val="en-GB"/>
        </w:rPr>
        <w:t>3.</w:t>
      </w:r>
      <w:r w:rsidR="00AA7E43">
        <w:rPr>
          <w:rFonts w:ascii="Open Sans" w:hAnsi="Open Sans"/>
          <w:lang w:val="en-GB"/>
        </w:rPr>
        <w:t>3</w:t>
      </w:r>
      <w:r w:rsidRPr="00BC4B84">
        <w:rPr>
          <w:rFonts w:ascii="Open Sans" w:hAnsi="Open Sans"/>
          <w:lang w:val="en-GB"/>
        </w:rPr>
        <w:t>) Discrimination of phytoplankton</w:t>
      </w:r>
      <w:r w:rsidR="00AA7E43">
        <w:rPr>
          <w:rFonts w:ascii="Open Sans" w:hAnsi="Open Sans"/>
          <w:lang w:val="en-GB"/>
        </w:rPr>
        <w:t xml:space="preserve"> communities</w:t>
      </w:r>
      <w:r w:rsidRPr="00BC4B84">
        <w:rPr>
          <w:rFonts w:ascii="Open Sans" w:hAnsi="Open Sans"/>
          <w:lang w:val="en-GB"/>
        </w:rPr>
        <w:t xml:space="preserve"> </w:t>
      </w:r>
      <w:r>
        <w:rPr>
          <w:rFonts w:ascii="Open Sans" w:hAnsi="Open Sans"/>
          <w:lang w:val="en-GB"/>
        </w:rPr>
        <w:t xml:space="preserve">from </w:t>
      </w:r>
      <w:r>
        <w:rPr>
          <w:rFonts w:ascii="Open Sans" w:hAnsi="Open Sans"/>
          <w:i/>
          <w:iCs/>
          <w:lang w:val="en-GB"/>
        </w:rPr>
        <w:t xml:space="preserve">in-situ </w:t>
      </w:r>
      <w:r>
        <w:rPr>
          <w:rFonts w:ascii="Open Sans" w:hAnsi="Open Sans"/>
          <w:lang w:val="en-GB"/>
        </w:rPr>
        <w:t>measurements</w:t>
      </w:r>
    </w:p>
    <w:p w14:paraId="05179A85" w14:textId="1122A9A9" w:rsidR="005D7114" w:rsidRDefault="00287B38">
      <w:pPr>
        <w:pStyle w:val="Standard"/>
      </w:pPr>
      <w:r w:rsidRPr="00BC4B84">
        <w:rPr>
          <w:rFonts w:ascii="Open Sans" w:hAnsi="Open Sans"/>
          <w:lang w:val="en-GB"/>
        </w:rPr>
        <w:tab/>
      </w:r>
    </w:p>
    <w:p w14:paraId="33A9AB94" w14:textId="77777777" w:rsidR="00FB4E60" w:rsidRDefault="00287B38">
      <w:pPr>
        <w:pStyle w:val="Standard"/>
        <w:rPr>
          <w:rFonts w:ascii="Open Sans" w:hAnsi="Open Sans"/>
        </w:rPr>
      </w:pPr>
      <w:r>
        <w:rPr>
          <w:rFonts w:ascii="Open Sans" w:hAnsi="Open Sans"/>
        </w:rPr>
        <w:tab/>
      </w:r>
      <w:r>
        <w:rPr>
          <w:rFonts w:ascii="Open Sans" w:hAnsi="Open Sans"/>
        </w:rPr>
        <w:tab/>
      </w:r>
    </w:p>
    <w:p w14:paraId="7D765D26" w14:textId="6BC4381E" w:rsidR="00D2067A" w:rsidRPr="009A3411" w:rsidRDefault="00D2067A" w:rsidP="009A3411">
      <w:pPr>
        <w:pStyle w:val="Standard"/>
        <w:spacing w:line="360" w:lineRule="auto"/>
        <w:jc w:val="both"/>
        <w:rPr>
          <w:rFonts w:ascii="Open Sans" w:hAnsi="Open Sans"/>
          <w:sz w:val="22"/>
          <w:szCs w:val="22"/>
        </w:rPr>
      </w:pPr>
      <w:r w:rsidRPr="009A3411">
        <w:rPr>
          <w:rFonts w:ascii="Open Sans" w:hAnsi="Open Sans"/>
          <w:sz w:val="22"/>
          <w:szCs w:val="22"/>
        </w:rPr>
        <w:t xml:space="preserve"> </w:t>
      </w:r>
    </w:p>
    <w:p w14:paraId="55BE0E91" w14:textId="2782DF15" w:rsidR="005D7114" w:rsidRPr="009A3411" w:rsidRDefault="00D058BD" w:rsidP="009A3411">
      <w:pPr>
        <w:pStyle w:val="Standard"/>
        <w:spacing w:line="360" w:lineRule="auto"/>
        <w:jc w:val="both"/>
        <w:rPr>
          <w:rFonts w:ascii="Open Sans" w:hAnsi="Open Sans"/>
          <w:sz w:val="22"/>
          <w:szCs w:val="22"/>
        </w:rPr>
      </w:pPr>
      <w:r>
        <w:rPr>
          <w:rFonts w:ascii="Open Sans" w:hAnsi="Open Sans"/>
          <w:sz w:val="22"/>
          <w:szCs w:val="22"/>
        </w:rPr>
        <w:t xml:space="preserve">The pigment composition of the </w:t>
      </w:r>
      <w:r>
        <w:rPr>
          <w:rFonts w:ascii="Open Sans" w:hAnsi="Open Sans"/>
          <w:i/>
          <w:iCs/>
          <w:sz w:val="22"/>
          <w:szCs w:val="22"/>
        </w:rPr>
        <w:t xml:space="preserve">in-situ </w:t>
      </w:r>
      <w:r>
        <w:rPr>
          <w:rFonts w:ascii="Open Sans" w:hAnsi="Open Sans"/>
          <w:sz w:val="22"/>
          <w:szCs w:val="22"/>
        </w:rPr>
        <w:t>phytoplankton communities as been showed to be in the range of the MF discrimination capacity. However, the complexity of environmental samples implies to use two optical descriptors, BBP and Cp, that are commonly used as proxies of phytoplankton size class carbon contribution. Moreover, the use of a HGB classifier instead of a SVC classifier has been chosen to favor global performance and generalization</w:t>
      </w:r>
      <w:r w:rsidR="00655EDC">
        <w:rPr>
          <w:rFonts w:ascii="Open Sans" w:hAnsi="Open Sans"/>
          <w:sz w:val="22"/>
          <w:szCs w:val="22"/>
        </w:rPr>
        <w:t xml:space="preserve"> of the model</w:t>
      </w:r>
      <w:r>
        <w:rPr>
          <w:rFonts w:ascii="Open Sans" w:hAnsi="Open Sans"/>
          <w:sz w:val="22"/>
          <w:szCs w:val="22"/>
        </w:rPr>
        <w:t>.</w:t>
      </w:r>
    </w:p>
    <w:p w14:paraId="7741BA3F" w14:textId="77D41793" w:rsidR="005D7114" w:rsidRPr="009A3411" w:rsidRDefault="00D2067A" w:rsidP="009A3411">
      <w:pPr>
        <w:pStyle w:val="Standard"/>
        <w:spacing w:line="360" w:lineRule="auto"/>
        <w:jc w:val="both"/>
        <w:rPr>
          <w:rFonts w:ascii="Open Sans" w:hAnsi="Open Sans"/>
          <w:sz w:val="22"/>
          <w:szCs w:val="22"/>
        </w:rPr>
      </w:pPr>
      <w:r w:rsidRPr="009A3411">
        <w:rPr>
          <w:rFonts w:ascii="Open Sans" w:hAnsi="Open Sans"/>
          <w:sz w:val="22"/>
          <w:szCs w:val="22"/>
        </w:rPr>
        <w:lastRenderedPageBreak/>
        <w:t xml:space="preserve">The </w:t>
      </w:r>
      <w:r w:rsidR="00655EDC">
        <w:rPr>
          <w:rFonts w:ascii="Open Sans" w:hAnsi="Open Sans"/>
          <w:sz w:val="22"/>
          <w:szCs w:val="22"/>
        </w:rPr>
        <w:t xml:space="preserve">mean </w:t>
      </w:r>
      <w:r w:rsidRPr="009A3411">
        <w:rPr>
          <w:rFonts w:ascii="Open Sans" w:hAnsi="Open Sans"/>
          <w:sz w:val="22"/>
          <w:szCs w:val="22"/>
        </w:rPr>
        <w:t xml:space="preserve">global accuracy of </w:t>
      </w:r>
      <w:r w:rsidR="00655EDC">
        <w:rPr>
          <w:rFonts w:ascii="Open Sans" w:hAnsi="Open Sans"/>
          <w:sz w:val="22"/>
          <w:szCs w:val="22"/>
        </w:rPr>
        <w:t>the</w:t>
      </w:r>
      <w:r w:rsidRPr="009A3411">
        <w:rPr>
          <w:rFonts w:ascii="Open Sans" w:hAnsi="Open Sans"/>
          <w:sz w:val="22"/>
          <w:szCs w:val="22"/>
        </w:rPr>
        <w:t xml:space="preserve"> HGB classification using </w:t>
      </w:r>
      <w:r w:rsidR="00655EDC">
        <w:rPr>
          <w:rFonts w:ascii="Open Sans" w:hAnsi="Open Sans"/>
          <w:sz w:val="22"/>
          <w:szCs w:val="22"/>
        </w:rPr>
        <w:t>all the descriptor on a stratified shuffle split cross validation with 20 splits i</w:t>
      </w:r>
      <w:r w:rsidRPr="009A3411">
        <w:rPr>
          <w:rFonts w:ascii="Open Sans" w:hAnsi="Open Sans"/>
          <w:sz w:val="22"/>
          <w:szCs w:val="22"/>
        </w:rPr>
        <w:t>s 72%</w:t>
      </w:r>
      <w:r w:rsidR="00903505" w:rsidRPr="009A3411">
        <w:rPr>
          <w:rFonts w:ascii="Open Sans" w:hAnsi="Open Sans"/>
          <w:sz w:val="22"/>
          <w:szCs w:val="22"/>
        </w:rPr>
        <w:t xml:space="preserve"> (+/- 10%). This </w:t>
      </w:r>
      <w:r w:rsidR="00655EDC">
        <w:rPr>
          <w:rFonts w:ascii="Open Sans" w:hAnsi="Open Sans"/>
          <w:sz w:val="22"/>
          <w:szCs w:val="22"/>
        </w:rPr>
        <w:t>demonstrates</w:t>
      </w:r>
      <w:r w:rsidR="00903505" w:rsidRPr="009A3411">
        <w:rPr>
          <w:rFonts w:ascii="Open Sans" w:hAnsi="Open Sans"/>
          <w:sz w:val="22"/>
          <w:szCs w:val="22"/>
        </w:rPr>
        <w:t xml:space="preserve"> the possibility to use multispectral fluorescence and optical measurements to discriminate the phytoplankton communit</w:t>
      </w:r>
      <w:r w:rsidR="00655EDC">
        <w:rPr>
          <w:rFonts w:ascii="Open Sans" w:hAnsi="Open Sans"/>
          <w:sz w:val="22"/>
          <w:szCs w:val="22"/>
        </w:rPr>
        <w:t>ies</w:t>
      </w:r>
      <w:r w:rsidR="00903505" w:rsidRPr="009A3411">
        <w:rPr>
          <w:rFonts w:ascii="Open Sans" w:hAnsi="Open Sans"/>
          <w:sz w:val="22"/>
          <w:szCs w:val="22"/>
        </w:rPr>
        <w:t xml:space="preserve"> </w:t>
      </w:r>
      <w:r w:rsidR="00655EDC">
        <w:rPr>
          <w:rFonts w:ascii="Open Sans" w:hAnsi="Open Sans"/>
          <w:sz w:val="22"/>
          <w:szCs w:val="22"/>
        </w:rPr>
        <w:t xml:space="preserve">taxonomical </w:t>
      </w:r>
      <w:r w:rsidR="00903505" w:rsidRPr="009A3411">
        <w:rPr>
          <w:rFonts w:ascii="Open Sans" w:hAnsi="Open Sans"/>
          <w:sz w:val="22"/>
          <w:szCs w:val="22"/>
        </w:rPr>
        <w:t>composition from embarked sensors on BGC-Argo</w:t>
      </w:r>
      <w:r w:rsidR="00655EDC">
        <w:rPr>
          <w:rFonts w:ascii="Open Sans" w:hAnsi="Open Sans"/>
          <w:sz w:val="22"/>
          <w:szCs w:val="22"/>
        </w:rPr>
        <w:t xml:space="preserve"> floats</w:t>
      </w:r>
      <w:r w:rsidR="00903505" w:rsidRPr="009A3411">
        <w:rPr>
          <w:rFonts w:ascii="Open Sans" w:hAnsi="Open Sans"/>
          <w:sz w:val="22"/>
          <w:szCs w:val="22"/>
        </w:rPr>
        <w:t xml:space="preserve">. </w:t>
      </w:r>
    </w:p>
    <w:p w14:paraId="63D467B5" w14:textId="04EBB6AF" w:rsidR="009A3411" w:rsidRPr="009A3411" w:rsidRDefault="009A3411" w:rsidP="009A3411">
      <w:pPr>
        <w:pStyle w:val="Standard"/>
        <w:spacing w:line="360" w:lineRule="auto"/>
        <w:jc w:val="both"/>
        <w:rPr>
          <w:rFonts w:ascii="Open Sans" w:hAnsi="Open Sans"/>
          <w:sz w:val="22"/>
          <w:szCs w:val="22"/>
        </w:rPr>
      </w:pPr>
      <w:r w:rsidRPr="009A3411">
        <w:rPr>
          <w:rFonts w:ascii="Open Sans" w:hAnsi="Open Sans"/>
          <w:sz w:val="22"/>
          <w:szCs w:val="22"/>
        </w:rPr>
        <w:t>The mean impurity of the descriptors</w:t>
      </w:r>
      <w:r w:rsidR="00C536A7">
        <w:rPr>
          <w:rFonts w:ascii="Open Sans" w:hAnsi="Open Sans"/>
          <w:sz w:val="22"/>
          <w:szCs w:val="22"/>
        </w:rPr>
        <w:t xml:space="preserve"> (table 1)</w:t>
      </w:r>
      <w:r w:rsidRPr="009A3411">
        <w:rPr>
          <w:rFonts w:ascii="Open Sans" w:hAnsi="Open Sans"/>
          <w:sz w:val="22"/>
          <w:szCs w:val="22"/>
        </w:rPr>
        <w:t xml:space="preserve"> indicates a significant role of all the descriptors with a particularly important effect of the ratio between F470 and Cp. The relatively low impurity of descriptors  involving the F532 measurement</w:t>
      </w:r>
      <w:r w:rsidR="00341163">
        <w:rPr>
          <w:rFonts w:ascii="Open Sans" w:hAnsi="Open Sans"/>
          <w:sz w:val="22"/>
          <w:szCs w:val="22"/>
        </w:rPr>
        <w:t xml:space="preserve"> (table 1)</w:t>
      </w:r>
      <w:r w:rsidRPr="009A3411">
        <w:rPr>
          <w:rFonts w:ascii="Open Sans" w:hAnsi="Open Sans"/>
          <w:sz w:val="22"/>
          <w:szCs w:val="22"/>
        </w:rPr>
        <w:t xml:space="preserve"> may be explained by the relatively low sensitivity of the MF… </w:t>
      </w:r>
    </w:p>
    <w:p w14:paraId="29E0BA53" w14:textId="1824ED88" w:rsidR="009A3411" w:rsidRPr="009A3411" w:rsidRDefault="009A3411" w:rsidP="009A3411">
      <w:pPr>
        <w:pStyle w:val="Standard"/>
        <w:spacing w:line="360" w:lineRule="auto"/>
        <w:jc w:val="both"/>
        <w:rPr>
          <w:rFonts w:ascii="Open Sans" w:hAnsi="Open Sans"/>
          <w:sz w:val="22"/>
          <w:szCs w:val="22"/>
        </w:rPr>
      </w:pPr>
      <w:r w:rsidRPr="009A3411">
        <w:rPr>
          <w:rFonts w:ascii="Open Sans" w:hAnsi="Open Sans"/>
          <w:sz w:val="22"/>
          <w:szCs w:val="22"/>
        </w:rPr>
        <w:t xml:space="preserve">The best accuracy and recall score are obtained on the cluster 1 and 4, indicating that this method best perform to discriminate the prokaryote to eukaryote communities. This is of a strong interest regarding biogeochemical cycles…. </w:t>
      </w:r>
    </w:p>
    <w:p w14:paraId="6452356A" w14:textId="12617DE2" w:rsidR="00220CA8" w:rsidRDefault="00220CA8" w:rsidP="000237CE">
      <w:pPr>
        <w:pStyle w:val="Standard"/>
        <w:spacing w:line="360" w:lineRule="auto"/>
        <w:jc w:val="both"/>
        <w:rPr>
          <w:rFonts w:ascii="Open Sans" w:hAnsi="Open Sans"/>
          <w:sz w:val="22"/>
          <w:szCs w:val="22"/>
        </w:rPr>
      </w:pPr>
      <w:r>
        <w:rPr>
          <w:rFonts w:ascii="Open Sans" w:hAnsi="Open Sans"/>
          <w:sz w:val="22"/>
          <w:szCs w:val="22"/>
        </w:rPr>
        <w:t>E</w:t>
      </w:r>
      <w:r w:rsidR="00903505" w:rsidRPr="009A3411">
        <w:rPr>
          <w:rFonts w:ascii="Open Sans" w:hAnsi="Open Sans"/>
          <w:sz w:val="22"/>
          <w:szCs w:val="22"/>
        </w:rPr>
        <w:t xml:space="preserve">quipping all of this sensors on each floats is expensive and </w:t>
      </w:r>
      <w:r w:rsidR="001347D8" w:rsidRPr="009A3411">
        <w:rPr>
          <w:rFonts w:ascii="Open Sans" w:hAnsi="Open Sans"/>
          <w:sz w:val="22"/>
          <w:szCs w:val="22"/>
        </w:rPr>
        <w:t xml:space="preserve">sometimes demands a significant logistic (???). Thus, we examined the sensitivity of the model on different BGC-Argo configurations (figure </w:t>
      </w:r>
      <w:r w:rsidR="00127FB5">
        <w:rPr>
          <w:rFonts w:ascii="Open Sans" w:hAnsi="Open Sans"/>
          <w:sz w:val="22"/>
          <w:szCs w:val="22"/>
        </w:rPr>
        <w:t>5</w:t>
      </w:r>
      <w:r w:rsidR="001347D8" w:rsidRPr="009A3411">
        <w:rPr>
          <w:rFonts w:ascii="Open Sans" w:hAnsi="Open Sans"/>
          <w:sz w:val="22"/>
          <w:szCs w:val="22"/>
        </w:rPr>
        <w:t xml:space="preserve">), in view of adapting this method on other configurations.   Removing </w:t>
      </w:r>
      <w:r w:rsidR="00901B9F">
        <w:rPr>
          <w:rFonts w:ascii="Open Sans" w:hAnsi="Open Sans"/>
          <w:sz w:val="22"/>
          <w:szCs w:val="22"/>
        </w:rPr>
        <w:t xml:space="preserve">transmissiometer </w:t>
      </w:r>
      <w:r w:rsidR="001347D8" w:rsidRPr="009A3411">
        <w:rPr>
          <w:rFonts w:ascii="Open Sans" w:hAnsi="Open Sans"/>
          <w:sz w:val="22"/>
          <w:szCs w:val="22"/>
        </w:rPr>
        <w:t>leads to a significant decrease in the global accuracy</w:t>
      </w:r>
      <w:r>
        <w:rPr>
          <w:rFonts w:ascii="Open Sans" w:hAnsi="Open Sans"/>
          <w:sz w:val="22"/>
          <w:szCs w:val="22"/>
        </w:rPr>
        <w:t xml:space="preserve"> and recall</w:t>
      </w:r>
      <w:r w:rsidR="001347D8" w:rsidRPr="009A3411">
        <w:rPr>
          <w:rFonts w:ascii="Open Sans" w:hAnsi="Open Sans"/>
          <w:sz w:val="22"/>
          <w:szCs w:val="22"/>
        </w:rPr>
        <w:t xml:space="preserve"> of the model (</w:t>
      </w:r>
      <w:r w:rsidR="00901B9F">
        <w:rPr>
          <w:rFonts w:ascii="Open Sans" w:hAnsi="Open Sans"/>
          <w:sz w:val="22"/>
          <w:szCs w:val="22"/>
        </w:rPr>
        <w:t xml:space="preserve">figure </w:t>
      </w:r>
      <w:r w:rsidR="00127FB5">
        <w:rPr>
          <w:rFonts w:ascii="Open Sans" w:hAnsi="Open Sans"/>
          <w:sz w:val="22"/>
          <w:szCs w:val="22"/>
        </w:rPr>
        <w:t>5</w:t>
      </w:r>
      <w:r w:rsidR="001347D8" w:rsidRPr="009A3411">
        <w:rPr>
          <w:rFonts w:ascii="Open Sans" w:hAnsi="Open Sans"/>
          <w:sz w:val="22"/>
          <w:szCs w:val="22"/>
        </w:rPr>
        <w:t>)</w:t>
      </w:r>
      <w:r w:rsidR="00901B9F">
        <w:rPr>
          <w:rFonts w:ascii="Open Sans" w:hAnsi="Open Sans"/>
          <w:sz w:val="22"/>
          <w:szCs w:val="22"/>
        </w:rPr>
        <w:t>, as well as removing the 532nm excitation fluorescence</w:t>
      </w:r>
      <w:r w:rsidR="004C041C">
        <w:rPr>
          <w:rFonts w:ascii="Open Sans" w:hAnsi="Open Sans"/>
          <w:sz w:val="22"/>
          <w:szCs w:val="22"/>
        </w:rPr>
        <w:t xml:space="preserve"> or BBP signal</w:t>
      </w:r>
      <w:r w:rsidR="001347D8" w:rsidRPr="009A3411">
        <w:rPr>
          <w:rFonts w:ascii="Open Sans" w:hAnsi="Open Sans"/>
          <w:sz w:val="22"/>
          <w:szCs w:val="22"/>
        </w:rPr>
        <w:t xml:space="preserve">. </w:t>
      </w:r>
      <w:r>
        <w:rPr>
          <w:rFonts w:ascii="Open Sans" w:hAnsi="Open Sans"/>
          <w:sz w:val="22"/>
          <w:szCs w:val="22"/>
        </w:rPr>
        <w:t xml:space="preserve">The performances of the model is not good enough to discriminate the fours defined taxa. </w:t>
      </w:r>
    </w:p>
    <w:p w14:paraId="4126F602" w14:textId="42EA5703" w:rsidR="00220CA8" w:rsidRPr="00FB0DEA" w:rsidRDefault="00220CA8" w:rsidP="000237CE">
      <w:pPr>
        <w:pStyle w:val="Standard"/>
        <w:spacing w:line="360" w:lineRule="auto"/>
        <w:jc w:val="both"/>
        <w:rPr>
          <w:rFonts w:ascii="Segoe UI Symbol" w:hAnsi="Segoe UI Symbol"/>
          <w:sz w:val="22"/>
          <w:szCs w:val="22"/>
        </w:rPr>
      </w:pPr>
      <w:r>
        <w:rPr>
          <w:rFonts w:ascii="Open Sans" w:hAnsi="Open Sans"/>
          <w:sz w:val="22"/>
          <w:szCs w:val="22"/>
        </w:rPr>
        <w:t>However, we may reduce the level of discrimination of the model by reducing the number of cluster in view of increasing the performances of the models with less sensors. In doing so, we can evaluate the performances on two other cluster configurations. Reducing the number to three clusters by grouping the cluster 2 and 3, leading to a discrimination between surface summer picophytoplankton with zeaxanthin, deep and winter picophytoplankton with chlorophyll and divinyl chlorophyll b and mixed communities of micro and nanophytoplankton. The lower level of discrimination consist</w:t>
      </w:r>
      <w:r w:rsidR="00C536A7">
        <w:rPr>
          <w:rFonts w:ascii="Open Sans" w:hAnsi="Open Sans"/>
          <w:sz w:val="22"/>
          <w:szCs w:val="22"/>
        </w:rPr>
        <w:t>s</w:t>
      </w:r>
      <w:r>
        <w:rPr>
          <w:rFonts w:ascii="Open Sans" w:hAnsi="Open Sans"/>
          <w:sz w:val="22"/>
          <w:szCs w:val="22"/>
        </w:rPr>
        <w:t xml:space="preserve"> of having only two clusters corresponding to picophytoplankton with zeaxanthin or chlorophyll b and microphytoplankton and nanophytoplankton. </w:t>
      </w:r>
      <w:r w:rsidR="00FB0DEA">
        <w:rPr>
          <w:rFonts w:ascii="Open Sans" w:hAnsi="Open Sans"/>
          <w:sz w:val="22"/>
          <w:szCs w:val="22"/>
        </w:rPr>
        <w:t xml:space="preserve">The performance of the model is evaluated by looking at the mean balanced recall on the same cross validation method as used before (figure 6). In the best sensor package configuration the number of cluster does not interfere on the performance with a consistent balanced recall of around 75%. On the contrary, with fewer sensors </w:t>
      </w:r>
      <w:r w:rsidR="00FB0DEA" w:rsidRPr="00FB0DEA">
        <w:rPr>
          <w:rFonts w:ascii="Open Sans" w:hAnsi="Open Sans"/>
          <w:sz w:val="22"/>
          <w:szCs w:val="22"/>
        </w:rPr>
        <w:t>reducing the number of clusters leads to an increase in performance</w:t>
      </w:r>
      <w:r w:rsidR="00FB0DEA">
        <w:rPr>
          <w:rFonts w:ascii="Open Sans" w:hAnsi="Open Sans"/>
          <w:sz w:val="22"/>
          <w:szCs w:val="22"/>
        </w:rPr>
        <w:t>s. While most of the configurations are still around 60% of recall, the prediction of two clusters with F</w:t>
      </w:r>
      <w:r w:rsidR="00FB0DEA">
        <w:rPr>
          <w:rFonts w:ascii="Open Sans" w:hAnsi="Open Sans"/>
          <w:sz w:val="22"/>
          <w:szCs w:val="22"/>
          <w:vertAlign w:val="subscript"/>
        </w:rPr>
        <w:t xml:space="preserve">440 </w:t>
      </w:r>
      <w:r w:rsidR="00FB0DEA">
        <w:rPr>
          <w:rFonts w:ascii="Open Sans" w:hAnsi="Open Sans"/>
          <w:sz w:val="22"/>
          <w:szCs w:val="22"/>
        </w:rPr>
        <w:t>F</w:t>
      </w:r>
      <w:r w:rsidR="00FB0DEA">
        <w:rPr>
          <w:rFonts w:ascii="Open Sans" w:hAnsi="Open Sans"/>
          <w:sz w:val="22"/>
          <w:szCs w:val="22"/>
          <w:vertAlign w:val="subscript"/>
        </w:rPr>
        <w:t xml:space="preserve">470 </w:t>
      </w:r>
      <w:r w:rsidR="00FB0DEA">
        <w:rPr>
          <w:rFonts w:ascii="Open Sans" w:hAnsi="Open Sans"/>
          <w:sz w:val="22"/>
          <w:szCs w:val="22"/>
        </w:rPr>
        <w:t xml:space="preserve">and BBP seems to stand </w:t>
      </w:r>
      <w:r w:rsidR="00FB0DEA">
        <w:rPr>
          <w:rFonts w:ascii="Open Sans" w:hAnsi="Open Sans"/>
          <w:sz w:val="22"/>
          <w:szCs w:val="22"/>
        </w:rPr>
        <w:lastRenderedPageBreak/>
        <w:t xml:space="preserve">out with a recall of 70% </w:t>
      </w:r>
      <w:r w:rsidR="00C536A7">
        <w:rPr>
          <w:rFonts w:ascii="Open Sans" w:hAnsi="Open Sans"/>
          <w:sz w:val="22"/>
          <w:szCs w:val="22"/>
        </w:rPr>
        <w:t xml:space="preserve">(figure 6 and </w:t>
      </w:r>
      <w:r w:rsidR="00FB0DEA">
        <w:rPr>
          <w:rFonts w:ascii="Open Sans" w:hAnsi="Open Sans"/>
          <w:sz w:val="22"/>
          <w:szCs w:val="22"/>
        </w:rPr>
        <w:t xml:space="preserve">table 2). This results </w:t>
      </w:r>
      <w:r w:rsidR="005B1B8C">
        <w:rPr>
          <w:rFonts w:ascii="Open Sans" w:hAnsi="Open Sans"/>
          <w:sz w:val="22"/>
          <w:szCs w:val="22"/>
        </w:rPr>
        <w:t>enlighten</w:t>
      </w:r>
      <w:r w:rsidR="00FB0DEA">
        <w:rPr>
          <w:rFonts w:ascii="Open Sans" w:hAnsi="Open Sans"/>
          <w:sz w:val="22"/>
          <w:szCs w:val="22"/>
        </w:rPr>
        <w:t xml:space="preserve"> the possibility to retrieve a taxonomical information with fewer sensors.</w:t>
      </w:r>
    </w:p>
    <w:p w14:paraId="62153997" w14:textId="634F4F9D" w:rsidR="000237CE" w:rsidRDefault="000237CE" w:rsidP="000237CE">
      <w:pPr>
        <w:pStyle w:val="Standard"/>
        <w:spacing w:line="360" w:lineRule="auto"/>
        <w:jc w:val="both"/>
        <w:rPr>
          <w:rFonts w:ascii="Open Sans" w:hAnsi="Open Sans"/>
          <w:sz w:val="22"/>
          <w:szCs w:val="22"/>
        </w:rPr>
      </w:pPr>
    </w:p>
    <w:p w14:paraId="5425C453" w14:textId="2C2B7274" w:rsidR="00CC0A87" w:rsidRDefault="000237CE" w:rsidP="000237CE">
      <w:pPr>
        <w:pStyle w:val="Standard"/>
        <w:spacing w:line="360" w:lineRule="auto"/>
        <w:jc w:val="both"/>
        <w:rPr>
          <w:rFonts w:ascii="Open Sans" w:hAnsi="Open Sans"/>
          <w:sz w:val="22"/>
          <w:szCs w:val="22"/>
        </w:rPr>
      </w:pPr>
      <w:r>
        <w:rPr>
          <w:rFonts w:ascii="Open Sans" w:hAnsi="Open Sans"/>
          <w:sz w:val="22"/>
          <w:szCs w:val="22"/>
        </w:rPr>
        <w:t>4) Conclusion and perspectives</w:t>
      </w:r>
    </w:p>
    <w:p w14:paraId="65EA8ABE" w14:textId="71D98CFD" w:rsidR="000237CE" w:rsidRDefault="000237CE" w:rsidP="000237CE">
      <w:pPr>
        <w:pStyle w:val="Standard"/>
        <w:spacing w:line="360" w:lineRule="auto"/>
        <w:jc w:val="both"/>
        <w:rPr>
          <w:rFonts w:ascii="Open Sans" w:hAnsi="Open Sans"/>
          <w:sz w:val="22"/>
          <w:szCs w:val="22"/>
        </w:rPr>
      </w:pPr>
    </w:p>
    <w:p w14:paraId="4202AA50" w14:textId="77777777" w:rsidR="000237CE" w:rsidRPr="000237CE" w:rsidRDefault="000237CE" w:rsidP="000237CE">
      <w:pPr>
        <w:pStyle w:val="Standard"/>
        <w:spacing w:line="360" w:lineRule="auto"/>
        <w:jc w:val="both"/>
        <w:rPr>
          <w:rFonts w:ascii="Open Sans" w:hAnsi="Open Sans"/>
          <w:sz w:val="22"/>
          <w:szCs w:val="22"/>
        </w:rPr>
      </w:pPr>
    </w:p>
    <w:p w14:paraId="1A7544EA" w14:textId="77777777" w:rsidR="0057285B" w:rsidRDefault="0057285B">
      <w:pPr>
        <w:suppressAutoHyphens w:val="0"/>
        <w:rPr>
          <w:rFonts w:ascii="Open Sans" w:hAnsi="Open Sans"/>
        </w:rPr>
      </w:pPr>
      <w:r>
        <w:rPr>
          <w:rFonts w:ascii="Open Sans" w:hAnsi="Open Sans"/>
        </w:rPr>
        <w:br w:type="page"/>
      </w:r>
    </w:p>
    <w:p w14:paraId="143AF77A" w14:textId="6C3118E7" w:rsidR="0057285B" w:rsidRPr="0057285B" w:rsidRDefault="00362A69">
      <w:pPr>
        <w:suppressAutoHyphens w:val="0"/>
        <w:rPr>
          <w:rFonts w:ascii="Open Sans" w:hAnsi="Open Sans"/>
        </w:rPr>
      </w:pPr>
      <w:r>
        <w:rPr>
          <w:rFonts w:ascii="Open Sans" w:hAnsi="Open Sans"/>
          <w:noProof/>
        </w:rPr>
        <w:lastRenderedPageBreak/>
        <w:drawing>
          <wp:anchor distT="0" distB="0" distL="114300" distR="114300" simplePos="0" relativeHeight="251658240" behindDoc="0" locked="0" layoutInCell="1" allowOverlap="1" wp14:anchorId="5DEC8A44" wp14:editId="076B2442">
            <wp:simplePos x="0" y="0"/>
            <wp:positionH relativeFrom="column">
              <wp:posOffset>689610</wp:posOffset>
            </wp:positionH>
            <wp:positionV relativeFrom="paragraph">
              <wp:posOffset>0</wp:posOffset>
            </wp:positionV>
            <wp:extent cx="4925060" cy="3657600"/>
            <wp:effectExtent l="0" t="0" r="8890" b="0"/>
            <wp:wrapTopAndBottom/>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25060" cy="3657600"/>
                    </a:xfrm>
                    <a:prstGeom prst="rect">
                      <a:avLst/>
                    </a:prstGeom>
                    <a:noFill/>
                    <a:ln>
                      <a:noFill/>
                      <a:prstDash/>
                    </a:ln>
                  </pic:spPr>
                </pic:pic>
              </a:graphicData>
            </a:graphic>
            <wp14:sizeRelH relativeFrom="margin">
              <wp14:pctWidth>0</wp14:pctWidth>
            </wp14:sizeRelH>
          </wp:anchor>
        </w:drawing>
      </w:r>
      <w:r w:rsidR="0057285B">
        <w:rPr>
          <w:rFonts w:ascii="Open Sans" w:hAnsi="Open Sans"/>
        </w:rPr>
        <w:t>Figure 1: Scatterplot of the laboratory measured values of the ratios F</w:t>
      </w:r>
      <w:r w:rsidR="0057285B">
        <w:rPr>
          <w:rFonts w:ascii="Open Sans" w:hAnsi="Open Sans"/>
          <w:vertAlign w:val="subscript"/>
        </w:rPr>
        <w:t>440</w:t>
      </w:r>
      <w:r w:rsidR="0057285B">
        <w:rPr>
          <w:rFonts w:ascii="Open Sans" w:hAnsi="Open Sans"/>
        </w:rPr>
        <w:t>/F</w:t>
      </w:r>
      <w:r w:rsidR="0057285B">
        <w:rPr>
          <w:rFonts w:ascii="Open Sans" w:hAnsi="Open Sans"/>
          <w:vertAlign w:val="subscript"/>
        </w:rPr>
        <w:t xml:space="preserve">470 </w:t>
      </w:r>
      <w:r w:rsidR="0057285B">
        <w:rPr>
          <w:rFonts w:ascii="Open Sans" w:hAnsi="Open Sans"/>
        </w:rPr>
        <w:t>and F</w:t>
      </w:r>
      <w:r w:rsidR="0057285B">
        <w:rPr>
          <w:rFonts w:ascii="Open Sans" w:hAnsi="Open Sans"/>
          <w:vertAlign w:val="subscript"/>
        </w:rPr>
        <w:t>532</w:t>
      </w:r>
      <w:r w:rsidR="0057285B">
        <w:rPr>
          <w:rFonts w:ascii="Open Sans" w:hAnsi="Open Sans"/>
        </w:rPr>
        <w:t>/F</w:t>
      </w:r>
      <w:r w:rsidR="0057285B">
        <w:rPr>
          <w:rFonts w:ascii="Open Sans" w:hAnsi="Open Sans"/>
          <w:vertAlign w:val="subscript"/>
        </w:rPr>
        <w:t>470</w:t>
      </w:r>
      <w:r w:rsidR="0057285B">
        <w:rPr>
          <w:rFonts w:ascii="Open Sans" w:hAnsi="Open Sans"/>
        </w:rPr>
        <w:t xml:space="preserve"> of each strains of the different taxa.</w:t>
      </w:r>
    </w:p>
    <w:p w14:paraId="40B8C584" w14:textId="77777777" w:rsidR="0057285B" w:rsidRDefault="0057285B">
      <w:pPr>
        <w:suppressAutoHyphens w:val="0"/>
        <w:rPr>
          <w:rFonts w:ascii="Open Sans" w:hAnsi="Open Sans"/>
        </w:rPr>
      </w:pPr>
      <w:r>
        <w:rPr>
          <w:rFonts w:ascii="Open Sans" w:hAnsi="Open Sans"/>
        </w:rPr>
        <w:br w:type="page"/>
      </w:r>
    </w:p>
    <w:p w14:paraId="7369CF36" w14:textId="77777777" w:rsidR="0057285B" w:rsidRDefault="0057285B">
      <w:pPr>
        <w:suppressAutoHyphens w:val="0"/>
        <w:rPr>
          <w:rFonts w:ascii="Open Sans" w:hAnsi="Open Sans"/>
        </w:rPr>
      </w:pPr>
    </w:p>
    <w:p w14:paraId="2133182A" w14:textId="77777777" w:rsidR="005D7114" w:rsidRDefault="005D7114">
      <w:pPr>
        <w:pStyle w:val="Standard"/>
      </w:pPr>
    </w:p>
    <w:p w14:paraId="4AFC4BF4" w14:textId="77777777" w:rsidR="005D7114" w:rsidRDefault="00287B38">
      <w:pPr>
        <w:pStyle w:val="Standard"/>
      </w:pPr>
      <w:r>
        <w:rPr>
          <w:rFonts w:ascii="Open Sans" w:hAnsi="Open Sans"/>
          <w:noProof/>
        </w:rPr>
        <w:drawing>
          <wp:anchor distT="0" distB="0" distL="114300" distR="114300" simplePos="0" relativeHeight="251659264" behindDoc="0" locked="0" layoutInCell="1" allowOverlap="1" wp14:anchorId="36798C71" wp14:editId="700DA2A4">
            <wp:simplePos x="0" y="0"/>
            <wp:positionH relativeFrom="column">
              <wp:align>center</wp:align>
            </wp:positionH>
            <wp:positionV relativeFrom="paragraph">
              <wp:align>top</wp:align>
            </wp:positionV>
            <wp:extent cx="5486400" cy="3657600"/>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86400" cy="3657600"/>
                    </a:xfrm>
                    <a:prstGeom prst="rect">
                      <a:avLst/>
                    </a:prstGeom>
                    <a:noFill/>
                    <a:ln>
                      <a:noFill/>
                      <a:prstDash/>
                    </a:ln>
                  </pic:spPr>
                </pic:pic>
              </a:graphicData>
            </a:graphic>
          </wp:anchor>
        </w:drawing>
      </w:r>
    </w:p>
    <w:p w14:paraId="4BFAA38F" w14:textId="1B2565CF" w:rsidR="00D216AD" w:rsidRDefault="00287B38">
      <w:pPr>
        <w:pStyle w:val="Standard"/>
        <w:rPr>
          <w:rFonts w:ascii="Open Sans" w:hAnsi="Open Sans"/>
        </w:rPr>
      </w:pPr>
      <w:r>
        <w:rPr>
          <w:rFonts w:ascii="Open Sans" w:hAnsi="Open Sans"/>
        </w:rPr>
        <w:t>Figure 2 : Decision boundaries of the Support Vector Classifier with a Radial Basis Function kernel.</w:t>
      </w:r>
      <w:r w:rsidR="00AC2640">
        <w:rPr>
          <w:rFonts w:ascii="Open Sans" w:hAnsi="Open Sans"/>
        </w:rPr>
        <w:t xml:space="preserve"> </w:t>
      </w:r>
      <w:r w:rsidR="0080143D">
        <w:rPr>
          <w:rFonts w:ascii="Open Sans" w:hAnsi="Open Sans"/>
        </w:rPr>
        <w:t>Balanced accuracy : 86.7% ; balanced recall : 86.8%</w:t>
      </w:r>
    </w:p>
    <w:p w14:paraId="2D240F46" w14:textId="1A74689A" w:rsidR="00897EB6" w:rsidRDefault="00D216AD">
      <w:pPr>
        <w:suppressAutoHyphens w:val="0"/>
        <w:rPr>
          <w:rFonts w:ascii="Open Sans" w:hAnsi="Open Sans"/>
        </w:rPr>
      </w:pPr>
      <w:r>
        <w:rPr>
          <w:rFonts w:ascii="Open Sans" w:hAnsi="Open Sans"/>
        </w:rPr>
        <w:br w:type="page"/>
      </w:r>
    </w:p>
    <w:p w14:paraId="76B38660" w14:textId="374E1C65" w:rsidR="00897EB6" w:rsidRDefault="00897EB6">
      <w:pPr>
        <w:suppressAutoHyphens w:val="0"/>
        <w:rPr>
          <w:rFonts w:ascii="Open Sans" w:hAnsi="Open Sans"/>
        </w:rPr>
      </w:pPr>
    </w:p>
    <w:p w14:paraId="2548BED4" w14:textId="4C009E17" w:rsidR="005D7114" w:rsidRDefault="00D216AD">
      <w:pPr>
        <w:pStyle w:val="Standard"/>
        <w:rPr>
          <w:rFonts w:ascii="Open Sans" w:hAnsi="Open Sans"/>
        </w:rPr>
      </w:pPr>
      <w:r>
        <w:rPr>
          <w:rFonts w:ascii="Open Sans" w:hAnsi="Open Sans"/>
          <w:noProof/>
        </w:rPr>
        <w:drawing>
          <wp:anchor distT="0" distB="0" distL="114300" distR="114300" simplePos="0" relativeHeight="251661312" behindDoc="0" locked="0" layoutInCell="1" allowOverlap="1" wp14:anchorId="452A81FD" wp14:editId="6166976F">
            <wp:simplePos x="0" y="0"/>
            <wp:positionH relativeFrom="column">
              <wp:posOffset>3810</wp:posOffset>
            </wp:positionH>
            <wp:positionV relativeFrom="paragraph">
              <wp:posOffset>5715</wp:posOffset>
            </wp:positionV>
            <wp:extent cx="6120130" cy="3977640"/>
            <wp:effectExtent l="0" t="0" r="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977640"/>
                    </a:xfrm>
                    <a:prstGeom prst="rect">
                      <a:avLst/>
                    </a:prstGeom>
                  </pic:spPr>
                </pic:pic>
              </a:graphicData>
            </a:graphic>
          </wp:anchor>
        </w:drawing>
      </w:r>
    </w:p>
    <w:p w14:paraId="5A8B935E" w14:textId="37A15796" w:rsidR="00D216AD" w:rsidRDefault="00D216AD">
      <w:pPr>
        <w:pStyle w:val="Standard"/>
        <w:rPr>
          <w:rFonts w:ascii="Open Sans" w:hAnsi="Open Sans"/>
        </w:rPr>
      </w:pPr>
    </w:p>
    <w:p w14:paraId="5ECDC016" w14:textId="4CABB837" w:rsidR="00854AF0" w:rsidRDefault="0057285B">
      <w:pPr>
        <w:suppressAutoHyphens w:val="0"/>
      </w:pPr>
      <w:r w:rsidRPr="0057285B">
        <w:rPr>
          <w:rFonts w:ascii="Open Sans" w:hAnsi="Open Sans"/>
        </w:rPr>
        <w:t>Figure 3 : Localization of each cluster in the time series, regarding the depth and time of the year. Relative pigment composition of each cluster.</w:t>
      </w:r>
      <w:r w:rsidR="00854AF0">
        <w:br w:type="page"/>
      </w:r>
    </w:p>
    <w:p w14:paraId="3307BC2B" w14:textId="2DA24C62" w:rsidR="00A4330B" w:rsidRPr="00A4330B" w:rsidRDefault="00A4330B">
      <w:pPr>
        <w:suppressAutoHyphens w:val="0"/>
        <w:rPr>
          <w:rFonts w:ascii="Open Sans" w:hAnsi="Open Sans"/>
          <w:lang w:val="en-GB"/>
        </w:rPr>
      </w:pPr>
      <w:r w:rsidRPr="00A4330B">
        <w:rPr>
          <w:rFonts w:ascii="Open Sans" w:hAnsi="Open Sans"/>
          <w:noProof/>
          <w:lang w:val="en-GB"/>
        </w:rPr>
        <w:lastRenderedPageBreak/>
        <w:drawing>
          <wp:anchor distT="0" distB="0" distL="114300" distR="114300" simplePos="0" relativeHeight="251660288" behindDoc="0" locked="0" layoutInCell="1" allowOverlap="1" wp14:anchorId="6E15E463" wp14:editId="32C76EC1">
            <wp:simplePos x="0" y="0"/>
            <wp:positionH relativeFrom="page">
              <wp:posOffset>735330</wp:posOffset>
            </wp:positionH>
            <wp:positionV relativeFrom="paragraph">
              <wp:posOffset>0</wp:posOffset>
            </wp:positionV>
            <wp:extent cx="6120130" cy="3977640"/>
            <wp:effectExtent l="0" t="0" r="0" b="38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977640"/>
                    </a:xfrm>
                    <a:prstGeom prst="rect">
                      <a:avLst/>
                    </a:prstGeom>
                  </pic:spPr>
                </pic:pic>
              </a:graphicData>
            </a:graphic>
          </wp:anchor>
        </w:drawing>
      </w:r>
      <w:r w:rsidRPr="00A4330B">
        <w:rPr>
          <w:rFonts w:ascii="Open Sans" w:hAnsi="Open Sans"/>
          <w:lang w:val="en-GB"/>
        </w:rPr>
        <w:t xml:space="preserve">Figure 4 : </w:t>
      </w:r>
      <w:r w:rsidR="005B1B8C" w:rsidRPr="00A4330B">
        <w:rPr>
          <w:rFonts w:ascii="Open Sans" w:hAnsi="Open Sans"/>
          <w:lang w:val="en-GB"/>
        </w:rPr>
        <w:t>Correspondence</w:t>
      </w:r>
      <w:r w:rsidRPr="00A4330B">
        <w:rPr>
          <w:rFonts w:ascii="Open Sans" w:hAnsi="Open Sans"/>
          <w:lang w:val="en-GB"/>
        </w:rPr>
        <w:t xml:space="preserve"> analysis of the pigment concentration of the selected taxa, with the projection of in-situ phytoplankton communities pigment composition. </w:t>
      </w:r>
    </w:p>
    <w:p w14:paraId="707D7092" w14:textId="77777777" w:rsidR="00A4330B" w:rsidRDefault="00A4330B">
      <w:pPr>
        <w:suppressAutoHyphens w:val="0"/>
      </w:pPr>
      <w:r>
        <w:br w:type="page"/>
      </w:r>
    </w:p>
    <w:p w14:paraId="102CF88E" w14:textId="77777777" w:rsidR="0057285B" w:rsidRPr="00A4330B" w:rsidRDefault="0057285B">
      <w:pPr>
        <w:suppressAutoHyphens w:val="0"/>
      </w:pPr>
    </w:p>
    <w:p w14:paraId="54939A87" w14:textId="77777777" w:rsidR="005D7114" w:rsidRPr="00AC2640" w:rsidRDefault="005D7114" w:rsidP="00AC2640">
      <w:pPr>
        <w:suppressAutoHyphens w:val="0"/>
      </w:pPr>
    </w:p>
    <w:p w14:paraId="5334E0A9" w14:textId="223DD4AF" w:rsidR="006E4A00" w:rsidRDefault="006E4A00" w:rsidP="0057285B">
      <w:pPr>
        <w:pStyle w:val="Standard"/>
        <w:jc w:val="center"/>
        <w:rPr>
          <w:rFonts w:ascii="Open Sans" w:hAnsi="Open Sans"/>
        </w:rPr>
      </w:pPr>
      <w:r>
        <w:rPr>
          <w:rFonts w:ascii="Open Sans" w:hAnsi="Open Sans"/>
          <w:noProof/>
        </w:rPr>
        <w:drawing>
          <wp:inline distT="0" distB="0" distL="0" distR="0" wp14:anchorId="39150641" wp14:editId="13AED83B">
            <wp:extent cx="5155542" cy="306006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55542" cy="3060063"/>
                    </a:xfrm>
                    <a:prstGeom prst="rect">
                      <a:avLst/>
                    </a:prstGeom>
                  </pic:spPr>
                </pic:pic>
              </a:graphicData>
            </a:graphic>
          </wp:inline>
        </w:drawing>
      </w:r>
    </w:p>
    <w:p w14:paraId="164EE2FD" w14:textId="77777777" w:rsidR="005D7114" w:rsidRDefault="005D7114">
      <w:pPr>
        <w:pStyle w:val="Standard"/>
        <w:rPr>
          <w:rFonts w:ascii="Open Sans" w:hAnsi="Open Sans"/>
        </w:rPr>
      </w:pPr>
    </w:p>
    <w:p w14:paraId="6B66B2F6" w14:textId="1AC5FB81" w:rsidR="005D7114" w:rsidRDefault="006E4A00" w:rsidP="0057285B">
      <w:pPr>
        <w:pStyle w:val="Standard"/>
        <w:jc w:val="center"/>
        <w:rPr>
          <w:rFonts w:ascii="Open Sans" w:hAnsi="Open Sans"/>
        </w:rPr>
      </w:pPr>
      <w:r>
        <w:rPr>
          <w:rFonts w:ascii="Open Sans" w:hAnsi="Open Sans"/>
          <w:noProof/>
        </w:rPr>
        <w:drawing>
          <wp:inline distT="0" distB="0" distL="0" distR="0" wp14:anchorId="4ED05E63" wp14:editId="5A438804">
            <wp:extent cx="5155542" cy="3060063"/>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5542" cy="3060063"/>
                    </a:xfrm>
                    <a:prstGeom prst="rect">
                      <a:avLst/>
                    </a:prstGeom>
                  </pic:spPr>
                </pic:pic>
              </a:graphicData>
            </a:graphic>
          </wp:inline>
        </w:drawing>
      </w:r>
    </w:p>
    <w:p w14:paraId="4D118A94" w14:textId="48D19BF4" w:rsidR="003D3C35" w:rsidRDefault="003D3C35" w:rsidP="0057285B">
      <w:pPr>
        <w:pStyle w:val="Standard"/>
        <w:rPr>
          <w:rFonts w:ascii="Open Sans" w:hAnsi="Open Sans"/>
          <w:lang w:val="fr-FR"/>
        </w:rPr>
      </w:pPr>
    </w:p>
    <w:p w14:paraId="37D6B398" w14:textId="77777777" w:rsidR="00D1523E" w:rsidRDefault="0057285B" w:rsidP="00D1523E">
      <w:pPr>
        <w:pStyle w:val="Standard"/>
        <w:rPr>
          <w:rFonts w:ascii="Open Sans" w:hAnsi="Open Sans"/>
          <w:lang w:val="en-GB"/>
        </w:rPr>
      </w:pPr>
      <w:r w:rsidRPr="0057285B">
        <w:rPr>
          <w:rFonts w:ascii="Open Sans" w:hAnsi="Open Sans"/>
          <w:lang w:val="en-GB"/>
        </w:rPr>
        <w:t>Figure 4 : Accuracy and recall of t</w:t>
      </w:r>
      <w:r>
        <w:rPr>
          <w:rFonts w:ascii="Open Sans" w:hAnsi="Open Sans"/>
          <w:lang w:val="en-GB"/>
        </w:rPr>
        <w:t>he HGB classification model for each cluster on each configuration of BGC-Argo sensors package.</w:t>
      </w:r>
    </w:p>
    <w:p w14:paraId="3A1001B4" w14:textId="50FC4829" w:rsidR="00D1523E" w:rsidRDefault="00D1523E" w:rsidP="00D1523E">
      <w:pPr>
        <w:suppressAutoHyphens w:val="0"/>
        <w:rPr>
          <w:rFonts w:ascii="Open Sans" w:hAnsi="Open Sans"/>
          <w:lang w:val="en-GB"/>
        </w:rPr>
      </w:pPr>
      <w:r>
        <w:rPr>
          <w:rFonts w:ascii="Open Sans" w:hAnsi="Open Sans"/>
          <w:noProof/>
          <w:lang w:val="en-GB"/>
        </w:rPr>
        <w:lastRenderedPageBreak/>
        <w:drawing>
          <wp:anchor distT="0" distB="0" distL="114300" distR="114300" simplePos="0" relativeHeight="251662336" behindDoc="0" locked="0" layoutInCell="1" allowOverlap="1" wp14:anchorId="6717A371" wp14:editId="5DE38202">
            <wp:simplePos x="0" y="0"/>
            <wp:positionH relativeFrom="column">
              <wp:posOffset>3810</wp:posOffset>
            </wp:positionH>
            <wp:positionV relativeFrom="paragraph">
              <wp:posOffset>3810</wp:posOffset>
            </wp:positionV>
            <wp:extent cx="6118860" cy="4587875"/>
            <wp:effectExtent l="0" t="0" r="0" b="317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8860" cy="4587875"/>
                    </a:xfrm>
                    <a:prstGeom prst="rect">
                      <a:avLst/>
                    </a:prstGeom>
                  </pic:spPr>
                </pic:pic>
              </a:graphicData>
            </a:graphic>
          </wp:anchor>
        </w:drawing>
      </w:r>
      <w:r>
        <w:rPr>
          <w:rFonts w:ascii="Open Sans" w:hAnsi="Open Sans"/>
          <w:noProof/>
          <w:lang w:val="en-GB"/>
        </w:rPr>
        <w:t xml:space="preserve">Figure 5: Values of the mean weighted recall resulting from a cross validation with different number of cluster and different sensor package. </w:t>
      </w:r>
      <w:r>
        <w:rPr>
          <w:rFonts w:ascii="Open Sans" w:hAnsi="Open Sans"/>
          <w:lang w:val="en-GB"/>
        </w:rPr>
        <w:br w:type="page"/>
      </w:r>
    </w:p>
    <w:p w14:paraId="3ECCFD3D" w14:textId="39770AE3" w:rsidR="00D1523E" w:rsidRDefault="00341163" w:rsidP="00D1523E">
      <w:pPr>
        <w:suppressAutoHyphens w:val="0"/>
        <w:rPr>
          <w:rFonts w:ascii="Open Sans" w:hAnsi="Open Sans"/>
          <w:lang w:val="en-GB"/>
        </w:rPr>
      </w:pPr>
      <w:r>
        <w:rPr>
          <w:rFonts w:ascii="Open Sans" w:hAnsi="Open Sans"/>
          <w:lang w:val="en-GB"/>
        </w:rPr>
        <w:lastRenderedPageBreak/>
        <w:t>Table 1: Description and impurity of the different descriptors.</w:t>
      </w:r>
    </w:p>
    <w:p w14:paraId="7D04D78A" w14:textId="3DCDCC1C" w:rsidR="004C041C" w:rsidRDefault="004C041C" w:rsidP="00D1523E">
      <w:pPr>
        <w:suppressAutoHyphens w:val="0"/>
        <w:rPr>
          <w:rFonts w:ascii="Open Sans" w:hAnsi="Open Sans"/>
          <w:lang w:val="en-GB"/>
        </w:rPr>
      </w:pPr>
    </w:p>
    <w:tbl>
      <w:tblPr>
        <w:tblpPr w:leftFromText="141" w:rightFromText="141" w:vertAnchor="text" w:horzAnchor="page" w:tblpX="676" w:tblpY="209"/>
        <w:tblW w:w="107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2"/>
        <w:gridCol w:w="1277"/>
        <w:gridCol w:w="1277"/>
        <w:gridCol w:w="993"/>
        <w:gridCol w:w="1203"/>
        <w:gridCol w:w="1203"/>
        <w:gridCol w:w="1203"/>
        <w:gridCol w:w="1066"/>
        <w:gridCol w:w="1368"/>
      </w:tblGrid>
      <w:tr w:rsidR="00341163" w:rsidRPr="004C041C" w14:paraId="25F6F9FF" w14:textId="77777777" w:rsidTr="00341163">
        <w:tc>
          <w:tcPr>
            <w:tcW w:w="12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CC0AD0" w14:textId="77777777" w:rsidR="00341163" w:rsidRPr="004C041C" w:rsidRDefault="00341163" w:rsidP="00341163">
            <w:pPr>
              <w:suppressAutoHyphens w:val="0"/>
              <w:autoSpaceDN/>
              <w:jc w:val="center"/>
              <w:textAlignment w:val="auto"/>
              <w:rPr>
                <w:rFonts w:ascii="Segoe UI" w:eastAsia="Times New Roman" w:hAnsi="Segoe UI" w:cs="Segoe UI"/>
                <w:kern w:val="0"/>
                <w:sz w:val="21"/>
                <w:szCs w:val="21"/>
                <w:lang w:val="en-GB" w:eastAsia="fr-FR" w:bidi="ar-SA"/>
              </w:rPr>
            </w:pPr>
          </w:p>
        </w:tc>
        <w:tc>
          <w:tcPr>
            <w:tcW w:w="127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C79C50"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440</w:t>
            </w: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7C47F3B"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532</w:t>
            </w: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470</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851CFEE"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b/>
                <w:bCs/>
                <w:kern w:val="0"/>
                <w:sz w:val="21"/>
                <w:szCs w:val="21"/>
                <w:lang w:val="fr-FR" w:eastAsia="fr-FR" w:bidi="ar-SA"/>
              </w:rPr>
              <w:t>B</w:t>
            </w:r>
            <w:r>
              <w:rPr>
                <w:rFonts w:ascii="Segoe UI" w:eastAsia="Times New Roman" w:hAnsi="Segoe UI" w:cs="Segoe UI"/>
                <w:b/>
                <w:bCs/>
                <w:kern w:val="0"/>
                <w:sz w:val="21"/>
                <w:szCs w:val="21"/>
                <w:lang w:val="fr-FR" w:eastAsia="fr-FR" w:bidi="ar-SA"/>
              </w:rPr>
              <w:t>BP/C</w:t>
            </w:r>
            <w:r w:rsidRPr="004C041C">
              <w:rPr>
                <w:rFonts w:ascii="Segoe UI" w:eastAsia="Times New Roman" w:hAnsi="Segoe UI" w:cs="Segoe UI"/>
                <w:b/>
                <w:bCs/>
                <w:kern w:val="0"/>
                <w:sz w:val="21"/>
                <w:szCs w:val="21"/>
                <w:lang w:val="fr-FR" w:eastAsia="fr-FR" w:bidi="ar-SA"/>
              </w:rPr>
              <w:t>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5A29A9A"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440</w:t>
            </w:r>
            <w:r>
              <w:rPr>
                <w:rFonts w:ascii="Segoe UI" w:eastAsia="Times New Roman" w:hAnsi="Segoe UI" w:cs="Segoe UI"/>
                <w:b/>
                <w:bCs/>
                <w:kern w:val="0"/>
                <w:sz w:val="21"/>
                <w:szCs w:val="21"/>
                <w:lang w:val="fr-FR" w:eastAsia="fr-FR" w:bidi="ar-SA"/>
              </w:rPr>
              <w:t>/BBP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A11E82E"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470</w:t>
            </w:r>
            <w:r>
              <w:rPr>
                <w:rFonts w:ascii="Segoe UI" w:eastAsia="Times New Roman" w:hAnsi="Segoe UI" w:cs="Segoe UI"/>
                <w:b/>
                <w:bCs/>
                <w:kern w:val="0"/>
                <w:sz w:val="21"/>
                <w:szCs w:val="21"/>
                <w:lang w:val="fr-FR" w:eastAsia="fr-FR" w:bidi="ar-SA"/>
              </w:rPr>
              <w:t>/BBP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C04E534"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532</w:t>
            </w:r>
            <w:r>
              <w:rPr>
                <w:rFonts w:ascii="Segoe UI" w:eastAsia="Times New Roman" w:hAnsi="Segoe UI" w:cs="Segoe UI"/>
                <w:b/>
                <w:bCs/>
                <w:kern w:val="0"/>
                <w:sz w:val="21"/>
                <w:szCs w:val="21"/>
                <w:lang w:val="fr-FR" w:eastAsia="fr-FR" w:bidi="ar-SA"/>
              </w:rPr>
              <w:t>/BBP</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2D9FA73"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440</w:t>
            </w:r>
            <w:r>
              <w:rPr>
                <w:rFonts w:ascii="Segoe UI" w:eastAsia="Times New Roman" w:hAnsi="Segoe UI" w:cs="Segoe UI"/>
                <w:b/>
                <w:bCs/>
                <w:kern w:val="0"/>
                <w:sz w:val="21"/>
                <w:szCs w:val="21"/>
                <w:lang w:val="fr-FR" w:eastAsia="fr-FR" w:bidi="ar-SA"/>
              </w:rPr>
              <w:t>/Cp</w:t>
            </w:r>
          </w:p>
        </w:tc>
        <w:tc>
          <w:tcPr>
            <w:tcW w:w="136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69B94F"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b/>
                <w:bCs/>
                <w:kern w:val="0"/>
                <w:sz w:val="21"/>
                <w:szCs w:val="21"/>
                <w:lang w:val="fr-FR" w:eastAsia="fr-FR" w:bidi="ar-SA"/>
              </w:rPr>
              <w:t>F</w:t>
            </w:r>
            <w:r w:rsidRPr="004C041C">
              <w:rPr>
                <w:rFonts w:ascii="Segoe UI" w:eastAsia="Times New Roman" w:hAnsi="Segoe UI" w:cs="Segoe UI"/>
                <w:b/>
                <w:bCs/>
                <w:kern w:val="0"/>
                <w:sz w:val="21"/>
                <w:szCs w:val="21"/>
                <w:lang w:val="fr-FR" w:eastAsia="fr-FR" w:bidi="ar-SA"/>
              </w:rPr>
              <w:t>470</w:t>
            </w:r>
            <w:r>
              <w:rPr>
                <w:rFonts w:ascii="Segoe UI" w:eastAsia="Times New Roman" w:hAnsi="Segoe UI" w:cs="Segoe UI"/>
                <w:b/>
                <w:bCs/>
                <w:kern w:val="0"/>
                <w:sz w:val="21"/>
                <w:szCs w:val="21"/>
                <w:lang w:val="fr-FR" w:eastAsia="fr-FR" w:bidi="ar-SA"/>
              </w:rPr>
              <w:t>/C</w:t>
            </w:r>
            <w:r w:rsidRPr="004C041C">
              <w:rPr>
                <w:rFonts w:ascii="Segoe UI" w:eastAsia="Times New Roman" w:hAnsi="Segoe UI" w:cs="Segoe UI"/>
                <w:b/>
                <w:bCs/>
                <w:kern w:val="0"/>
                <w:sz w:val="21"/>
                <w:szCs w:val="21"/>
                <w:lang w:val="fr-FR" w:eastAsia="fr-FR" w:bidi="ar-SA"/>
              </w:rPr>
              <w:t>p</w:t>
            </w:r>
          </w:p>
        </w:tc>
      </w:tr>
      <w:tr w:rsidR="00341163" w:rsidRPr="004C041C" w14:paraId="03901946" w14:textId="77777777" w:rsidTr="00341163">
        <w:tc>
          <w:tcPr>
            <w:tcW w:w="12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EE16D81"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mean</w:t>
            </w:r>
          </w:p>
        </w:tc>
        <w:tc>
          <w:tcPr>
            <w:tcW w:w="127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9329460"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730EA7"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D05E62C"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894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5C0718"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0.73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388E6C7"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0.84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60A4FF0"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0.4</w:t>
            </w:r>
            <w:r>
              <w:rPr>
                <w:rFonts w:ascii="Segoe UI" w:eastAsia="Times New Roman" w:hAnsi="Segoe UI" w:cs="Segoe UI"/>
                <w:kern w:val="0"/>
                <w:sz w:val="21"/>
                <w:szCs w:val="21"/>
                <w:lang w:val="fr-FR" w:eastAsia="fr-FR" w:bidi="ar-SA"/>
              </w:rPr>
              <w:t>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A97664"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609</w:t>
            </w:r>
          </w:p>
        </w:tc>
        <w:tc>
          <w:tcPr>
            <w:tcW w:w="136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42FA9C1"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685</w:t>
            </w:r>
          </w:p>
        </w:tc>
      </w:tr>
      <w:tr w:rsidR="00341163" w:rsidRPr="004C041C" w14:paraId="66AA116D" w14:textId="77777777" w:rsidTr="00341163">
        <w:tc>
          <w:tcPr>
            <w:tcW w:w="12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A2642D5"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std</w:t>
            </w:r>
          </w:p>
        </w:tc>
        <w:tc>
          <w:tcPr>
            <w:tcW w:w="127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8DECC42"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4EC283"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0.25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68900D2"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424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0F13AF9"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0.28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70559E"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w:t>
            </w:r>
            <w:r>
              <w:rPr>
                <w:rFonts w:ascii="Segoe UI" w:eastAsia="Times New Roman" w:hAnsi="Segoe UI" w:cs="Segoe UI"/>
                <w:kern w:val="0"/>
                <w:sz w:val="21"/>
                <w:szCs w:val="21"/>
                <w:lang w:val="fr-FR" w:eastAsia="fr-FR" w:bidi="ar-SA"/>
              </w:rPr>
              <w:t>4</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9195A4"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0.1</w:t>
            </w:r>
            <w:r>
              <w:rPr>
                <w:rFonts w:ascii="Segoe UI" w:eastAsia="Times New Roman" w:hAnsi="Segoe UI" w:cs="Segoe UI"/>
                <w:kern w:val="0"/>
                <w:sz w:val="21"/>
                <w:szCs w:val="21"/>
                <w:lang w:val="fr-FR" w:eastAsia="fr-FR" w:bidi="ar-SA"/>
              </w:rPr>
              <w:t>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526AF89"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276</w:t>
            </w:r>
          </w:p>
        </w:tc>
        <w:tc>
          <w:tcPr>
            <w:tcW w:w="136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28F775"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314</w:t>
            </w:r>
          </w:p>
        </w:tc>
      </w:tr>
      <w:tr w:rsidR="00341163" w:rsidRPr="004C041C" w14:paraId="63C32B47" w14:textId="77777777" w:rsidTr="00341163">
        <w:tc>
          <w:tcPr>
            <w:tcW w:w="12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56B7F35"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min</w:t>
            </w:r>
          </w:p>
        </w:tc>
        <w:tc>
          <w:tcPr>
            <w:tcW w:w="127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7FBCA5B"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0.63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8EBE15"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0.19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C1EE7DF"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B2315A"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0.3</w:t>
            </w:r>
            <w:r>
              <w:rPr>
                <w:rFonts w:ascii="Segoe UI" w:eastAsia="Times New Roman" w:hAnsi="Segoe UI" w:cs="Segoe UI"/>
                <w:kern w:val="0"/>
                <w:sz w:val="21"/>
                <w:szCs w:val="21"/>
                <w:lang w:val="fr-FR" w:eastAsia="fr-FR" w:bidi="ar-SA"/>
              </w:rPr>
              <w:t>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71C18BE"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0.35</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BEE2310"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C40830"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0.05</w:t>
            </w:r>
          </w:p>
        </w:tc>
        <w:tc>
          <w:tcPr>
            <w:tcW w:w="136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7AD827"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0.05</w:t>
            </w:r>
          </w:p>
        </w:tc>
      </w:tr>
      <w:tr w:rsidR="00341163" w:rsidRPr="004C041C" w14:paraId="00AF8D38" w14:textId="77777777" w:rsidTr="00341163">
        <w:tc>
          <w:tcPr>
            <w:tcW w:w="12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1603E33"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max</w:t>
            </w:r>
          </w:p>
        </w:tc>
        <w:tc>
          <w:tcPr>
            <w:tcW w:w="127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43F0A95"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1.18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85F116"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A7EB5AD"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1983</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A0CA222"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1.68</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1B4EEF6"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2.22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5400978"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1.46</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4B7F99E"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1369</w:t>
            </w:r>
          </w:p>
        </w:tc>
        <w:tc>
          <w:tcPr>
            <w:tcW w:w="136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EFF5A5"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sidRPr="004C041C">
              <w:rPr>
                <w:rFonts w:ascii="Segoe UI" w:eastAsia="Times New Roman" w:hAnsi="Segoe UI" w:cs="Segoe UI"/>
                <w:kern w:val="0"/>
                <w:sz w:val="21"/>
                <w:szCs w:val="21"/>
                <w:lang w:val="fr-FR" w:eastAsia="fr-FR" w:bidi="ar-SA"/>
              </w:rPr>
              <w:t>1527</w:t>
            </w:r>
          </w:p>
        </w:tc>
      </w:tr>
      <w:tr w:rsidR="00341163" w:rsidRPr="004C041C" w14:paraId="6C8BE726" w14:textId="77777777" w:rsidTr="00341163">
        <w:tc>
          <w:tcPr>
            <w:tcW w:w="1202"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69C93B63"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Impurity</w:t>
            </w:r>
          </w:p>
        </w:tc>
        <w:tc>
          <w:tcPr>
            <w:tcW w:w="1277"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67F83EF2"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0.12</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993CA7E"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0.07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5CC11EC"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0.09</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0D875E2"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B2F2F59"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0.07</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5C3857C6"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0.1</w:t>
            </w:r>
          </w:p>
        </w:tc>
        <w:tc>
          <w:tcPr>
            <w:tcW w:w="0" w:type="auto"/>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788C3D3D"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0.22</w:t>
            </w:r>
          </w:p>
        </w:tc>
        <w:tc>
          <w:tcPr>
            <w:tcW w:w="1368"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tcPr>
          <w:p w14:paraId="37164618" w14:textId="77777777" w:rsidR="00341163" w:rsidRPr="004C041C" w:rsidRDefault="00341163" w:rsidP="00341163">
            <w:pPr>
              <w:suppressAutoHyphens w:val="0"/>
              <w:autoSpaceDN/>
              <w:jc w:val="right"/>
              <w:textAlignment w:val="auto"/>
              <w:rPr>
                <w:rFonts w:ascii="Segoe UI" w:eastAsia="Times New Roman" w:hAnsi="Segoe UI" w:cs="Segoe UI"/>
                <w:kern w:val="0"/>
                <w:sz w:val="21"/>
                <w:szCs w:val="21"/>
                <w:lang w:val="fr-FR" w:eastAsia="fr-FR" w:bidi="ar-SA"/>
              </w:rPr>
            </w:pPr>
            <w:r>
              <w:rPr>
                <w:rFonts w:ascii="Segoe UI" w:eastAsia="Times New Roman" w:hAnsi="Segoe UI" w:cs="Segoe UI"/>
                <w:kern w:val="0"/>
                <w:sz w:val="21"/>
                <w:szCs w:val="21"/>
                <w:lang w:val="fr-FR" w:eastAsia="fr-FR" w:bidi="ar-SA"/>
              </w:rPr>
              <w:t>0.2</w:t>
            </w:r>
          </w:p>
        </w:tc>
      </w:tr>
    </w:tbl>
    <w:p w14:paraId="1B1C1522" w14:textId="4E2F943D" w:rsidR="00341163" w:rsidRDefault="00341163">
      <w:pPr>
        <w:suppressAutoHyphens w:val="0"/>
        <w:rPr>
          <w:rFonts w:ascii="Open Sans" w:hAnsi="Open Sans"/>
          <w:lang w:val="en-GB"/>
        </w:rPr>
      </w:pPr>
      <w:r>
        <w:rPr>
          <w:rFonts w:ascii="Open Sans" w:hAnsi="Open Sans"/>
          <w:lang w:val="en-GB"/>
        </w:rPr>
        <w:t xml:space="preserve"> </w:t>
      </w:r>
      <w:r>
        <w:rPr>
          <w:rFonts w:ascii="Open Sans" w:hAnsi="Open Sans"/>
          <w:lang w:val="en-GB"/>
        </w:rPr>
        <w:br w:type="page"/>
      </w:r>
    </w:p>
    <w:p w14:paraId="3C42A272" w14:textId="77777777" w:rsidR="004C041C" w:rsidRDefault="004C041C">
      <w:pPr>
        <w:suppressAutoHyphens w:val="0"/>
        <w:rPr>
          <w:rFonts w:ascii="Open Sans" w:hAnsi="Open Sans"/>
          <w:lang w:val="en-GB"/>
        </w:rPr>
      </w:pPr>
    </w:p>
    <w:p w14:paraId="4466F1C8" w14:textId="252E5787" w:rsidR="004C041C" w:rsidRDefault="005B1B8C" w:rsidP="00D1523E">
      <w:pPr>
        <w:suppressAutoHyphens w:val="0"/>
        <w:rPr>
          <w:rFonts w:ascii="Open Sans" w:hAnsi="Open Sans"/>
          <w:lang w:val="en-GB"/>
        </w:rPr>
      </w:pPr>
      <w:r>
        <w:rPr>
          <w:rFonts w:ascii="Open Sans" w:hAnsi="Open Sans"/>
          <w:lang w:val="en-GB"/>
        </w:rPr>
        <w:t>Table 2: Mean and standard deviation of precision and recall for different configuration of clusterization and sensors packages in percentage. The recall and precision values are obtained by a stratified shuffle cross validation with 20 splits.</w:t>
      </w:r>
    </w:p>
    <w:p w14:paraId="631838D7" w14:textId="77777777" w:rsidR="00125034" w:rsidRDefault="00125034">
      <w:pPr>
        <w:suppressAutoHyphens w:val="0"/>
        <w:rPr>
          <w:rFonts w:ascii="Open Sans" w:hAnsi="Open Sans"/>
          <w:lang w:val="en-GB"/>
        </w:rPr>
      </w:pPr>
    </w:p>
    <w:tbl>
      <w:tblPr>
        <w:tblStyle w:val="Grilledutableau"/>
        <w:tblW w:w="0" w:type="auto"/>
        <w:tblLook w:val="04A0" w:firstRow="1" w:lastRow="0" w:firstColumn="1" w:lastColumn="0" w:noHBand="0" w:noVBand="1"/>
      </w:tblPr>
      <w:tblGrid>
        <w:gridCol w:w="1555"/>
        <w:gridCol w:w="3827"/>
        <w:gridCol w:w="2126"/>
        <w:gridCol w:w="2120"/>
      </w:tblGrid>
      <w:tr w:rsidR="00125034" w14:paraId="7F6BC164" w14:textId="77777777" w:rsidTr="00125034">
        <w:tc>
          <w:tcPr>
            <w:tcW w:w="1555" w:type="dxa"/>
          </w:tcPr>
          <w:p w14:paraId="770D7C5C" w14:textId="28B017ED" w:rsidR="00125034" w:rsidRDefault="00125034">
            <w:pPr>
              <w:pStyle w:val="Standard"/>
              <w:rPr>
                <w:rFonts w:ascii="Open Sans" w:hAnsi="Open Sans"/>
                <w:lang w:val="en-GB"/>
              </w:rPr>
            </w:pPr>
            <w:r>
              <w:rPr>
                <w:rFonts w:ascii="Open Sans" w:hAnsi="Open Sans"/>
                <w:lang w:val="en-GB"/>
              </w:rPr>
              <w:t>Number of cluster</w:t>
            </w:r>
          </w:p>
        </w:tc>
        <w:tc>
          <w:tcPr>
            <w:tcW w:w="3827" w:type="dxa"/>
          </w:tcPr>
          <w:p w14:paraId="5B68CFA1" w14:textId="231728EC" w:rsidR="00125034" w:rsidRDefault="00125034">
            <w:pPr>
              <w:pStyle w:val="Standard"/>
              <w:rPr>
                <w:rFonts w:ascii="Open Sans" w:hAnsi="Open Sans"/>
                <w:lang w:val="en-GB"/>
              </w:rPr>
            </w:pPr>
            <w:r>
              <w:rPr>
                <w:rFonts w:ascii="Open Sans" w:hAnsi="Open Sans"/>
                <w:lang w:val="en-GB"/>
              </w:rPr>
              <w:t>Sensor package</w:t>
            </w:r>
          </w:p>
        </w:tc>
        <w:tc>
          <w:tcPr>
            <w:tcW w:w="2126" w:type="dxa"/>
          </w:tcPr>
          <w:p w14:paraId="5EF23737" w14:textId="2BC645BF" w:rsidR="00125034" w:rsidRDefault="00125034">
            <w:pPr>
              <w:pStyle w:val="Standard"/>
              <w:rPr>
                <w:rFonts w:ascii="Open Sans" w:hAnsi="Open Sans"/>
                <w:lang w:val="en-GB"/>
              </w:rPr>
            </w:pPr>
            <w:r>
              <w:rPr>
                <w:rFonts w:ascii="Open Sans" w:hAnsi="Open Sans"/>
                <w:lang w:val="en-GB"/>
              </w:rPr>
              <w:t>Mean precision</w:t>
            </w:r>
            <w:r w:rsidR="007162D8">
              <w:rPr>
                <w:rFonts w:ascii="Open Sans" w:hAnsi="Open Sans"/>
                <w:lang w:val="en-GB"/>
              </w:rPr>
              <w:br/>
              <w:t>(+/- SD) in %</w:t>
            </w:r>
          </w:p>
        </w:tc>
        <w:tc>
          <w:tcPr>
            <w:tcW w:w="2120" w:type="dxa"/>
          </w:tcPr>
          <w:p w14:paraId="0D3D301F" w14:textId="700CC4A5" w:rsidR="00125034" w:rsidRDefault="00125034">
            <w:pPr>
              <w:pStyle w:val="Standard"/>
              <w:rPr>
                <w:rFonts w:ascii="Open Sans" w:hAnsi="Open Sans"/>
                <w:lang w:val="en-GB"/>
              </w:rPr>
            </w:pPr>
            <w:r>
              <w:rPr>
                <w:rFonts w:ascii="Open Sans" w:hAnsi="Open Sans"/>
                <w:lang w:val="en-GB"/>
              </w:rPr>
              <w:t>Mean recall</w:t>
            </w:r>
            <w:r w:rsidR="007162D8">
              <w:rPr>
                <w:rFonts w:ascii="Open Sans" w:hAnsi="Open Sans"/>
                <w:lang w:val="en-GB"/>
              </w:rPr>
              <w:br/>
              <w:t>(+/- SD) in %</w:t>
            </w:r>
          </w:p>
        </w:tc>
      </w:tr>
      <w:tr w:rsidR="00125034" w14:paraId="31DFFB26" w14:textId="77777777" w:rsidTr="00125034">
        <w:tc>
          <w:tcPr>
            <w:tcW w:w="1555" w:type="dxa"/>
          </w:tcPr>
          <w:p w14:paraId="63E71901" w14:textId="770B7AA7" w:rsidR="00125034" w:rsidRDefault="00125034">
            <w:pPr>
              <w:pStyle w:val="Standard"/>
              <w:rPr>
                <w:rFonts w:ascii="Open Sans" w:hAnsi="Open Sans"/>
                <w:lang w:val="en-GB"/>
              </w:rPr>
            </w:pPr>
            <w:r>
              <w:rPr>
                <w:rFonts w:ascii="Open Sans" w:hAnsi="Open Sans"/>
                <w:lang w:val="en-GB"/>
              </w:rPr>
              <w:t>4</w:t>
            </w:r>
          </w:p>
        </w:tc>
        <w:tc>
          <w:tcPr>
            <w:tcW w:w="3827" w:type="dxa"/>
          </w:tcPr>
          <w:p w14:paraId="33B728FC" w14:textId="1F68F8C5" w:rsidR="00125034" w:rsidRDefault="00125034">
            <w:pPr>
              <w:pStyle w:val="Standard"/>
              <w:rPr>
                <w:rFonts w:ascii="Open Sans" w:hAnsi="Open Sans"/>
                <w:lang w:val="en-GB"/>
              </w:rPr>
            </w:pPr>
            <w:r>
              <w:rPr>
                <w:rFonts w:ascii="Open Sans" w:hAnsi="Open Sans"/>
                <w:lang w:val="en-GB"/>
              </w:rPr>
              <w:t>F440 F470 F532 BBP CP</w:t>
            </w:r>
          </w:p>
        </w:tc>
        <w:tc>
          <w:tcPr>
            <w:tcW w:w="2126" w:type="dxa"/>
          </w:tcPr>
          <w:p w14:paraId="14AC1B6C" w14:textId="089B1832" w:rsidR="00125034" w:rsidRDefault="00125034">
            <w:pPr>
              <w:pStyle w:val="Standard"/>
              <w:rPr>
                <w:rFonts w:ascii="Open Sans" w:hAnsi="Open Sans"/>
                <w:lang w:val="en-GB"/>
              </w:rPr>
            </w:pPr>
            <w:r>
              <w:rPr>
                <w:rFonts w:ascii="Open Sans" w:hAnsi="Open Sans"/>
                <w:lang w:val="en-GB"/>
              </w:rPr>
              <w:t>7</w:t>
            </w:r>
            <w:r w:rsidR="00EC1817">
              <w:rPr>
                <w:rFonts w:ascii="Open Sans" w:hAnsi="Open Sans"/>
                <w:lang w:val="en-GB"/>
              </w:rPr>
              <w:t>3</w:t>
            </w:r>
            <w:r>
              <w:rPr>
                <w:rFonts w:ascii="Open Sans" w:hAnsi="Open Sans"/>
                <w:lang w:val="en-GB"/>
              </w:rPr>
              <w:t>.</w:t>
            </w:r>
            <w:r w:rsidR="00EC1817">
              <w:rPr>
                <w:rFonts w:ascii="Open Sans" w:hAnsi="Open Sans"/>
                <w:lang w:val="en-GB"/>
              </w:rPr>
              <w:t>3</w:t>
            </w:r>
            <w:r>
              <w:rPr>
                <w:rFonts w:ascii="Open Sans" w:hAnsi="Open Sans"/>
                <w:lang w:val="en-GB"/>
              </w:rPr>
              <w:t xml:space="preserve"> (1</w:t>
            </w:r>
            <w:r w:rsidR="00FE6288">
              <w:rPr>
                <w:rFonts w:ascii="Open Sans" w:hAnsi="Open Sans"/>
                <w:lang w:val="en-GB"/>
              </w:rPr>
              <w:t>0</w:t>
            </w:r>
            <w:r>
              <w:rPr>
                <w:rFonts w:ascii="Open Sans" w:hAnsi="Open Sans"/>
                <w:lang w:val="en-GB"/>
              </w:rPr>
              <w:t>.</w:t>
            </w:r>
            <w:r w:rsidR="00FE6288">
              <w:rPr>
                <w:rFonts w:ascii="Open Sans" w:hAnsi="Open Sans"/>
                <w:lang w:val="en-GB"/>
              </w:rPr>
              <w:t>9</w:t>
            </w:r>
            <w:r>
              <w:rPr>
                <w:rFonts w:ascii="Open Sans" w:hAnsi="Open Sans"/>
                <w:lang w:val="en-GB"/>
              </w:rPr>
              <w:t>)</w:t>
            </w:r>
          </w:p>
        </w:tc>
        <w:tc>
          <w:tcPr>
            <w:tcW w:w="2120" w:type="dxa"/>
          </w:tcPr>
          <w:p w14:paraId="29A4C9D7" w14:textId="76BD36B3" w:rsidR="00125034" w:rsidRDefault="00FE6288">
            <w:pPr>
              <w:pStyle w:val="Standard"/>
              <w:rPr>
                <w:rFonts w:ascii="Open Sans" w:hAnsi="Open Sans"/>
                <w:lang w:val="en-GB"/>
              </w:rPr>
            </w:pPr>
            <w:r>
              <w:rPr>
                <w:rFonts w:ascii="Open Sans" w:hAnsi="Open Sans"/>
                <w:lang w:val="en-GB"/>
              </w:rPr>
              <w:t>74.6 (9.8)</w:t>
            </w:r>
          </w:p>
        </w:tc>
      </w:tr>
      <w:tr w:rsidR="00CB2C7C" w14:paraId="493DCE49" w14:textId="77777777" w:rsidTr="00125034">
        <w:tc>
          <w:tcPr>
            <w:tcW w:w="1555" w:type="dxa"/>
          </w:tcPr>
          <w:p w14:paraId="787AA2BE" w14:textId="631FB1BD" w:rsidR="00CB2C7C" w:rsidRDefault="00CB2C7C">
            <w:pPr>
              <w:pStyle w:val="Standard"/>
              <w:rPr>
                <w:rFonts w:ascii="Open Sans" w:hAnsi="Open Sans"/>
                <w:lang w:val="en-GB"/>
              </w:rPr>
            </w:pPr>
            <w:r>
              <w:rPr>
                <w:rFonts w:ascii="Open Sans" w:hAnsi="Open Sans"/>
                <w:lang w:val="en-GB"/>
              </w:rPr>
              <w:t>4</w:t>
            </w:r>
          </w:p>
        </w:tc>
        <w:tc>
          <w:tcPr>
            <w:tcW w:w="3827" w:type="dxa"/>
          </w:tcPr>
          <w:p w14:paraId="13C244B1" w14:textId="08E677A7" w:rsidR="00CB2C7C" w:rsidRDefault="00CB2C7C">
            <w:pPr>
              <w:pStyle w:val="Standard"/>
              <w:rPr>
                <w:rFonts w:ascii="Open Sans" w:hAnsi="Open Sans"/>
                <w:lang w:val="en-GB"/>
              </w:rPr>
            </w:pPr>
            <w:r>
              <w:rPr>
                <w:rFonts w:ascii="Open Sans" w:hAnsi="Open Sans"/>
                <w:lang w:val="en-GB"/>
              </w:rPr>
              <w:t>F440 F470 BBP CP</w:t>
            </w:r>
          </w:p>
        </w:tc>
        <w:tc>
          <w:tcPr>
            <w:tcW w:w="2126" w:type="dxa"/>
          </w:tcPr>
          <w:p w14:paraId="1ED202E9" w14:textId="4F0B9688" w:rsidR="00CB2C7C" w:rsidRDefault="00CB2C7C">
            <w:pPr>
              <w:pStyle w:val="Standard"/>
              <w:rPr>
                <w:rFonts w:ascii="Open Sans" w:hAnsi="Open Sans"/>
                <w:lang w:val="en-GB"/>
              </w:rPr>
            </w:pPr>
            <w:r>
              <w:rPr>
                <w:rFonts w:ascii="Open Sans" w:hAnsi="Open Sans"/>
                <w:lang w:val="en-GB"/>
              </w:rPr>
              <w:t>64.5 (13.2)</w:t>
            </w:r>
          </w:p>
        </w:tc>
        <w:tc>
          <w:tcPr>
            <w:tcW w:w="2120" w:type="dxa"/>
          </w:tcPr>
          <w:p w14:paraId="79C6587E" w14:textId="33AC279C" w:rsidR="00CB2C7C" w:rsidRDefault="00CB2C7C">
            <w:pPr>
              <w:pStyle w:val="Standard"/>
              <w:rPr>
                <w:rFonts w:ascii="Open Sans" w:hAnsi="Open Sans"/>
                <w:lang w:val="en-GB"/>
              </w:rPr>
            </w:pPr>
            <w:r>
              <w:rPr>
                <w:rFonts w:ascii="Open Sans" w:hAnsi="Open Sans"/>
                <w:lang w:val="en-GB"/>
              </w:rPr>
              <w:t>63.5 (12.1)</w:t>
            </w:r>
          </w:p>
        </w:tc>
      </w:tr>
      <w:tr w:rsidR="00125034" w14:paraId="1583A869" w14:textId="77777777" w:rsidTr="00125034">
        <w:tc>
          <w:tcPr>
            <w:tcW w:w="1555" w:type="dxa"/>
          </w:tcPr>
          <w:p w14:paraId="78B2A390" w14:textId="0A7E53B7" w:rsidR="00125034" w:rsidRDefault="00125034">
            <w:pPr>
              <w:pStyle w:val="Standard"/>
              <w:rPr>
                <w:rFonts w:ascii="Open Sans" w:hAnsi="Open Sans"/>
                <w:lang w:val="en-GB"/>
              </w:rPr>
            </w:pPr>
            <w:r>
              <w:rPr>
                <w:rFonts w:ascii="Open Sans" w:hAnsi="Open Sans"/>
                <w:lang w:val="en-GB"/>
              </w:rPr>
              <w:t>4</w:t>
            </w:r>
          </w:p>
        </w:tc>
        <w:tc>
          <w:tcPr>
            <w:tcW w:w="3827" w:type="dxa"/>
          </w:tcPr>
          <w:p w14:paraId="7839C571" w14:textId="30734B94" w:rsidR="00125034" w:rsidRDefault="00125034">
            <w:pPr>
              <w:pStyle w:val="Standard"/>
              <w:rPr>
                <w:rFonts w:ascii="Open Sans" w:hAnsi="Open Sans"/>
                <w:lang w:val="en-GB"/>
              </w:rPr>
            </w:pPr>
            <w:r>
              <w:rPr>
                <w:rFonts w:ascii="Open Sans" w:hAnsi="Open Sans"/>
                <w:lang w:val="en-GB"/>
              </w:rPr>
              <w:t>F440 F470 F532 BBP</w:t>
            </w:r>
          </w:p>
        </w:tc>
        <w:tc>
          <w:tcPr>
            <w:tcW w:w="2126" w:type="dxa"/>
          </w:tcPr>
          <w:p w14:paraId="5B588340" w14:textId="3554AFEB" w:rsidR="00125034" w:rsidRDefault="00FE6288">
            <w:pPr>
              <w:pStyle w:val="Standard"/>
              <w:rPr>
                <w:rFonts w:ascii="Open Sans" w:hAnsi="Open Sans"/>
                <w:lang w:val="en-GB"/>
              </w:rPr>
            </w:pPr>
            <w:r>
              <w:rPr>
                <w:rFonts w:ascii="Open Sans" w:hAnsi="Open Sans"/>
                <w:lang w:val="en-GB"/>
              </w:rPr>
              <w:t>59.9</w:t>
            </w:r>
            <w:r w:rsidR="00125034">
              <w:rPr>
                <w:rFonts w:ascii="Open Sans" w:hAnsi="Open Sans"/>
                <w:lang w:val="en-GB"/>
              </w:rPr>
              <w:t xml:space="preserve"> (</w:t>
            </w:r>
            <w:r>
              <w:rPr>
                <w:rFonts w:ascii="Open Sans" w:hAnsi="Open Sans"/>
                <w:lang w:val="en-GB"/>
              </w:rPr>
              <w:t>16.1</w:t>
            </w:r>
            <w:r w:rsidR="00125034">
              <w:rPr>
                <w:rFonts w:ascii="Open Sans" w:hAnsi="Open Sans"/>
                <w:lang w:val="en-GB"/>
              </w:rPr>
              <w:t>)</w:t>
            </w:r>
          </w:p>
        </w:tc>
        <w:tc>
          <w:tcPr>
            <w:tcW w:w="2120" w:type="dxa"/>
          </w:tcPr>
          <w:p w14:paraId="6DB00A2F" w14:textId="5D345F8A" w:rsidR="00125034" w:rsidRDefault="00FE6288">
            <w:pPr>
              <w:pStyle w:val="Standard"/>
              <w:rPr>
                <w:rFonts w:ascii="Open Sans" w:hAnsi="Open Sans"/>
                <w:lang w:val="en-GB"/>
              </w:rPr>
            </w:pPr>
            <w:r>
              <w:rPr>
                <w:rFonts w:ascii="Open Sans" w:hAnsi="Open Sans"/>
                <w:lang w:val="en-GB"/>
              </w:rPr>
              <w:t>59.2 (15.4)</w:t>
            </w:r>
          </w:p>
        </w:tc>
      </w:tr>
      <w:tr w:rsidR="00125034" w14:paraId="509D0956" w14:textId="77777777" w:rsidTr="00125034">
        <w:tc>
          <w:tcPr>
            <w:tcW w:w="1555" w:type="dxa"/>
          </w:tcPr>
          <w:p w14:paraId="76E07705" w14:textId="2B5E4310" w:rsidR="00125034" w:rsidRDefault="00125034">
            <w:pPr>
              <w:pStyle w:val="Standard"/>
              <w:rPr>
                <w:rFonts w:ascii="Open Sans" w:hAnsi="Open Sans"/>
                <w:lang w:val="en-GB"/>
              </w:rPr>
            </w:pPr>
            <w:r>
              <w:rPr>
                <w:rFonts w:ascii="Open Sans" w:hAnsi="Open Sans"/>
                <w:lang w:val="en-GB"/>
              </w:rPr>
              <w:t>4</w:t>
            </w:r>
          </w:p>
        </w:tc>
        <w:tc>
          <w:tcPr>
            <w:tcW w:w="3827" w:type="dxa"/>
          </w:tcPr>
          <w:p w14:paraId="1C42E178" w14:textId="15047B45" w:rsidR="00125034" w:rsidRDefault="00125034">
            <w:pPr>
              <w:pStyle w:val="Standard"/>
              <w:rPr>
                <w:rFonts w:ascii="Open Sans" w:hAnsi="Open Sans"/>
                <w:lang w:val="en-GB"/>
              </w:rPr>
            </w:pPr>
            <w:r>
              <w:rPr>
                <w:rFonts w:ascii="Open Sans" w:hAnsi="Open Sans"/>
                <w:lang w:val="en-GB"/>
              </w:rPr>
              <w:t>F440 F47</w:t>
            </w:r>
            <w:r w:rsidR="005B1B8C">
              <w:rPr>
                <w:rFonts w:ascii="Open Sans" w:hAnsi="Open Sans"/>
                <w:lang w:val="en-GB"/>
              </w:rPr>
              <w:t xml:space="preserve">0 </w:t>
            </w:r>
            <w:r>
              <w:rPr>
                <w:rFonts w:ascii="Open Sans" w:hAnsi="Open Sans"/>
                <w:lang w:val="en-GB"/>
              </w:rPr>
              <w:t>BBP</w:t>
            </w:r>
          </w:p>
        </w:tc>
        <w:tc>
          <w:tcPr>
            <w:tcW w:w="2126" w:type="dxa"/>
          </w:tcPr>
          <w:p w14:paraId="4CD08CBD" w14:textId="7DAB8D9D" w:rsidR="00125034" w:rsidRDefault="00125034">
            <w:pPr>
              <w:pStyle w:val="Standard"/>
              <w:rPr>
                <w:rFonts w:ascii="Open Sans" w:hAnsi="Open Sans"/>
                <w:lang w:val="en-GB"/>
              </w:rPr>
            </w:pPr>
            <w:r>
              <w:rPr>
                <w:rFonts w:ascii="Open Sans" w:hAnsi="Open Sans"/>
                <w:lang w:val="en-GB"/>
              </w:rPr>
              <w:t>5</w:t>
            </w:r>
            <w:r w:rsidR="00FE6288">
              <w:rPr>
                <w:rFonts w:ascii="Open Sans" w:hAnsi="Open Sans"/>
                <w:lang w:val="en-GB"/>
              </w:rPr>
              <w:t xml:space="preserve">0.5 </w:t>
            </w:r>
            <w:r>
              <w:rPr>
                <w:rFonts w:ascii="Open Sans" w:hAnsi="Open Sans"/>
                <w:lang w:val="en-GB"/>
              </w:rPr>
              <w:t>(</w:t>
            </w:r>
            <w:r w:rsidR="00FE6288">
              <w:rPr>
                <w:rFonts w:ascii="Open Sans" w:hAnsi="Open Sans"/>
                <w:lang w:val="en-GB"/>
              </w:rPr>
              <w:t>8.9</w:t>
            </w:r>
            <w:r>
              <w:rPr>
                <w:rFonts w:ascii="Open Sans" w:hAnsi="Open Sans"/>
                <w:lang w:val="en-GB"/>
              </w:rPr>
              <w:t>)</w:t>
            </w:r>
          </w:p>
        </w:tc>
        <w:tc>
          <w:tcPr>
            <w:tcW w:w="2120" w:type="dxa"/>
          </w:tcPr>
          <w:p w14:paraId="77B407D2" w14:textId="57D30874" w:rsidR="00125034" w:rsidRDefault="00FE6288">
            <w:pPr>
              <w:pStyle w:val="Standard"/>
              <w:rPr>
                <w:rFonts w:ascii="Open Sans" w:hAnsi="Open Sans"/>
                <w:lang w:val="en-GB"/>
              </w:rPr>
            </w:pPr>
            <w:r>
              <w:rPr>
                <w:rFonts w:ascii="Open Sans" w:hAnsi="Open Sans"/>
                <w:lang w:val="en-GB"/>
              </w:rPr>
              <w:t>50.8 (9.8)</w:t>
            </w:r>
          </w:p>
        </w:tc>
      </w:tr>
      <w:tr w:rsidR="00125034" w14:paraId="40B5F2BA" w14:textId="77777777" w:rsidTr="00125034">
        <w:tc>
          <w:tcPr>
            <w:tcW w:w="1555" w:type="dxa"/>
          </w:tcPr>
          <w:p w14:paraId="337C006F" w14:textId="5A3F7D66" w:rsidR="00125034" w:rsidRDefault="00125034">
            <w:pPr>
              <w:pStyle w:val="Standard"/>
              <w:rPr>
                <w:rFonts w:ascii="Open Sans" w:hAnsi="Open Sans"/>
                <w:lang w:val="en-GB"/>
              </w:rPr>
            </w:pPr>
            <w:r>
              <w:rPr>
                <w:rFonts w:ascii="Open Sans" w:hAnsi="Open Sans"/>
                <w:lang w:val="en-GB"/>
              </w:rPr>
              <w:t>4</w:t>
            </w:r>
          </w:p>
        </w:tc>
        <w:tc>
          <w:tcPr>
            <w:tcW w:w="3827" w:type="dxa"/>
          </w:tcPr>
          <w:p w14:paraId="37297426" w14:textId="73B16B42" w:rsidR="00125034" w:rsidRDefault="00125034">
            <w:pPr>
              <w:pStyle w:val="Standard"/>
              <w:rPr>
                <w:rFonts w:ascii="Open Sans" w:hAnsi="Open Sans"/>
                <w:lang w:val="en-GB"/>
              </w:rPr>
            </w:pPr>
            <w:r>
              <w:rPr>
                <w:rFonts w:ascii="Open Sans" w:hAnsi="Open Sans"/>
                <w:lang w:val="en-GB"/>
              </w:rPr>
              <w:t>F440 F470</w:t>
            </w:r>
          </w:p>
        </w:tc>
        <w:tc>
          <w:tcPr>
            <w:tcW w:w="2126" w:type="dxa"/>
          </w:tcPr>
          <w:p w14:paraId="4C5996C4" w14:textId="47B5DA9B" w:rsidR="00125034" w:rsidRDefault="00125034">
            <w:pPr>
              <w:pStyle w:val="Standard"/>
              <w:rPr>
                <w:rFonts w:ascii="Open Sans" w:hAnsi="Open Sans"/>
                <w:lang w:val="en-GB"/>
              </w:rPr>
            </w:pPr>
            <w:r>
              <w:rPr>
                <w:rFonts w:ascii="Open Sans" w:hAnsi="Open Sans"/>
                <w:lang w:val="en-GB"/>
              </w:rPr>
              <w:t>2</w:t>
            </w:r>
            <w:r w:rsidR="00FE6288">
              <w:rPr>
                <w:rFonts w:ascii="Open Sans" w:hAnsi="Open Sans"/>
                <w:lang w:val="en-GB"/>
              </w:rPr>
              <w:t>7.2</w:t>
            </w:r>
            <w:r>
              <w:rPr>
                <w:rFonts w:ascii="Open Sans" w:hAnsi="Open Sans"/>
                <w:lang w:val="en-GB"/>
              </w:rPr>
              <w:t xml:space="preserve"> (1</w:t>
            </w:r>
            <w:r w:rsidR="00FE6288">
              <w:rPr>
                <w:rFonts w:ascii="Open Sans" w:hAnsi="Open Sans"/>
                <w:lang w:val="en-GB"/>
              </w:rPr>
              <w:t>2.4</w:t>
            </w:r>
            <w:r>
              <w:rPr>
                <w:rFonts w:ascii="Open Sans" w:hAnsi="Open Sans"/>
                <w:lang w:val="en-GB"/>
              </w:rPr>
              <w:t>)</w:t>
            </w:r>
          </w:p>
        </w:tc>
        <w:tc>
          <w:tcPr>
            <w:tcW w:w="2120" w:type="dxa"/>
          </w:tcPr>
          <w:p w14:paraId="23F9C98D" w14:textId="66525A17" w:rsidR="00125034" w:rsidRDefault="00FE6288">
            <w:pPr>
              <w:pStyle w:val="Standard"/>
              <w:rPr>
                <w:rFonts w:ascii="Open Sans" w:hAnsi="Open Sans"/>
                <w:lang w:val="en-GB"/>
              </w:rPr>
            </w:pPr>
            <w:r>
              <w:rPr>
                <w:rFonts w:ascii="Open Sans" w:hAnsi="Open Sans"/>
                <w:lang w:val="en-GB"/>
              </w:rPr>
              <w:t>26.9 (11.5)</w:t>
            </w:r>
          </w:p>
        </w:tc>
      </w:tr>
      <w:tr w:rsidR="00125034" w14:paraId="31AB3E79" w14:textId="77777777" w:rsidTr="00125034">
        <w:tc>
          <w:tcPr>
            <w:tcW w:w="1555" w:type="dxa"/>
          </w:tcPr>
          <w:p w14:paraId="1F2D8E82" w14:textId="50BAA1EC" w:rsidR="00125034" w:rsidRDefault="00125034" w:rsidP="00125034">
            <w:pPr>
              <w:pStyle w:val="Standard"/>
              <w:rPr>
                <w:rFonts w:ascii="Open Sans" w:hAnsi="Open Sans"/>
                <w:lang w:val="en-GB"/>
              </w:rPr>
            </w:pPr>
            <w:r>
              <w:rPr>
                <w:rFonts w:ascii="Open Sans" w:hAnsi="Open Sans"/>
                <w:lang w:val="en-GB"/>
              </w:rPr>
              <w:t>3</w:t>
            </w:r>
          </w:p>
        </w:tc>
        <w:tc>
          <w:tcPr>
            <w:tcW w:w="3827" w:type="dxa"/>
          </w:tcPr>
          <w:p w14:paraId="31C0C8E6" w14:textId="5716AE3E" w:rsidR="00125034" w:rsidRDefault="00125034" w:rsidP="00125034">
            <w:pPr>
              <w:pStyle w:val="Standard"/>
              <w:rPr>
                <w:rFonts w:ascii="Open Sans" w:hAnsi="Open Sans"/>
                <w:lang w:val="en-GB"/>
              </w:rPr>
            </w:pPr>
            <w:r>
              <w:rPr>
                <w:rFonts w:ascii="Open Sans" w:hAnsi="Open Sans"/>
                <w:lang w:val="en-GB"/>
              </w:rPr>
              <w:t>F440 F470 F532 BBP CP</w:t>
            </w:r>
          </w:p>
        </w:tc>
        <w:tc>
          <w:tcPr>
            <w:tcW w:w="2126" w:type="dxa"/>
          </w:tcPr>
          <w:p w14:paraId="4BE7F7D2" w14:textId="70A20FB3" w:rsidR="00125034" w:rsidRDefault="007162D8" w:rsidP="00125034">
            <w:pPr>
              <w:pStyle w:val="Standard"/>
              <w:rPr>
                <w:rFonts w:ascii="Open Sans" w:hAnsi="Open Sans"/>
                <w:lang w:val="en-GB"/>
              </w:rPr>
            </w:pPr>
            <w:r>
              <w:rPr>
                <w:rFonts w:ascii="Open Sans" w:hAnsi="Open Sans"/>
                <w:lang w:val="en-GB"/>
              </w:rPr>
              <w:t>76</w:t>
            </w:r>
            <w:r w:rsidR="00125034">
              <w:rPr>
                <w:rFonts w:ascii="Open Sans" w:hAnsi="Open Sans"/>
                <w:lang w:val="en-GB"/>
              </w:rPr>
              <w:t xml:space="preserve"> (7.</w:t>
            </w:r>
            <w:r>
              <w:rPr>
                <w:rFonts w:ascii="Open Sans" w:hAnsi="Open Sans"/>
                <w:lang w:val="en-GB"/>
              </w:rPr>
              <w:t>9</w:t>
            </w:r>
            <w:r w:rsidR="00125034">
              <w:rPr>
                <w:rFonts w:ascii="Open Sans" w:hAnsi="Open Sans"/>
                <w:lang w:val="en-GB"/>
              </w:rPr>
              <w:t>)</w:t>
            </w:r>
          </w:p>
        </w:tc>
        <w:tc>
          <w:tcPr>
            <w:tcW w:w="2120" w:type="dxa"/>
          </w:tcPr>
          <w:p w14:paraId="1D1B0C15" w14:textId="1840B269" w:rsidR="00125034" w:rsidRDefault="007162D8" w:rsidP="00125034">
            <w:pPr>
              <w:pStyle w:val="Standard"/>
              <w:rPr>
                <w:rFonts w:ascii="Open Sans" w:hAnsi="Open Sans"/>
                <w:lang w:val="en-GB"/>
              </w:rPr>
            </w:pPr>
            <w:r>
              <w:rPr>
                <w:rFonts w:ascii="Open Sans" w:hAnsi="Open Sans"/>
                <w:lang w:val="en-GB"/>
              </w:rPr>
              <w:t>77.2 (8.2)</w:t>
            </w:r>
          </w:p>
        </w:tc>
      </w:tr>
      <w:tr w:rsidR="00CB2C7C" w14:paraId="51747FDB" w14:textId="77777777" w:rsidTr="00125034">
        <w:tc>
          <w:tcPr>
            <w:tcW w:w="1555" w:type="dxa"/>
          </w:tcPr>
          <w:p w14:paraId="36692C14" w14:textId="7D59D536" w:rsidR="00CB2C7C" w:rsidRDefault="00CB2C7C" w:rsidP="00125034">
            <w:pPr>
              <w:pStyle w:val="Standard"/>
              <w:rPr>
                <w:rFonts w:ascii="Open Sans" w:hAnsi="Open Sans"/>
                <w:lang w:val="en-GB"/>
              </w:rPr>
            </w:pPr>
            <w:r>
              <w:rPr>
                <w:rFonts w:ascii="Open Sans" w:hAnsi="Open Sans"/>
                <w:lang w:val="en-GB"/>
              </w:rPr>
              <w:t>3</w:t>
            </w:r>
          </w:p>
        </w:tc>
        <w:tc>
          <w:tcPr>
            <w:tcW w:w="3827" w:type="dxa"/>
          </w:tcPr>
          <w:p w14:paraId="7BCCC464" w14:textId="5502E02C" w:rsidR="00CB2C7C" w:rsidRDefault="00CB2C7C" w:rsidP="00125034">
            <w:pPr>
              <w:pStyle w:val="Standard"/>
              <w:rPr>
                <w:rFonts w:ascii="Open Sans" w:hAnsi="Open Sans"/>
                <w:lang w:val="en-GB"/>
              </w:rPr>
            </w:pPr>
            <w:r>
              <w:rPr>
                <w:rFonts w:ascii="Open Sans" w:hAnsi="Open Sans"/>
                <w:lang w:val="en-GB"/>
              </w:rPr>
              <w:t>F440 F470 BBP CP</w:t>
            </w:r>
          </w:p>
        </w:tc>
        <w:tc>
          <w:tcPr>
            <w:tcW w:w="2126" w:type="dxa"/>
          </w:tcPr>
          <w:p w14:paraId="79973B51" w14:textId="01C48B7C" w:rsidR="00CB2C7C" w:rsidRDefault="00CB2C7C" w:rsidP="00125034">
            <w:pPr>
              <w:pStyle w:val="Standard"/>
              <w:rPr>
                <w:rFonts w:ascii="Open Sans" w:hAnsi="Open Sans"/>
                <w:lang w:val="en-GB"/>
              </w:rPr>
            </w:pPr>
            <w:r>
              <w:rPr>
                <w:rFonts w:ascii="Open Sans" w:hAnsi="Open Sans"/>
                <w:lang w:val="en-GB"/>
              </w:rPr>
              <w:t>72.9 (10.1)</w:t>
            </w:r>
          </w:p>
        </w:tc>
        <w:tc>
          <w:tcPr>
            <w:tcW w:w="2120" w:type="dxa"/>
          </w:tcPr>
          <w:p w14:paraId="39CB9088" w14:textId="333B58B0" w:rsidR="00CB2C7C" w:rsidRDefault="00CB2C7C" w:rsidP="00125034">
            <w:pPr>
              <w:pStyle w:val="Standard"/>
              <w:rPr>
                <w:rFonts w:ascii="Open Sans" w:hAnsi="Open Sans"/>
                <w:lang w:val="en-GB"/>
              </w:rPr>
            </w:pPr>
            <w:r>
              <w:rPr>
                <w:rFonts w:ascii="Open Sans" w:hAnsi="Open Sans"/>
                <w:lang w:val="en-GB"/>
              </w:rPr>
              <w:t>72.8 (10.7)</w:t>
            </w:r>
          </w:p>
        </w:tc>
      </w:tr>
      <w:tr w:rsidR="00125034" w14:paraId="61249E4E" w14:textId="77777777" w:rsidTr="00125034">
        <w:tc>
          <w:tcPr>
            <w:tcW w:w="1555" w:type="dxa"/>
          </w:tcPr>
          <w:p w14:paraId="11886E51" w14:textId="22E2BBD8" w:rsidR="00125034" w:rsidRDefault="00125034" w:rsidP="00125034">
            <w:pPr>
              <w:pStyle w:val="Standard"/>
              <w:rPr>
                <w:rFonts w:ascii="Open Sans" w:hAnsi="Open Sans"/>
                <w:lang w:val="en-GB"/>
              </w:rPr>
            </w:pPr>
            <w:r>
              <w:rPr>
                <w:rFonts w:ascii="Open Sans" w:hAnsi="Open Sans"/>
                <w:lang w:val="en-GB"/>
              </w:rPr>
              <w:t>3</w:t>
            </w:r>
          </w:p>
        </w:tc>
        <w:tc>
          <w:tcPr>
            <w:tcW w:w="3827" w:type="dxa"/>
          </w:tcPr>
          <w:p w14:paraId="39FCE268" w14:textId="64ACFD0A" w:rsidR="00125034" w:rsidRDefault="00125034" w:rsidP="00125034">
            <w:pPr>
              <w:pStyle w:val="Standard"/>
              <w:rPr>
                <w:rFonts w:ascii="Open Sans" w:hAnsi="Open Sans"/>
                <w:lang w:val="en-GB"/>
              </w:rPr>
            </w:pPr>
            <w:r>
              <w:rPr>
                <w:rFonts w:ascii="Open Sans" w:hAnsi="Open Sans"/>
                <w:lang w:val="en-GB"/>
              </w:rPr>
              <w:t>F440 F470 F532 BBP</w:t>
            </w:r>
          </w:p>
        </w:tc>
        <w:tc>
          <w:tcPr>
            <w:tcW w:w="2126" w:type="dxa"/>
          </w:tcPr>
          <w:p w14:paraId="35868679" w14:textId="450D9560" w:rsidR="00125034" w:rsidRDefault="007162D8" w:rsidP="00125034">
            <w:pPr>
              <w:pStyle w:val="Standard"/>
              <w:rPr>
                <w:rFonts w:ascii="Open Sans" w:hAnsi="Open Sans"/>
                <w:lang w:val="en-GB"/>
              </w:rPr>
            </w:pPr>
            <w:r>
              <w:rPr>
                <w:rFonts w:ascii="Open Sans" w:hAnsi="Open Sans"/>
                <w:lang w:val="en-GB"/>
              </w:rPr>
              <w:t xml:space="preserve">63.3 </w:t>
            </w:r>
            <w:r w:rsidR="00125034">
              <w:rPr>
                <w:rFonts w:ascii="Open Sans" w:hAnsi="Open Sans"/>
                <w:lang w:val="en-GB"/>
              </w:rPr>
              <w:t>(</w:t>
            </w:r>
            <w:r>
              <w:rPr>
                <w:rFonts w:ascii="Open Sans" w:hAnsi="Open Sans"/>
                <w:lang w:val="en-GB"/>
              </w:rPr>
              <w:t>10.7</w:t>
            </w:r>
            <w:r w:rsidR="00125034">
              <w:rPr>
                <w:rFonts w:ascii="Open Sans" w:hAnsi="Open Sans"/>
                <w:lang w:val="en-GB"/>
              </w:rPr>
              <w:t>)</w:t>
            </w:r>
          </w:p>
        </w:tc>
        <w:tc>
          <w:tcPr>
            <w:tcW w:w="2120" w:type="dxa"/>
          </w:tcPr>
          <w:p w14:paraId="04E1AFDF" w14:textId="345BD536" w:rsidR="00125034" w:rsidRDefault="007162D8" w:rsidP="00125034">
            <w:pPr>
              <w:pStyle w:val="Standard"/>
              <w:rPr>
                <w:rFonts w:ascii="Open Sans" w:hAnsi="Open Sans"/>
                <w:lang w:val="en-GB"/>
              </w:rPr>
            </w:pPr>
            <w:r>
              <w:rPr>
                <w:rFonts w:ascii="Open Sans" w:hAnsi="Open Sans"/>
                <w:lang w:val="en-GB"/>
              </w:rPr>
              <w:t>63.7 (9.6)</w:t>
            </w:r>
          </w:p>
        </w:tc>
      </w:tr>
      <w:tr w:rsidR="00125034" w14:paraId="385F29AE" w14:textId="77777777" w:rsidTr="00125034">
        <w:tc>
          <w:tcPr>
            <w:tcW w:w="1555" w:type="dxa"/>
          </w:tcPr>
          <w:p w14:paraId="54D9FB30" w14:textId="6F4D1087" w:rsidR="00125034" w:rsidRDefault="00125034" w:rsidP="00125034">
            <w:pPr>
              <w:pStyle w:val="Standard"/>
              <w:rPr>
                <w:rFonts w:ascii="Open Sans" w:hAnsi="Open Sans"/>
                <w:lang w:val="en-GB"/>
              </w:rPr>
            </w:pPr>
            <w:r>
              <w:rPr>
                <w:rFonts w:ascii="Open Sans" w:hAnsi="Open Sans"/>
                <w:lang w:val="en-GB"/>
              </w:rPr>
              <w:t>3</w:t>
            </w:r>
          </w:p>
        </w:tc>
        <w:tc>
          <w:tcPr>
            <w:tcW w:w="3827" w:type="dxa"/>
          </w:tcPr>
          <w:p w14:paraId="49864D02" w14:textId="34F744A1" w:rsidR="00125034" w:rsidRDefault="00125034" w:rsidP="00125034">
            <w:pPr>
              <w:pStyle w:val="Standard"/>
              <w:rPr>
                <w:rFonts w:ascii="Open Sans" w:hAnsi="Open Sans"/>
                <w:lang w:val="en-GB"/>
              </w:rPr>
            </w:pPr>
            <w:r>
              <w:rPr>
                <w:rFonts w:ascii="Open Sans" w:hAnsi="Open Sans"/>
                <w:lang w:val="en-GB"/>
              </w:rPr>
              <w:t>F440 F470 BBP</w:t>
            </w:r>
          </w:p>
        </w:tc>
        <w:tc>
          <w:tcPr>
            <w:tcW w:w="2126" w:type="dxa"/>
          </w:tcPr>
          <w:p w14:paraId="40452722" w14:textId="38D91817" w:rsidR="00125034" w:rsidRDefault="007162D8" w:rsidP="00125034">
            <w:pPr>
              <w:pStyle w:val="Standard"/>
              <w:rPr>
                <w:rFonts w:ascii="Open Sans" w:hAnsi="Open Sans"/>
                <w:lang w:val="en-GB"/>
              </w:rPr>
            </w:pPr>
            <w:r>
              <w:rPr>
                <w:rFonts w:ascii="Open Sans" w:hAnsi="Open Sans"/>
                <w:lang w:val="en-GB"/>
              </w:rPr>
              <w:t>55</w:t>
            </w:r>
            <w:r w:rsidR="00125034">
              <w:rPr>
                <w:rFonts w:ascii="Open Sans" w:hAnsi="Open Sans"/>
                <w:lang w:val="en-GB"/>
              </w:rPr>
              <w:t xml:space="preserve"> (1</w:t>
            </w:r>
            <w:r>
              <w:rPr>
                <w:rFonts w:ascii="Open Sans" w:hAnsi="Open Sans"/>
                <w:lang w:val="en-GB"/>
              </w:rPr>
              <w:t>0.7</w:t>
            </w:r>
            <w:r w:rsidR="00125034">
              <w:rPr>
                <w:rFonts w:ascii="Open Sans" w:hAnsi="Open Sans"/>
                <w:lang w:val="en-GB"/>
              </w:rPr>
              <w:t>)</w:t>
            </w:r>
          </w:p>
        </w:tc>
        <w:tc>
          <w:tcPr>
            <w:tcW w:w="2120" w:type="dxa"/>
          </w:tcPr>
          <w:p w14:paraId="37FB2249" w14:textId="41F44EED" w:rsidR="00125034" w:rsidRDefault="007162D8" w:rsidP="00125034">
            <w:pPr>
              <w:pStyle w:val="Standard"/>
              <w:rPr>
                <w:rFonts w:ascii="Open Sans" w:hAnsi="Open Sans"/>
                <w:lang w:val="en-GB"/>
              </w:rPr>
            </w:pPr>
            <w:r>
              <w:rPr>
                <w:rFonts w:ascii="Open Sans" w:hAnsi="Open Sans"/>
                <w:lang w:val="en-GB"/>
              </w:rPr>
              <w:t>55.6 (10.2)</w:t>
            </w:r>
          </w:p>
        </w:tc>
      </w:tr>
      <w:tr w:rsidR="00125034" w14:paraId="02551A18" w14:textId="77777777" w:rsidTr="00125034">
        <w:tc>
          <w:tcPr>
            <w:tcW w:w="1555" w:type="dxa"/>
          </w:tcPr>
          <w:p w14:paraId="1308BCB0" w14:textId="7A7FFAAF" w:rsidR="00125034" w:rsidRDefault="00125034" w:rsidP="00125034">
            <w:pPr>
              <w:pStyle w:val="Standard"/>
              <w:rPr>
                <w:rFonts w:ascii="Open Sans" w:hAnsi="Open Sans"/>
                <w:lang w:val="en-GB"/>
              </w:rPr>
            </w:pPr>
            <w:r>
              <w:rPr>
                <w:rFonts w:ascii="Open Sans" w:hAnsi="Open Sans"/>
                <w:lang w:val="en-GB"/>
              </w:rPr>
              <w:t>3</w:t>
            </w:r>
          </w:p>
        </w:tc>
        <w:tc>
          <w:tcPr>
            <w:tcW w:w="3827" w:type="dxa"/>
          </w:tcPr>
          <w:p w14:paraId="513B5FF0" w14:textId="513C5DDF" w:rsidR="00125034" w:rsidRDefault="00125034" w:rsidP="00125034">
            <w:pPr>
              <w:pStyle w:val="Standard"/>
              <w:rPr>
                <w:rFonts w:ascii="Open Sans" w:hAnsi="Open Sans"/>
                <w:lang w:val="en-GB"/>
              </w:rPr>
            </w:pPr>
            <w:r>
              <w:rPr>
                <w:rFonts w:ascii="Open Sans" w:hAnsi="Open Sans"/>
                <w:lang w:val="en-GB"/>
              </w:rPr>
              <w:t>F440 F470</w:t>
            </w:r>
          </w:p>
        </w:tc>
        <w:tc>
          <w:tcPr>
            <w:tcW w:w="2126" w:type="dxa"/>
          </w:tcPr>
          <w:p w14:paraId="6DDC5646" w14:textId="401675DF" w:rsidR="00125034" w:rsidRDefault="007162D8" w:rsidP="00125034">
            <w:pPr>
              <w:pStyle w:val="Standard"/>
              <w:rPr>
                <w:rFonts w:ascii="Open Sans" w:hAnsi="Open Sans"/>
                <w:lang w:val="en-GB"/>
              </w:rPr>
            </w:pPr>
            <w:r>
              <w:rPr>
                <w:rFonts w:ascii="Open Sans" w:hAnsi="Open Sans"/>
                <w:lang w:val="en-GB"/>
              </w:rPr>
              <w:t>51.9</w:t>
            </w:r>
            <w:r w:rsidR="00125034">
              <w:rPr>
                <w:rFonts w:ascii="Open Sans" w:hAnsi="Open Sans"/>
                <w:lang w:val="en-GB"/>
              </w:rPr>
              <w:t xml:space="preserve"> (10</w:t>
            </w:r>
            <w:r>
              <w:rPr>
                <w:rFonts w:ascii="Open Sans" w:hAnsi="Open Sans"/>
                <w:lang w:val="en-GB"/>
              </w:rPr>
              <w:t>.5</w:t>
            </w:r>
            <w:r w:rsidR="00125034">
              <w:rPr>
                <w:rFonts w:ascii="Open Sans" w:hAnsi="Open Sans"/>
                <w:lang w:val="en-GB"/>
              </w:rPr>
              <w:t>)</w:t>
            </w:r>
          </w:p>
        </w:tc>
        <w:tc>
          <w:tcPr>
            <w:tcW w:w="2120" w:type="dxa"/>
          </w:tcPr>
          <w:p w14:paraId="38E69E56" w14:textId="0DDDD3F2" w:rsidR="00125034" w:rsidRDefault="007162D8" w:rsidP="00125034">
            <w:pPr>
              <w:pStyle w:val="Standard"/>
              <w:rPr>
                <w:rFonts w:ascii="Open Sans" w:hAnsi="Open Sans"/>
                <w:lang w:val="en-GB"/>
              </w:rPr>
            </w:pPr>
            <w:r>
              <w:rPr>
                <w:rFonts w:ascii="Open Sans" w:hAnsi="Open Sans"/>
                <w:lang w:val="en-GB"/>
              </w:rPr>
              <w:t>51.9 (10.8)</w:t>
            </w:r>
          </w:p>
        </w:tc>
      </w:tr>
      <w:tr w:rsidR="00125034" w14:paraId="28068473" w14:textId="77777777" w:rsidTr="00125034">
        <w:tc>
          <w:tcPr>
            <w:tcW w:w="1555" w:type="dxa"/>
          </w:tcPr>
          <w:p w14:paraId="07B87B1C" w14:textId="1AC0FE4B" w:rsidR="00125034" w:rsidRDefault="00125034" w:rsidP="00125034">
            <w:pPr>
              <w:pStyle w:val="Standard"/>
              <w:rPr>
                <w:rFonts w:ascii="Open Sans" w:hAnsi="Open Sans"/>
                <w:lang w:val="en-GB"/>
              </w:rPr>
            </w:pPr>
            <w:r>
              <w:rPr>
                <w:rFonts w:ascii="Open Sans" w:hAnsi="Open Sans"/>
                <w:lang w:val="en-GB"/>
              </w:rPr>
              <w:t>2</w:t>
            </w:r>
          </w:p>
        </w:tc>
        <w:tc>
          <w:tcPr>
            <w:tcW w:w="3827" w:type="dxa"/>
          </w:tcPr>
          <w:p w14:paraId="4B57A103" w14:textId="1952F36C" w:rsidR="00125034" w:rsidRDefault="00125034" w:rsidP="00125034">
            <w:pPr>
              <w:pStyle w:val="Standard"/>
              <w:rPr>
                <w:rFonts w:ascii="Open Sans" w:hAnsi="Open Sans"/>
                <w:lang w:val="en-GB"/>
              </w:rPr>
            </w:pPr>
            <w:r>
              <w:rPr>
                <w:rFonts w:ascii="Open Sans" w:hAnsi="Open Sans"/>
                <w:lang w:val="en-GB"/>
              </w:rPr>
              <w:t>F440 F470 F532 BBP CP</w:t>
            </w:r>
          </w:p>
        </w:tc>
        <w:tc>
          <w:tcPr>
            <w:tcW w:w="2126" w:type="dxa"/>
          </w:tcPr>
          <w:p w14:paraId="7BC8C0A2" w14:textId="5E5F279E" w:rsidR="00125034" w:rsidRDefault="00125034" w:rsidP="00125034">
            <w:pPr>
              <w:pStyle w:val="Standard"/>
              <w:rPr>
                <w:rFonts w:ascii="Open Sans" w:hAnsi="Open Sans"/>
                <w:lang w:val="en-GB"/>
              </w:rPr>
            </w:pPr>
            <w:r>
              <w:rPr>
                <w:rFonts w:ascii="Open Sans" w:hAnsi="Open Sans"/>
                <w:lang w:val="en-GB"/>
              </w:rPr>
              <w:t>7</w:t>
            </w:r>
            <w:r w:rsidR="007162D8">
              <w:rPr>
                <w:rFonts w:ascii="Open Sans" w:hAnsi="Open Sans"/>
                <w:lang w:val="en-GB"/>
              </w:rPr>
              <w:t>8</w:t>
            </w:r>
            <w:r>
              <w:rPr>
                <w:rFonts w:ascii="Open Sans" w:hAnsi="Open Sans"/>
                <w:lang w:val="en-GB"/>
              </w:rPr>
              <w:t>.</w:t>
            </w:r>
            <w:r w:rsidR="00CB2C7C">
              <w:rPr>
                <w:rFonts w:ascii="Open Sans" w:hAnsi="Open Sans"/>
                <w:lang w:val="en-GB"/>
              </w:rPr>
              <w:t>5</w:t>
            </w:r>
            <w:r>
              <w:rPr>
                <w:rFonts w:ascii="Open Sans" w:hAnsi="Open Sans"/>
                <w:lang w:val="en-GB"/>
              </w:rPr>
              <w:t xml:space="preserve"> (</w:t>
            </w:r>
            <w:r w:rsidR="007162D8">
              <w:rPr>
                <w:rFonts w:ascii="Open Sans" w:hAnsi="Open Sans"/>
                <w:lang w:val="en-GB"/>
              </w:rPr>
              <w:t>1</w:t>
            </w:r>
            <w:r w:rsidR="00CB2C7C">
              <w:rPr>
                <w:rFonts w:ascii="Open Sans" w:hAnsi="Open Sans"/>
                <w:lang w:val="en-GB"/>
              </w:rPr>
              <w:t>4.8</w:t>
            </w:r>
            <w:r>
              <w:rPr>
                <w:rFonts w:ascii="Open Sans" w:hAnsi="Open Sans"/>
                <w:lang w:val="en-GB"/>
              </w:rPr>
              <w:t>)</w:t>
            </w:r>
          </w:p>
        </w:tc>
        <w:tc>
          <w:tcPr>
            <w:tcW w:w="2120" w:type="dxa"/>
          </w:tcPr>
          <w:p w14:paraId="5F93112B" w14:textId="104E72CB" w:rsidR="00125034" w:rsidRDefault="007162D8" w:rsidP="00125034">
            <w:pPr>
              <w:pStyle w:val="Standard"/>
              <w:rPr>
                <w:rFonts w:ascii="Open Sans" w:hAnsi="Open Sans"/>
                <w:lang w:val="en-GB"/>
              </w:rPr>
            </w:pPr>
            <w:r>
              <w:rPr>
                <w:rFonts w:ascii="Open Sans" w:hAnsi="Open Sans"/>
                <w:lang w:val="en-GB"/>
              </w:rPr>
              <w:t>7</w:t>
            </w:r>
            <w:r w:rsidR="00CB2C7C">
              <w:rPr>
                <w:rFonts w:ascii="Open Sans" w:hAnsi="Open Sans"/>
                <w:lang w:val="en-GB"/>
              </w:rPr>
              <w:t>8.1</w:t>
            </w:r>
            <w:r>
              <w:rPr>
                <w:rFonts w:ascii="Open Sans" w:hAnsi="Open Sans"/>
                <w:lang w:val="en-GB"/>
              </w:rPr>
              <w:t xml:space="preserve"> (1</w:t>
            </w:r>
            <w:r w:rsidR="00CB2C7C">
              <w:rPr>
                <w:rFonts w:ascii="Open Sans" w:hAnsi="Open Sans"/>
                <w:lang w:val="en-GB"/>
              </w:rPr>
              <w:t>4</w:t>
            </w:r>
            <w:r>
              <w:rPr>
                <w:rFonts w:ascii="Open Sans" w:hAnsi="Open Sans"/>
                <w:lang w:val="en-GB"/>
              </w:rPr>
              <w:t>.</w:t>
            </w:r>
            <w:r w:rsidR="00CB2C7C">
              <w:rPr>
                <w:rFonts w:ascii="Open Sans" w:hAnsi="Open Sans"/>
                <w:lang w:val="en-GB"/>
              </w:rPr>
              <w:t>2</w:t>
            </w:r>
            <w:r>
              <w:rPr>
                <w:rFonts w:ascii="Open Sans" w:hAnsi="Open Sans"/>
                <w:lang w:val="en-GB"/>
              </w:rPr>
              <w:t>)</w:t>
            </w:r>
          </w:p>
        </w:tc>
      </w:tr>
      <w:tr w:rsidR="00CB2C7C" w14:paraId="20AE1161" w14:textId="77777777" w:rsidTr="00125034">
        <w:tc>
          <w:tcPr>
            <w:tcW w:w="1555" w:type="dxa"/>
          </w:tcPr>
          <w:p w14:paraId="414380E7" w14:textId="50DD6D3C" w:rsidR="00CB2C7C" w:rsidRDefault="00CB2C7C" w:rsidP="00125034">
            <w:pPr>
              <w:pStyle w:val="Standard"/>
              <w:rPr>
                <w:rFonts w:ascii="Open Sans" w:hAnsi="Open Sans"/>
                <w:lang w:val="en-GB"/>
              </w:rPr>
            </w:pPr>
            <w:r>
              <w:rPr>
                <w:rFonts w:ascii="Open Sans" w:hAnsi="Open Sans"/>
                <w:lang w:val="en-GB"/>
              </w:rPr>
              <w:t>2</w:t>
            </w:r>
          </w:p>
        </w:tc>
        <w:tc>
          <w:tcPr>
            <w:tcW w:w="3827" w:type="dxa"/>
          </w:tcPr>
          <w:p w14:paraId="55B4F762" w14:textId="792D7E1F" w:rsidR="00CB2C7C" w:rsidRDefault="00CB2C7C" w:rsidP="00125034">
            <w:pPr>
              <w:pStyle w:val="Standard"/>
              <w:rPr>
                <w:rFonts w:ascii="Open Sans" w:hAnsi="Open Sans"/>
                <w:lang w:val="en-GB"/>
              </w:rPr>
            </w:pPr>
            <w:r>
              <w:rPr>
                <w:rFonts w:ascii="Open Sans" w:hAnsi="Open Sans"/>
                <w:lang w:val="en-GB"/>
              </w:rPr>
              <w:t>F440 F470 BBP CP</w:t>
            </w:r>
          </w:p>
        </w:tc>
        <w:tc>
          <w:tcPr>
            <w:tcW w:w="2126" w:type="dxa"/>
          </w:tcPr>
          <w:p w14:paraId="1A833FCC" w14:textId="02D16C67" w:rsidR="00CB2C7C" w:rsidRDefault="00CB2C7C" w:rsidP="00125034">
            <w:pPr>
              <w:pStyle w:val="Standard"/>
              <w:rPr>
                <w:rFonts w:ascii="Open Sans" w:hAnsi="Open Sans"/>
                <w:lang w:val="en-GB"/>
              </w:rPr>
            </w:pPr>
            <w:r>
              <w:rPr>
                <w:rFonts w:ascii="Open Sans" w:hAnsi="Open Sans"/>
                <w:lang w:val="en-GB"/>
              </w:rPr>
              <w:t>77.7 (14.5)</w:t>
            </w:r>
          </w:p>
        </w:tc>
        <w:tc>
          <w:tcPr>
            <w:tcW w:w="2120" w:type="dxa"/>
          </w:tcPr>
          <w:p w14:paraId="38333CBE" w14:textId="415DE977" w:rsidR="00CB2C7C" w:rsidRDefault="00CB2C7C" w:rsidP="00125034">
            <w:pPr>
              <w:pStyle w:val="Standard"/>
              <w:rPr>
                <w:rFonts w:ascii="Open Sans" w:hAnsi="Open Sans"/>
                <w:lang w:val="en-GB"/>
              </w:rPr>
            </w:pPr>
            <w:r>
              <w:rPr>
                <w:rFonts w:ascii="Open Sans" w:hAnsi="Open Sans"/>
                <w:lang w:val="en-GB"/>
              </w:rPr>
              <w:t>78.6 (13.2)</w:t>
            </w:r>
          </w:p>
        </w:tc>
      </w:tr>
      <w:tr w:rsidR="00125034" w14:paraId="5FB53421" w14:textId="77777777" w:rsidTr="00125034">
        <w:tc>
          <w:tcPr>
            <w:tcW w:w="1555" w:type="dxa"/>
          </w:tcPr>
          <w:p w14:paraId="04EA9A33" w14:textId="78E83A51" w:rsidR="00125034" w:rsidRDefault="00125034" w:rsidP="00125034">
            <w:pPr>
              <w:pStyle w:val="Standard"/>
              <w:rPr>
                <w:rFonts w:ascii="Open Sans" w:hAnsi="Open Sans"/>
                <w:lang w:val="en-GB"/>
              </w:rPr>
            </w:pPr>
            <w:r>
              <w:rPr>
                <w:rFonts w:ascii="Open Sans" w:hAnsi="Open Sans"/>
                <w:lang w:val="en-GB"/>
              </w:rPr>
              <w:t>2</w:t>
            </w:r>
          </w:p>
        </w:tc>
        <w:tc>
          <w:tcPr>
            <w:tcW w:w="3827" w:type="dxa"/>
          </w:tcPr>
          <w:p w14:paraId="372A437C" w14:textId="6B2FB473" w:rsidR="00125034" w:rsidRDefault="00125034" w:rsidP="00125034">
            <w:pPr>
              <w:pStyle w:val="Standard"/>
              <w:rPr>
                <w:rFonts w:ascii="Open Sans" w:hAnsi="Open Sans"/>
                <w:lang w:val="en-GB"/>
              </w:rPr>
            </w:pPr>
            <w:r>
              <w:rPr>
                <w:rFonts w:ascii="Open Sans" w:hAnsi="Open Sans"/>
                <w:lang w:val="en-GB"/>
              </w:rPr>
              <w:t>F440 F470 F532 BBP</w:t>
            </w:r>
          </w:p>
        </w:tc>
        <w:tc>
          <w:tcPr>
            <w:tcW w:w="2126" w:type="dxa"/>
          </w:tcPr>
          <w:p w14:paraId="6B6BC549" w14:textId="488C6F66" w:rsidR="00125034" w:rsidRDefault="007162D8" w:rsidP="00125034">
            <w:pPr>
              <w:pStyle w:val="Standard"/>
              <w:rPr>
                <w:rFonts w:ascii="Open Sans" w:hAnsi="Open Sans"/>
                <w:lang w:val="en-GB"/>
              </w:rPr>
            </w:pPr>
            <w:r>
              <w:rPr>
                <w:rFonts w:ascii="Open Sans" w:hAnsi="Open Sans"/>
                <w:lang w:val="en-GB"/>
              </w:rPr>
              <w:t>63.7</w:t>
            </w:r>
            <w:r w:rsidR="00125034">
              <w:rPr>
                <w:rFonts w:ascii="Open Sans" w:hAnsi="Open Sans"/>
                <w:lang w:val="en-GB"/>
              </w:rPr>
              <w:t xml:space="preserve"> (</w:t>
            </w:r>
            <w:r>
              <w:rPr>
                <w:rFonts w:ascii="Open Sans" w:hAnsi="Open Sans"/>
                <w:lang w:val="en-GB"/>
              </w:rPr>
              <w:t>15.4</w:t>
            </w:r>
            <w:r w:rsidR="00125034">
              <w:rPr>
                <w:rFonts w:ascii="Open Sans" w:hAnsi="Open Sans"/>
                <w:lang w:val="en-GB"/>
              </w:rPr>
              <w:t>)</w:t>
            </w:r>
          </w:p>
        </w:tc>
        <w:tc>
          <w:tcPr>
            <w:tcW w:w="2120" w:type="dxa"/>
          </w:tcPr>
          <w:p w14:paraId="207C682C" w14:textId="1B368C81" w:rsidR="00125034" w:rsidRDefault="007162D8" w:rsidP="00125034">
            <w:pPr>
              <w:pStyle w:val="Standard"/>
              <w:rPr>
                <w:rFonts w:ascii="Open Sans" w:hAnsi="Open Sans"/>
                <w:lang w:val="en-GB"/>
              </w:rPr>
            </w:pPr>
            <w:r>
              <w:rPr>
                <w:rFonts w:ascii="Open Sans" w:hAnsi="Open Sans"/>
                <w:lang w:val="en-GB"/>
              </w:rPr>
              <w:t>65.5 (14.8)</w:t>
            </w:r>
          </w:p>
        </w:tc>
      </w:tr>
      <w:tr w:rsidR="00125034" w14:paraId="45BF025C" w14:textId="77777777" w:rsidTr="00125034">
        <w:tc>
          <w:tcPr>
            <w:tcW w:w="1555" w:type="dxa"/>
          </w:tcPr>
          <w:p w14:paraId="41EDF347" w14:textId="001222AD" w:rsidR="00125034" w:rsidRDefault="00125034" w:rsidP="00125034">
            <w:pPr>
              <w:pStyle w:val="Standard"/>
              <w:rPr>
                <w:rFonts w:ascii="Open Sans" w:hAnsi="Open Sans"/>
                <w:lang w:val="en-GB"/>
              </w:rPr>
            </w:pPr>
            <w:r>
              <w:rPr>
                <w:rFonts w:ascii="Open Sans" w:hAnsi="Open Sans"/>
                <w:lang w:val="en-GB"/>
              </w:rPr>
              <w:t>2</w:t>
            </w:r>
          </w:p>
        </w:tc>
        <w:tc>
          <w:tcPr>
            <w:tcW w:w="3827" w:type="dxa"/>
          </w:tcPr>
          <w:p w14:paraId="609AC47B" w14:textId="3FF2DD52" w:rsidR="00125034" w:rsidRDefault="00125034" w:rsidP="00125034">
            <w:pPr>
              <w:pStyle w:val="Standard"/>
              <w:rPr>
                <w:rFonts w:ascii="Open Sans" w:hAnsi="Open Sans"/>
                <w:lang w:val="en-GB"/>
              </w:rPr>
            </w:pPr>
            <w:r>
              <w:rPr>
                <w:rFonts w:ascii="Open Sans" w:hAnsi="Open Sans"/>
                <w:lang w:val="en-GB"/>
              </w:rPr>
              <w:t>F440 F470 BBP</w:t>
            </w:r>
          </w:p>
        </w:tc>
        <w:tc>
          <w:tcPr>
            <w:tcW w:w="2126" w:type="dxa"/>
          </w:tcPr>
          <w:p w14:paraId="2C708CC9" w14:textId="1AEF570F" w:rsidR="00125034" w:rsidRDefault="007162D8" w:rsidP="00125034">
            <w:pPr>
              <w:pStyle w:val="Standard"/>
              <w:rPr>
                <w:rFonts w:ascii="Open Sans" w:hAnsi="Open Sans"/>
                <w:lang w:val="en-GB"/>
              </w:rPr>
            </w:pPr>
            <w:r>
              <w:rPr>
                <w:rFonts w:ascii="Open Sans" w:hAnsi="Open Sans"/>
                <w:lang w:val="en-GB"/>
              </w:rPr>
              <w:t>69</w:t>
            </w:r>
            <w:r w:rsidR="00125034">
              <w:rPr>
                <w:rFonts w:ascii="Open Sans" w:hAnsi="Open Sans"/>
                <w:lang w:val="en-GB"/>
              </w:rPr>
              <w:t xml:space="preserve"> (1</w:t>
            </w:r>
            <w:r>
              <w:rPr>
                <w:rFonts w:ascii="Open Sans" w:hAnsi="Open Sans"/>
                <w:lang w:val="en-GB"/>
              </w:rPr>
              <w:t>3.1</w:t>
            </w:r>
            <w:r w:rsidR="00125034">
              <w:rPr>
                <w:rFonts w:ascii="Open Sans" w:hAnsi="Open Sans"/>
                <w:lang w:val="en-GB"/>
              </w:rPr>
              <w:t>)</w:t>
            </w:r>
          </w:p>
        </w:tc>
        <w:tc>
          <w:tcPr>
            <w:tcW w:w="2120" w:type="dxa"/>
          </w:tcPr>
          <w:p w14:paraId="74D5B649" w14:textId="7A22609E" w:rsidR="00125034" w:rsidRDefault="007162D8" w:rsidP="00125034">
            <w:pPr>
              <w:pStyle w:val="Standard"/>
              <w:rPr>
                <w:rFonts w:ascii="Open Sans" w:hAnsi="Open Sans"/>
                <w:lang w:val="en-GB"/>
              </w:rPr>
            </w:pPr>
            <w:r>
              <w:rPr>
                <w:rFonts w:ascii="Open Sans" w:hAnsi="Open Sans"/>
                <w:lang w:val="en-GB"/>
              </w:rPr>
              <w:t>70 (12.9)</w:t>
            </w:r>
          </w:p>
        </w:tc>
      </w:tr>
      <w:tr w:rsidR="00125034" w14:paraId="17844D30" w14:textId="77777777" w:rsidTr="00125034">
        <w:tc>
          <w:tcPr>
            <w:tcW w:w="1555" w:type="dxa"/>
          </w:tcPr>
          <w:p w14:paraId="1C230174" w14:textId="52C8F407" w:rsidR="00125034" w:rsidRDefault="00125034" w:rsidP="00125034">
            <w:pPr>
              <w:pStyle w:val="Standard"/>
              <w:rPr>
                <w:rFonts w:ascii="Open Sans" w:hAnsi="Open Sans"/>
                <w:lang w:val="en-GB"/>
              </w:rPr>
            </w:pPr>
            <w:r>
              <w:rPr>
                <w:rFonts w:ascii="Open Sans" w:hAnsi="Open Sans"/>
                <w:lang w:val="en-GB"/>
              </w:rPr>
              <w:t>2</w:t>
            </w:r>
          </w:p>
        </w:tc>
        <w:tc>
          <w:tcPr>
            <w:tcW w:w="3827" w:type="dxa"/>
          </w:tcPr>
          <w:p w14:paraId="05FB801B" w14:textId="124EA550" w:rsidR="00125034" w:rsidRDefault="00125034" w:rsidP="00125034">
            <w:pPr>
              <w:pStyle w:val="Standard"/>
              <w:rPr>
                <w:rFonts w:ascii="Open Sans" w:hAnsi="Open Sans"/>
                <w:lang w:val="en-GB"/>
              </w:rPr>
            </w:pPr>
            <w:r>
              <w:rPr>
                <w:rFonts w:ascii="Open Sans" w:hAnsi="Open Sans"/>
                <w:lang w:val="en-GB"/>
              </w:rPr>
              <w:t>F440 F470</w:t>
            </w:r>
          </w:p>
        </w:tc>
        <w:tc>
          <w:tcPr>
            <w:tcW w:w="2126" w:type="dxa"/>
          </w:tcPr>
          <w:p w14:paraId="1C6E51CB" w14:textId="38545AE1" w:rsidR="00125034" w:rsidRDefault="007162D8" w:rsidP="00125034">
            <w:pPr>
              <w:pStyle w:val="Standard"/>
              <w:rPr>
                <w:rFonts w:ascii="Open Sans" w:hAnsi="Open Sans"/>
                <w:lang w:val="en-GB"/>
              </w:rPr>
            </w:pPr>
            <w:r>
              <w:rPr>
                <w:rFonts w:ascii="Open Sans" w:hAnsi="Open Sans"/>
                <w:lang w:val="en-GB"/>
              </w:rPr>
              <w:t>47.4 (13.2)</w:t>
            </w:r>
          </w:p>
        </w:tc>
        <w:tc>
          <w:tcPr>
            <w:tcW w:w="2120" w:type="dxa"/>
          </w:tcPr>
          <w:p w14:paraId="4F44A53F" w14:textId="51BAF373" w:rsidR="00125034" w:rsidRDefault="007162D8" w:rsidP="00125034">
            <w:pPr>
              <w:pStyle w:val="Standard"/>
              <w:rPr>
                <w:rFonts w:ascii="Open Sans" w:hAnsi="Open Sans"/>
                <w:lang w:val="en-GB"/>
              </w:rPr>
            </w:pPr>
            <w:r>
              <w:rPr>
                <w:rFonts w:ascii="Open Sans" w:hAnsi="Open Sans"/>
                <w:lang w:val="en-GB"/>
              </w:rPr>
              <w:t>47.2 (13.9)</w:t>
            </w:r>
          </w:p>
        </w:tc>
      </w:tr>
    </w:tbl>
    <w:p w14:paraId="5FB91A4A" w14:textId="77777777" w:rsidR="003D3C35" w:rsidRPr="0057285B" w:rsidRDefault="003D3C35">
      <w:pPr>
        <w:pStyle w:val="Standard"/>
        <w:rPr>
          <w:rFonts w:ascii="Open Sans" w:hAnsi="Open Sans"/>
          <w:lang w:val="en-GB"/>
        </w:rPr>
      </w:pPr>
    </w:p>
    <w:sectPr w:rsidR="003D3C35" w:rsidRPr="0057285B">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lavien PETIT" w:date="2022-07-06T15:32:00Z" w:initials="FP">
    <w:p w14:paraId="53032AE8" w14:textId="0419D1DE" w:rsidR="0063058F" w:rsidRPr="0063058F" w:rsidRDefault="0063058F">
      <w:pPr>
        <w:pStyle w:val="Commentaire"/>
        <w:rPr>
          <w:lang w:val="fr-FR"/>
        </w:rPr>
      </w:pPr>
      <w:r>
        <w:rPr>
          <w:rStyle w:val="Marquedecommentaire"/>
        </w:rPr>
        <w:annotationRef/>
      </w:r>
      <w:r w:rsidRPr="0063058F">
        <w:rPr>
          <w:lang w:val="fr-FR"/>
        </w:rPr>
        <w:t>On suppose que la variabilité d</w:t>
      </w:r>
      <w:r>
        <w:rPr>
          <w:lang w:val="fr-FR"/>
        </w:rPr>
        <w:t xml:space="preserve">e la composition pigmentaire à l’échelle globale est </w:t>
      </w:r>
      <w:proofErr w:type="spellStart"/>
      <w:r>
        <w:rPr>
          <w:lang w:val="fr-FR"/>
        </w:rPr>
        <w:t>suffisemment</w:t>
      </w:r>
      <w:proofErr w:type="spellEnd"/>
      <w:r>
        <w:rPr>
          <w:lang w:val="fr-FR"/>
        </w:rPr>
        <w:t xml:space="preserve"> importante pour avoir un signal discriminant avec seulement 3 longueurs d’ondes. Parler </w:t>
      </w:r>
      <w:proofErr w:type="spellStart"/>
      <w:r>
        <w:rPr>
          <w:lang w:val="fr-FR"/>
        </w:rPr>
        <w:t>au dessus</w:t>
      </w:r>
      <w:proofErr w:type="spellEnd"/>
      <w:r>
        <w:rPr>
          <w:lang w:val="fr-FR"/>
        </w:rPr>
        <w:t xml:space="preserve"> des méthodes similaires qui se font en labo avec tout le spectre de fluorescence. </w:t>
      </w:r>
      <w:r w:rsidRPr="0063058F">
        <w:rPr>
          <w:lang w:val="fr-FR"/>
        </w:rPr>
        <w:t>https://link.springer.com/chapter/10.1007/978-90-481-9268-7_7</w:t>
      </w:r>
    </w:p>
  </w:comment>
  <w:comment w:id="1" w:author="Flavien PETIT" w:date="2022-07-06T17:16:00Z" w:initials="FP">
    <w:p w14:paraId="0E89F2B3" w14:textId="12543D69" w:rsidR="00590CB2" w:rsidRPr="00590CB2" w:rsidRDefault="00590CB2">
      <w:pPr>
        <w:pStyle w:val="Commentaire"/>
        <w:rPr>
          <w:lang w:val="fr-FR"/>
        </w:rPr>
      </w:pPr>
      <w:r>
        <w:rPr>
          <w:rStyle w:val="Marquedecommentaire"/>
        </w:rPr>
        <w:annotationRef/>
      </w:r>
      <w:r w:rsidRPr="00590CB2">
        <w:rPr>
          <w:lang w:val="fr-FR"/>
        </w:rPr>
        <w:t>Expliquer</w:t>
      </w:r>
      <w:r>
        <w:rPr>
          <w:lang w:val="fr-FR"/>
        </w:rPr>
        <w:t xml:space="preserve"> la méthode et</w:t>
      </w:r>
      <w:r w:rsidRPr="00590CB2">
        <w:rPr>
          <w:lang w:val="fr-FR"/>
        </w:rPr>
        <w:t xml:space="preserve"> l’intérêt des </w:t>
      </w:r>
      <w:proofErr w:type="spellStart"/>
      <w:r w:rsidRPr="00590CB2">
        <w:rPr>
          <w:lang w:val="fr-FR"/>
        </w:rPr>
        <w:t>triplicats</w:t>
      </w:r>
      <w:proofErr w:type="spellEnd"/>
      <w:r w:rsidRPr="00590CB2">
        <w:rPr>
          <w:lang w:val="fr-FR"/>
        </w:rPr>
        <w:t xml:space="preserve"> biologiques e</w:t>
      </w:r>
      <w:r>
        <w:rPr>
          <w:lang w:val="fr-FR"/>
        </w:rPr>
        <w:t xml:space="preserve">t des mesures en fin de phase exponentielle de croissance. </w:t>
      </w:r>
    </w:p>
  </w:comment>
  <w:comment w:id="2" w:author="Flavien PETIT" w:date="2022-07-06T17:28:00Z" w:initials="FP">
    <w:p w14:paraId="2DFECC66" w14:textId="619E93B9" w:rsidR="002E11C7" w:rsidRPr="002E11C7" w:rsidRDefault="002E11C7">
      <w:pPr>
        <w:pStyle w:val="Commentaire"/>
        <w:rPr>
          <w:lang w:val="fr-FR"/>
        </w:rPr>
      </w:pPr>
      <w:r>
        <w:rPr>
          <w:rStyle w:val="Marquedecommentaire"/>
        </w:rPr>
        <w:annotationRef/>
      </w:r>
      <w:r w:rsidRPr="002E11C7">
        <w:rPr>
          <w:lang w:val="fr-FR"/>
        </w:rPr>
        <w:t xml:space="preserve">Refaire le </w:t>
      </w:r>
      <w:proofErr w:type="spellStart"/>
      <w:r w:rsidRPr="002E11C7">
        <w:rPr>
          <w:lang w:val="fr-FR"/>
        </w:rPr>
        <w:t>blabla</w:t>
      </w:r>
      <w:proofErr w:type="spellEnd"/>
      <w:r w:rsidRPr="002E11C7">
        <w:rPr>
          <w:lang w:val="fr-FR"/>
        </w:rPr>
        <w:t xml:space="preserve"> de l’intérêt d</w:t>
      </w:r>
      <w:r>
        <w:rPr>
          <w:lang w:val="fr-FR"/>
        </w:rPr>
        <w:t xml:space="preserve">e boussole par rapport à la </w:t>
      </w:r>
      <w:proofErr w:type="spellStart"/>
      <w:r>
        <w:rPr>
          <w:lang w:val="fr-FR"/>
        </w:rPr>
        <w:t>saisonalité</w:t>
      </w:r>
      <w:proofErr w:type="spellEnd"/>
      <w:r>
        <w:rPr>
          <w:lang w:val="fr-FR"/>
        </w:rPr>
        <w:t xml:space="preserve"> qui représente dans une certaine mesure la variabilité globale</w:t>
      </w:r>
    </w:p>
  </w:comment>
  <w:comment w:id="4" w:author="Flavien PETIT" w:date="2022-07-06T17:45:00Z" w:initials="FP">
    <w:p w14:paraId="52EB6E5D" w14:textId="77777777" w:rsidR="00183EF8" w:rsidRPr="00B870B9" w:rsidRDefault="00183EF8" w:rsidP="00183EF8">
      <w:pPr>
        <w:pStyle w:val="Commentaire"/>
        <w:rPr>
          <w:lang w:val="fr-FR"/>
        </w:rPr>
      </w:pPr>
      <w:r>
        <w:rPr>
          <w:rStyle w:val="Marquedecommentaire"/>
        </w:rPr>
        <w:annotationRef/>
      </w:r>
      <w:r w:rsidRPr="00B870B9">
        <w:rPr>
          <w:lang w:val="fr-FR"/>
        </w:rPr>
        <w:t>Faire une table des d</w:t>
      </w:r>
      <w:r>
        <w:rPr>
          <w:lang w:val="fr-FR"/>
        </w:rPr>
        <w:t xml:space="preserve">escripteurs avec min/max </w:t>
      </w:r>
      <w:proofErr w:type="spellStart"/>
      <w:r>
        <w:rPr>
          <w:lang w:val="fr-FR"/>
        </w:rPr>
        <w:t>med</w:t>
      </w:r>
      <w:proofErr w:type="spellEnd"/>
      <w:r>
        <w:rPr>
          <w:lang w:val="fr-FR"/>
        </w:rPr>
        <w:t xml:space="preserve"> value ? + impureté</w:t>
      </w:r>
    </w:p>
  </w:comment>
  <w:comment w:id="3" w:author="Flavien PETIT" w:date="2022-07-06T17:40:00Z" w:initials="FP">
    <w:p w14:paraId="2CF5C53F" w14:textId="44832905" w:rsidR="00183EF8" w:rsidRPr="00B870B9" w:rsidRDefault="00183EF8" w:rsidP="00183EF8">
      <w:pPr>
        <w:pStyle w:val="Commentaire"/>
        <w:rPr>
          <w:lang w:val="fr-FR"/>
        </w:rPr>
      </w:pPr>
      <w:r>
        <w:rPr>
          <w:rStyle w:val="Marquedecommentaire"/>
        </w:rPr>
        <w:annotationRef/>
      </w:r>
      <w:r w:rsidRPr="00B870B9">
        <w:rPr>
          <w:lang w:val="fr-FR"/>
        </w:rPr>
        <w:t>Je n’utilise pas de valeur b</w:t>
      </w:r>
      <w:r>
        <w:rPr>
          <w:lang w:val="fr-FR"/>
        </w:rPr>
        <w:t xml:space="preserve">rut dans les descripteurs mais </w:t>
      </w:r>
      <w:proofErr w:type="spellStart"/>
      <w:r>
        <w:rPr>
          <w:lang w:val="fr-FR"/>
        </w:rPr>
        <w:t>unqiquement</w:t>
      </w:r>
      <w:proofErr w:type="spellEnd"/>
      <w:r>
        <w:rPr>
          <w:lang w:val="fr-FR"/>
        </w:rPr>
        <w:t xml:space="preserve"> les rapports entre les différentes mesures (Fluo/BBP, FLUO/Cp, F440/F470 etc…) pour éviter un effet de biomasse (i.e. interpréter une </w:t>
      </w:r>
      <w:r w:rsidR="009911E6">
        <w:rPr>
          <w:lang w:val="fr-FR"/>
        </w:rPr>
        <w:t xml:space="preserve">augmentation de biomasse </w:t>
      </w:r>
      <w:r>
        <w:rPr>
          <w:lang w:val="fr-FR"/>
        </w:rPr>
        <w:t xml:space="preserve">comme une domination de </w:t>
      </w:r>
      <w:proofErr w:type="spellStart"/>
      <w:r>
        <w:rPr>
          <w:lang w:val="fr-FR"/>
        </w:rPr>
        <w:t>microphyto</w:t>
      </w:r>
      <w:proofErr w:type="spellEnd"/>
      <w:r>
        <w:rPr>
          <w:lang w:val="fr-FR"/>
        </w:rPr>
        <w:t xml:space="preserve">, qui serait un artefact d’apprentissage lié au jeu de donné). </w:t>
      </w:r>
    </w:p>
  </w:comment>
  <w:comment w:id="5" w:author="Flavien PETIT" w:date="2022-07-06T17:33:00Z" w:initials="FP">
    <w:p w14:paraId="055C9932" w14:textId="318901E8" w:rsidR="002E11C7" w:rsidRPr="002E11C7" w:rsidRDefault="002E11C7">
      <w:pPr>
        <w:pStyle w:val="Commentaire"/>
        <w:rPr>
          <w:lang w:val="fr-FR"/>
        </w:rPr>
      </w:pPr>
      <w:r>
        <w:rPr>
          <w:rStyle w:val="Marquedecommentaire"/>
        </w:rPr>
        <w:annotationRef/>
      </w:r>
      <w:r w:rsidRPr="002E11C7">
        <w:rPr>
          <w:lang w:val="fr-FR"/>
        </w:rPr>
        <w:t>La première méthode permet de r</w:t>
      </w:r>
      <w:r>
        <w:rPr>
          <w:lang w:val="fr-FR"/>
        </w:rPr>
        <w:t>essortir trois cluster. Le</w:t>
      </w:r>
      <w:r w:rsidR="00B870B9">
        <w:rPr>
          <w:lang w:val="fr-FR"/>
        </w:rPr>
        <w:t xml:space="preserve"> nombre d’échantillon par cluster n’est pas équilibrer car le cluster 2 regroupe toutes les communautés non </w:t>
      </w:r>
      <w:proofErr w:type="spellStart"/>
      <w:r w:rsidR="00B870B9">
        <w:rPr>
          <w:lang w:val="fr-FR"/>
        </w:rPr>
        <w:t>prokaryotes</w:t>
      </w:r>
      <w:proofErr w:type="spellEnd"/>
      <w:r w:rsidR="00B870B9">
        <w:rPr>
          <w:lang w:val="fr-FR"/>
        </w:rPr>
        <w:t xml:space="preserve"> (assemblage micro/nano). Pour pallier à ce problème on répète la méthode de clustering uniquement sur le cluster 2… </w:t>
      </w:r>
    </w:p>
  </w:comment>
  <w:comment w:id="6" w:author="Flavien PETIT" w:date="2022-07-06T17:54:00Z" w:initials="FP">
    <w:p w14:paraId="653423C8" w14:textId="36BF7242" w:rsidR="008110E6" w:rsidRPr="008110E6" w:rsidRDefault="008110E6">
      <w:pPr>
        <w:pStyle w:val="Commentaire"/>
        <w:rPr>
          <w:lang w:val="fr-FR"/>
        </w:rPr>
      </w:pPr>
      <w:r>
        <w:rPr>
          <w:rStyle w:val="Marquedecommentaire"/>
        </w:rPr>
        <w:annotationRef/>
      </w:r>
      <w:r w:rsidRPr="008110E6">
        <w:rPr>
          <w:lang w:val="fr-FR"/>
        </w:rPr>
        <w:t>On ne cherche pas à o</w:t>
      </w:r>
      <w:r>
        <w:rPr>
          <w:lang w:val="fr-FR"/>
        </w:rPr>
        <w:t>btenir un niveau taxonomique aussi précis que l’espèce, donc les cultures sont regroupées par taxa. Mais la diversité de cultures par taxa permet de mieux c</w:t>
      </w:r>
      <w:r w:rsidR="00183EF8">
        <w:rPr>
          <w:lang w:val="fr-FR"/>
        </w:rPr>
        <w:t>a</w:t>
      </w:r>
      <w:r>
        <w:rPr>
          <w:lang w:val="fr-FR"/>
        </w:rPr>
        <w:t>ractériser la variabilité intra-taxa.</w:t>
      </w:r>
    </w:p>
  </w:comment>
  <w:comment w:id="7" w:author="Flavien PETIT" w:date="2022-07-06T17:56:00Z" w:initials="FP">
    <w:p w14:paraId="26B096CA" w14:textId="61FA00ED" w:rsidR="008110E6" w:rsidRPr="008110E6" w:rsidRDefault="008110E6">
      <w:pPr>
        <w:pStyle w:val="Commentaire"/>
        <w:rPr>
          <w:lang w:val="fr-FR"/>
        </w:rPr>
      </w:pPr>
      <w:r>
        <w:rPr>
          <w:rStyle w:val="Marquedecommentaire"/>
        </w:rPr>
        <w:annotationRef/>
      </w:r>
      <w:r w:rsidRPr="008110E6">
        <w:rPr>
          <w:lang w:val="fr-FR"/>
        </w:rPr>
        <w:t xml:space="preserve">Explication </w:t>
      </w:r>
      <w:proofErr w:type="spellStart"/>
      <w:r w:rsidRPr="008110E6">
        <w:rPr>
          <w:lang w:val="fr-FR"/>
        </w:rPr>
        <w:t>photophysio</w:t>
      </w:r>
      <w:proofErr w:type="spellEnd"/>
      <w:r w:rsidRPr="008110E6">
        <w:rPr>
          <w:lang w:val="fr-FR"/>
        </w:rPr>
        <w:t xml:space="preserve"> de la figure,</w:t>
      </w:r>
      <w:r>
        <w:rPr>
          <w:lang w:val="fr-FR"/>
        </w:rPr>
        <w:t xml:space="preserve"> nécessite biblio </w:t>
      </w:r>
    </w:p>
  </w:comment>
  <w:comment w:id="8" w:author="Flavien PETIT" w:date="2022-07-06T17:59:00Z" w:initials="FP">
    <w:p w14:paraId="0D7D9396" w14:textId="3CD71D49" w:rsidR="00841723" w:rsidRPr="00841723" w:rsidRDefault="00841723">
      <w:pPr>
        <w:pStyle w:val="Commentaire"/>
        <w:rPr>
          <w:lang w:val="fr-FR"/>
        </w:rPr>
      </w:pPr>
      <w:r>
        <w:rPr>
          <w:rStyle w:val="Marquedecommentaire"/>
        </w:rPr>
        <w:annotationRef/>
      </w:r>
      <w:r w:rsidRPr="00841723">
        <w:rPr>
          <w:lang w:val="fr-FR"/>
        </w:rPr>
        <w:t>Interprétation de la réponse du 5</w:t>
      </w:r>
      <w:r>
        <w:rPr>
          <w:lang w:val="fr-FR"/>
        </w:rPr>
        <w:t xml:space="preserve">32 assez direct par le spectre d’absorption des phycobilins qui transmettent tout à la </w:t>
      </w:r>
      <w:proofErr w:type="spellStart"/>
      <w:r>
        <w:rPr>
          <w:lang w:val="fr-FR"/>
        </w:rPr>
        <w:t>chla</w:t>
      </w:r>
      <w:proofErr w:type="spellEnd"/>
      <w:r>
        <w:rPr>
          <w:lang w:val="fr-FR"/>
        </w:rPr>
        <w:t>. A creuser pour la différence 440/470…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032AE8" w15:done="0"/>
  <w15:commentEx w15:paraId="0E89F2B3" w15:done="0"/>
  <w15:commentEx w15:paraId="2DFECC66" w15:done="0"/>
  <w15:commentEx w15:paraId="52EB6E5D" w15:done="0"/>
  <w15:commentEx w15:paraId="2CF5C53F" w15:done="0"/>
  <w15:commentEx w15:paraId="055C9932" w15:done="0"/>
  <w15:commentEx w15:paraId="653423C8" w15:done="0"/>
  <w15:commentEx w15:paraId="26B096CA" w15:done="0"/>
  <w15:commentEx w15:paraId="0D7D93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02971" w16cex:dateUtc="2022-07-06T13:32:00Z"/>
  <w16cex:commentExtensible w16cex:durableId="26704201" w16cex:dateUtc="2022-07-06T15:16:00Z"/>
  <w16cex:commentExtensible w16cex:durableId="267044D7" w16cex:dateUtc="2022-07-06T15:28:00Z"/>
  <w16cex:commentExtensible w16cex:durableId="267048AF" w16cex:dateUtc="2022-07-06T15:45:00Z"/>
  <w16cex:commentExtensible w16cex:durableId="267047A4" w16cex:dateUtc="2022-07-06T15:40:00Z"/>
  <w16cex:commentExtensible w16cex:durableId="267045F0" w16cex:dateUtc="2022-07-06T15:33:00Z"/>
  <w16cex:commentExtensible w16cex:durableId="26704AEA" w16cex:dateUtc="2022-07-06T15:54:00Z"/>
  <w16cex:commentExtensible w16cex:durableId="26704B56" w16cex:dateUtc="2022-07-06T15:56:00Z"/>
  <w16cex:commentExtensible w16cex:durableId="26704C08" w16cex:dateUtc="2022-07-06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032AE8" w16cid:durableId="26702971"/>
  <w16cid:commentId w16cid:paraId="0E89F2B3" w16cid:durableId="26704201"/>
  <w16cid:commentId w16cid:paraId="2DFECC66" w16cid:durableId="267044D7"/>
  <w16cid:commentId w16cid:paraId="52EB6E5D" w16cid:durableId="267048AF"/>
  <w16cid:commentId w16cid:paraId="2CF5C53F" w16cid:durableId="267047A4"/>
  <w16cid:commentId w16cid:paraId="055C9932" w16cid:durableId="267045F0"/>
  <w16cid:commentId w16cid:paraId="653423C8" w16cid:durableId="26704AEA"/>
  <w16cid:commentId w16cid:paraId="26B096CA" w16cid:durableId="26704B56"/>
  <w16cid:commentId w16cid:paraId="0D7D9396" w16cid:durableId="26704C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229FF" w14:textId="77777777" w:rsidR="007140DA" w:rsidRDefault="007140DA">
      <w:r>
        <w:separator/>
      </w:r>
    </w:p>
  </w:endnote>
  <w:endnote w:type="continuationSeparator" w:id="0">
    <w:p w14:paraId="71AB18DD" w14:textId="77777777" w:rsidR="007140DA" w:rsidRDefault="00714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6B941" w14:textId="77777777" w:rsidR="007140DA" w:rsidRDefault="007140DA">
      <w:r>
        <w:rPr>
          <w:color w:val="000000"/>
        </w:rPr>
        <w:separator/>
      </w:r>
    </w:p>
  </w:footnote>
  <w:footnote w:type="continuationSeparator" w:id="0">
    <w:p w14:paraId="2B3FD88D" w14:textId="77777777" w:rsidR="007140DA" w:rsidRDefault="007140D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lavien PETIT">
    <w15:presenceInfo w15:providerId="Windows Live" w15:userId="cf4dec67a9b6b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14"/>
    <w:rsid w:val="000237CE"/>
    <w:rsid w:val="000433AD"/>
    <w:rsid w:val="00091360"/>
    <w:rsid w:val="000B00C4"/>
    <w:rsid w:val="000F463A"/>
    <w:rsid w:val="00125034"/>
    <w:rsid w:val="00127FB5"/>
    <w:rsid w:val="001347D8"/>
    <w:rsid w:val="00183EF8"/>
    <w:rsid w:val="001A002A"/>
    <w:rsid w:val="001D19A0"/>
    <w:rsid w:val="00220CA8"/>
    <w:rsid w:val="00271E8C"/>
    <w:rsid w:val="00287B38"/>
    <w:rsid w:val="002E11C7"/>
    <w:rsid w:val="00341163"/>
    <w:rsid w:val="00362A69"/>
    <w:rsid w:val="0036321D"/>
    <w:rsid w:val="00367299"/>
    <w:rsid w:val="003A5A3B"/>
    <w:rsid w:val="003D3C35"/>
    <w:rsid w:val="003E5C15"/>
    <w:rsid w:val="003F1BD2"/>
    <w:rsid w:val="00451913"/>
    <w:rsid w:val="00464426"/>
    <w:rsid w:val="004A374A"/>
    <w:rsid w:val="004C041C"/>
    <w:rsid w:val="0052734F"/>
    <w:rsid w:val="0057285B"/>
    <w:rsid w:val="00590CB2"/>
    <w:rsid w:val="00595E0D"/>
    <w:rsid w:val="005A7346"/>
    <w:rsid w:val="005B1B8C"/>
    <w:rsid w:val="005D7114"/>
    <w:rsid w:val="006012E0"/>
    <w:rsid w:val="0063058F"/>
    <w:rsid w:val="006418FF"/>
    <w:rsid w:val="00655EDC"/>
    <w:rsid w:val="00672EB8"/>
    <w:rsid w:val="00683EC5"/>
    <w:rsid w:val="006A4E76"/>
    <w:rsid w:val="006C7E26"/>
    <w:rsid w:val="006E1CC8"/>
    <w:rsid w:val="006E4A00"/>
    <w:rsid w:val="006F15F6"/>
    <w:rsid w:val="007118AF"/>
    <w:rsid w:val="007140DA"/>
    <w:rsid w:val="007162D8"/>
    <w:rsid w:val="00790FA6"/>
    <w:rsid w:val="007A4232"/>
    <w:rsid w:val="007A6DE8"/>
    <w:rsid w:val="007D60DD"/>
    <w:rsid w:val="0080143D"/>
    <w:rsid w:val="008110E6"/>
    <w:rsid w:val="00813A49"/>
    <w:rsid w:val="008238E1"/>
    <w:rsid w:val="00841723"/>
    <w:rsid w:val="00854AF0"/>
    <w:rsid w:val="00862804"/>
    <w:rsid w:val="00897EB6"/>
    <w:rsid w:val="008B7FD5"/>
    <w:rsid w:val="00901B9F"/>
    <w:rsid w:val="00903505"/>
    <w:rsid w:val="00905971"/>
    <w:rsid w:val="009202C2"/>
    <w:rsid w:val="009911E6"/>
    <w:rsid w:val="009A3411"/>
    <w:rsid w:val="009A34E6"/>
    <w:rsid w:val="009F629D"/>
    <w:rsid w:val="00A20E91"/>
    <w:rsid w:val="00A4330B"/>
    <w:rsid w:val="00AA5A24"/>
    <w:rsid w:val="00AA7E43"/>
    <w:rsid w:val="00AC2640"/>
    <w:rsid w:val="00B350E1"/>
    <w:rsid w:val="00B7410D"/>
    <w:rsid w:val="00B870B9"/>
    <w:rsid w:val="00BC4B84"/>
    <w:rsid w:val="00BF6F98"/>
    <w:rsid w:val="00C52920"/>
    <w:rsid w:val="00C536A7"/>
    <w:rsid w:val="00CB2C7C"/>
    <w:rsid w:val="00CC0A87"/>
    <w:rsid w:val="00CC583C"/>
    <w:rsid w:val="00D058BD"/>
    <w:rsid w:val="00D1321A"/>
    <w:rsid w:val="00D1523E"/>
    <w:rsid w:val="00D2067A"/>
    <w:rsid w:val="00D216AD"/>
    <w:rsid w:val="00DC5DD1"/>
    <w:rsid w:val="00DD3810"/>
    <w:rsid w:val="00E82E60"/>
    <w:rsid w:val="00EC1817"/>
    <w:rsid w:val="00ED6D3B"/>
    <w:rsid w:val="00F37FBB"/>
    <w:rsid w:val="00F627A9"/>
    <w:rsid w:val="00FB0DEA"/>
    <w:rsid w:val="00FB4E60"/>
    <w:rsid w:val="00FB669F"/>
    <w:rsid w:val="00FE6288"/>
    <w:rsid w:val="00FF371D"/>
    <w:rsid w:val="00FF66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33D3"/>
  <w15:docId w15:val="{0AF480BC-EE43-4EF8-8F02-E2643A7C2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Marquedecommentaire">
    <w:name w:val="annotation reference"/>
    <w:basedOn w:val="Policepardfaut"/>
    <w:uiPriority w:val="99"/>
    <w:semiHidden/>
    <w:unhideWhenUsed/>
    <w:rsid w:val="0063058F"/>
    <w:rPr>
      <w:sz w:val="16"/>
      <w:szCs w:val="16"/>
    </w:rPr>
  </w:style>
  <w:style w:type="paragraph" w:styleId="Commentaire">
    <w:name w:val="annotation text"/>
    <w:basedOn w:val="Normal"/>
    <w:link w:val="CommentaireCar"/>
    <w:uiPriority w:val="99"/>
    <w:unhideWhenUsed/>
    <w:rsid w:val="0063058F"/>
    <w:rPr>
      <w:rFonts w:cs="Mangal"/>
      <w:sz w:val="20"/>
      <w:szCs w:val="18"/>
    </w:rPr>
  </w:style>
  <w:style w:type="character" w:customStyle="1" w:styleId="CommentaireCar">
    <w:name w:val="Commentaire Car"/>
    <w:basedOn w:val="Policepardfaut"/>
    <w:link w:val="Commentaire"/>
    <w:uiPriority w:val="99"/>
    <w:rsid w:val="0063058F"/>
    <w:rPr>
      <w:rFonts w:cs="Mangal"/>
      <w:sz w:val="20"/>
      <w:szCs w:val="18"/>
    </w:rPr>
  </w:style>
  <w:style w:type="paragraph" w:styleId="Objetducommentaire">
    <w:name w:val="annotation subject"/>
    <w:basedOn w:val="Commentaire"/>
    <w:next w:val="Commentaire"/>
    <w:link w:val="ObjetducommentaireCar"/>
    <w:uiPriority w:val="99"/>
    <w:semiHidden/>
    <w:unhideWhenUsed/>
    <w:rsid w:val="0063058F"/>
    <w:rPr>
      <w:b/>
      <w:bCs/>
    </w:rPr>
  </w:style>
  <w:style w:type="character" w:customStyle="1" w:styleId="ObjetducommentaireCar">
    <w:name w:val="Objet du commentaire Car"/>
    <w:basedOn w:val="CommentaireCar"/>
    <w:link w:val="Objetducommentaire"/>
    <w:uiPriority w:val="99"/>
    <w:semiHidden/>
    <w:rsid w:val="0063058F"/>
    <w:rPr>
      <w:rFonts w:cs="Mangal"/>
      <w:b/>
      <w:bCs/>
      <w:sz w:val="20"/>
      <w:szCs w:val="18"/>
    </w:rPr>
  </w:style>
  <w:style w:type="table" w:styleId="Grilledutableau">
    <w:name w:val="Table Grid"/>
    <w:basedOn w:val="TableauNormal"/>
    <w:uiPriority w:val="39"/>
    <w:rsid w:val="0012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995">
      <w:bodyDiv w:val="1"/>
      <w:marLeft w:val="0"/>
      <w:marRight w:val="0"/>
      <w:marTop w:val="0"/>
      <w:marBottom w:val="0"/>
      <w:divBdr>
        <w:top w:val="none" w:sz="0" w:space="0" w:color="auto"/>
        <w:left w:val="none" w:sz="0" w:space="0" w:color="auto"/>
        <w:bottom w:val="none" w:sz="0" w:space="0" w:color="auto"/>
        <w:right w:val="none" w:sz="0" w:space="0" w:color="auto"/>
      </w:divBdr>
    </w:div>
    <w:div w:id="1546720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3631</Words>
  <Characters>19971</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Flavien</Company>
  <LinksUpToDate>false</LinksUpToDate>
  <CharactersWithSpaces>23555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Flavien PETIT</dc:creator>
  <cp:keywords/>
  <dc:description/>
  <cp:lastModifiedBy>Flavien PETIT</cp:lastModifiedBy>
  <cp:revision>12</cp:revision>
  <dcterms:created xsi:type="dcterms:W3CDTF">2022-07-04T16:31:00Z</dcterms:created>
  <dcterms:modified xsi:type="dcterms:W3CDTF">2022-07-13T14:33:00Z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id="CsWoWRtr"/&gt;&lt;style id="http://www.zotero.org/styles/frontiers-in-marine-science" hasBibliography="1" bibliographyStyleHasBeenSet="0"/&gt;&lt;prefs&gt;&lt;pref name="fieldType" value="Field"/&gt;&lt;/prefs&gt;&lt;/data&gt;</vt:lpwstr>
  </property>
</Properties>
</file>