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76C90" w14:textId="7D90D992" w:rsidR="0009577A" w:rsidRDefault="0009577A" w:rsidP="0009577A">
      <w:pPr>
        <w:jc w:val="right"/>
        <w:rPr>
          <w:rFonts w:ascii="Times New Roman" w:eastAsia="Times New Roman" w:hAnsi="Times New Roman" w:cs="Times New Roman"/>
          <w:b/>
          <w:lang w:val="en-GB" w:eastAsia="fr-FR"/>
        </w:rPr>
      </w:pPr>
      <w:r w:rsidRPr="0009577A">
        <w:rPr>
          <w:rFonts w:ascii="Times New Roman" w:eastAsia="Times New Roman" w:hAnsi="Times New Roman" w:cs="Times New Roman"/>
          <w:b/>
          <w:lang w:val="en-GB" w:eastAsia="fr-FR"/>
        </w:rPr>
        <w:t>Angela OVIEDO</w:t>
      </w:r>
      <w:r w:rsidR="0004661D">
        <w:rPr>
          <w:rFonts w:ascii="Times New Roman" w:eastAsia="Times New Roman" w:hAnsi="Times New Roman" w:cs="Times New Roman"/>
          <w:b/>
          <w:lang w:val="en-GB" w:eastAsia="fr-FR"/>
        </w:rPr>
        <w:t xml:space="preserve"> SABOGAL</w:t>
      </w:r>
    </w:p>
    <w:p w14:paraId="1ACC5DCE" w14:textId="2D5A4CB5" w:rsidR="0009577A" w:rsidRPr="0009577A" w:rsidRDefault="0009577A" w:rsidP="0009577A">
      <w:pPr>
        <w:jc w:val="right"/>
        <w:rPr>
          <w:rFonts w:ascii="Times New Roman" w:eastAsia="Times New Roman" w:hAnsi="Times New Roman" w:cs="Times New Roman"/>
          <w:b/>
          <w:lang w:val="en-GB" w:eastAsia="fr-FR"/>
        </w:rPr>
      </w:pPr>
    </w:p>
    <w:p w14:paraId="248E88C1" w14:textId="77777777" w:rsidR="0009577A" w:rsidRDefault="0009577A" w:rsidP="0009577A">
      <w:pPr>
        <w:jc w:val="center"/>
        <w:rPr>
          <w:rFonts w:ascii="Times New Roman" w:eastAsia="Times New Roman" w:hAnsi="Times New Roman" w:cs="Times New Roman"/>
          <w:b/>
          <w:lang w:val="en-GB" w:eastAsia="fr-FR"/>
        </w:rPr>
      </w:pPr>
    </w:p>
    <w:p w14:paraId="108876DD" w14:textId="77777777" w:rsidR="0009577A" w:rsidRDefault="0009577A" w:rsidP="0009577A">
      <w:pPr>
        <w:jc w:val="center"/>
        <w:rPr>
          <w:rFonts w:ascii="Times New Roman" w:eastAsia="Times New Roman" w:hAnsi="Times New Roman" w:cs="Times New Roman"/>
          <w:b/>
          <w:lang w:val="en-GB" w:eastAsia="fr-FR"/>
        </w:rPr>
      </w:pPr>
    </w:p>
    <w:p w14:paraId="0B57062E" w14:textId="77777777" w:rsidR="0009577A" w:rsidRDefault="0009577A" w:rsidP="0009577A">
      <w:pPr>
        <w:jc w:val="center"/>
        <w:rPr>
          <w:rFonts w:ascii="Times New Roman" w:eastAsia="Times New Roman" w:hAnsi="Times New Roman" w:cs="Times New Roman"/>
          <w:b/>
          <w:lang w:val="en-GB" w:eastAsia="fr-FR"/>
        </w:rPr>
      </w:pPr>
    </w:p>
    <w:p w14:paraId="7B9504D2" w14:textId="77777777" w:rsidR="0009577A" w:rsidRDefault="0009577A" w:rsidP="0009577A">
      <w:pPr>
        <w:jc w:val="center"/>
        <w:rPr>
          <w:rFonts w:ascii="Times New Roman" w:eastAsia="Times New Roman" w:hAnsi="Times New Roman" w:cs="Times New Roman"/>
          <w:b/>
          <w:lang w:val="en-GB" w:eastAsia="fr-FR"/>
        </w:rPr>
      </w:pPr>
    </w:p>
    <w:p w14:paraId="404AAB9D" w14:textId="2494CD4F" w:rsidR="003E214A" w:rsidRDefault="0009577A" w:rsidP="0009577A">
      <w:pPr>
        <w:jc w:val="center"/>
        <w:rPr>
          <w:rFonts w:ascii="Times New Roman" w:eastAsia="Times New Roman" w:hAnsi="Times New Roman" w:cs="Times New Roman"/>
          <w:b/>
          <w:lang w:val="en-GB" w:eastAsia="fr-FR"/>
        </w:rPr>
      </w:pPr>
      <w:r w:rsidRPr="0009577A">
        <w:rPr>
          <w:rFonts w:ascii="Times New Roman" w:eastAsia="Times New Roman" w:hAnsi="Times New Roman" w:cs="Times New Roman"/>
          <w:b/>
          <w:lang w:val="en-GB" w:eastAsia="fr-FR"/>
        </w:rPr>
        <w:t>REPORT ON NANOPHYTOPLANKTON ABUNDANCES AND CELLULAR VOLUME SAMPLE ANALYSIS (PERLE_0 AND PERLE_1)</w:t>
      </w:r>
    </w:p>
    <w:p w14:paraId="173C5B8E" w14:textId="01910A71" w:rsidR="0009577A" w:rsidRDefault="0009577A" w:rsidP="0009577A">
      <w:pPr>
        <w:jc w:val="center"/>
        <w:rPr>
          <w:rFonts w:ascii="Times New Roman" w:eastAsia="Times New Roman" w:hAnsi="Times New Roman" w:cs="Times New Roman"/>
          <w:b/>
          <w:lang w:val="en-GB" w:eastAsia="fr-FR"/>
        </w:rPr>
      </w:pPr>
    </w:p>
    <w:p w14:paraId="344A38D7" w14:textId="1E7354E5" w:rsidR="0009577A" w:rsidRDefault="0009577A" w:rsidP="0009577A">
      <w:pPr>
        <w:jc w:val="center"/>
        <w:rPr>
          <w:rFonts w:ascii="Times New Roman" w:eastAsia="Times New Roman" w:hAnsi="Times New Roman" w:cs="Times New Roman"/>
          <w:b/>
          <w:lang w:val="en-GB" w:eastAsia="fr-FR"/>
        </w:rPr>
      </w:pPr>
    </w:p>
    <w:p w14:paraId="0D1D0AB5" w14:textId="77777777" w:rsidR="003E214A" w:rsidRPr="0009577A" w:rsidRDefault="003E214A" w:rsidP="006E78AD">
      <w:pPr>
        <w:rPr>
          <w:rFonts w:ascii="Times New Roman" w:eastAsia="Times New Roman" w:hAnsi="Times New Roman" w:cs="Times New Roman"/>
          <w:lang w:val="en-GB" w:eastAsia="fr-FR"/>
        </w:rPr>
      </w:pPr>
    </w:p>
    <w:p w14:paraId="133973AE" w14:textId="77777777" w:rsidR="003E214A" w:rsidRPr="0009577A" w:rsidRDefault="003E214A" w:rsidP="006E78AD">
      <w:pPr>
        <w:rPr>
          <w:rFonts w:ascii="Times New Roman" w:eastAsia="Times New Roman" w:hAnsi="Times New Roman" w:cs="Times New Roman"/>
          <w:lang w:val="en-GB" w:eastAsia="fr-FR"/>
        </w:rPr>
      </w:pPr>
    </w:p>
    <w:p w14:paraId="4C1B8419" w14:textId="191CF6A3" w:rsidR="00AC2179" w:rsidRPr="00F042CF" w:rsidRDefault="003E214A" w:rsidP="00AC2179">
      <w:pPr>
        <w:widowControl w:val="0"/>
        <w:autoSpaceDE w:val="0"/>
        <w:autoSpaceDN w:val="0"/>
        <w:adjustRightInd w:val="0"/>
        <w:spacing w:after="240" w:line="300" w:lineRule="atLeast"/>
        <w:rPr>
          <w:rFonts w:ascii="Times" w:hAnsi="Times" w:cs="Times"/>
          <w:sz w:val="26"/>
          <w:szCs w:val="26"/>
          <w:lang w:val="en-GB"/>
        </w:rPr>
      </w:pPr>
      <w:r w:rsidRPr="00F042CF">
        <w:rPr>
          <w:rFonts w:ascii="Times" w:hAnsi="Times" w:cs="Times"/>
          <w:b/>
          <w:bCs/>
          <w:sz w:val="26"/>
          <w:szCs w:val="26"/>
          <w:lang w:val="en-GB"/>
        </w:rPr>
        <w:t>Nano</w:t>
      </w:r>
      <w:r w:rsidR="00FB1C02" w:rsidRPr="00F042CF">
        <w:rPr>
          <w:rFonts w:ascii="Times" w:hAnsi="Times" w:cs="Times"/>
          <w:b/>
          <w:bCs/>
          <w:sz w:val="26"/>
          <w:szCs w:val="26"/>
          <w:lang w:val="en-GB"/>
        </w:rPr>
        <w:t>phyto</w:t>
      </w:r>
      <w:r w:rsidRPr="00F042CF">
        <w:rPr>
          <w:rFonts w:ascii="Times" w:hAnsi="Times" w:cs="Times"/>
          <w:b/>
          <w:bCs/>
          <w:sz w:val="26"/>
          <w:szCs w:val="26"/>
          <w:lang w:val="en-GB"/>
        </w:rPr>
        <w:t>plankton abundance calculation</w:t>
      </w:r>
      <w:r w:rsidR="00AC2179" w:rsidRPr="00F042CF">
        <w:rPr>
          <w:rFonts w:ascii="Times" w:hAnsi="Times" w:cs="Times"/>
          <w:b/>
          <w:bCs/>
          <w:sz w:val="26"/>
          <w:szCs w:val="26"/>
          <w:lang w:val="en-GB"/>
        </w:rPr>
        <w:t xml:space="preserve"> </w:t>
      </w:r>
    </w:p>
    <w:p w14:paraId="4851BEE7" w14:textId="59DDF1A5" w:rsidR="005B08C9" w:rsidRPr="00425B5D" w:rsidRDefault="005B08C9" w:rsidP="005469E0">
      <w:pPr>
        <w:jc w:val="both"/>
        <w:rPr>
          <w:rFonts w:ascii="Times New Roman" w:eastAsia="Times New Roman" w:hAnsi="Times New Roman" w:cs="Times New Roman"/>
          <w:color w:val="2E2E2E"/>
          <w:sz w:val="26"/>
          <w:szCs w:val="26"/>
        </w:rPr>
      </w:pPr>
      <w:r w:rsidRPr="00425B5D">
        <w:rPr>
          <w:rFonts w:ascii="Times New Roman" w:eastAsia="Times New Roman" w:hAnsi="Times New Roman" w:cs="Times New Roman"/>
          <w:color w:val="2E2E2E"/>
          <w:sz w:val="26"/>
          <w:szCs w:val="26"/>
        </w:rPr>
        <w:t>Samples were received in dry membrane filters, generally in good state except for P0_</w:t>
      </w:r>
      <w:r w:rsidRPr="00425B5D">
        <w:rPr>
          <w:rFonts w:ascii="Times New Roman" w:eastAsia="Times New Roman" w:hAnsi="Times New Roman" w:cs="Times New Roman"/>
          <w:color w:val="2E2E2E"/>
          <w:sz w:val="26"/>
          <w:szCs w:val="26"/>
          <w:lang w:val="en-GB"/>
        </w:rPr>
        <w:t xml:space="preserve">011_12 (A) and P0_002_06 whose filter surface was cover with </w:t>
      </w:r>
      <w:r w:rsidR="005469E0" w:rsidRPr="00425B5D">
        <w:rPr>
          <w:rFonts w:ascii="Times New Roman" w:eastAsia="Times New Roman" w:hAnsi="Times New Roman" w:cs="Times New Roman"/>
          <w:color w:val="2E2E2E"/>
          <w:sz w:val="26"/>
          <w:szCs w:val="26"/>
          <w:lang w:val="en-GB"/>
        </w:rPr>
        <w:t>over</w:t>
      </w:r>
      <w:r w:rsidR="00AA0B53" w:rsidRPr="00425B5D">
        <w:rPr>
          <w:rFonts w:ascii="Times New Roman" w:eastAsia="Times New Roman" w:hAnsi="Times New Roman" w:cs="Times New Roman"/>
          <w:color w:val="2E2E2E"/>
          <w:sz w:val="26"/>
          <w:szCs w:val="26"/>
          <w:lang w:val="en-GB"/>
        </w:rPr>
        <w:t>lying material, obstruct</w:t>
      </w:r>
      <w:r w:rsidRPr="00425B5D">
        <w:rPr>
          <w:rFonts w:ascii="Times New Roman" w:eastAsia="Times New Roman" w:hAnsi="Times New Roman" w:cs="Times New Roman"/>
          <w:color w:val="2E2E2E"/>
          <w:sz w:val="26"/>
          <w:szCs w:val="26"/>
          <w:lang w:val="en-GB"/>
        </w:rPr>
        <w:t>ing cells</w:t>
      </w:r>
      <w:r w:rsidRPr="00425B5D">
        <w:rPr>
          <w:rFonts w:ascii="Times New Roman" w:eastAsia="Times New Roman" w:hAnsi="Times New Roman" w:cs="Times New Roman"/>
          <w:color w:val="2E2E2E"/>
          <w:sz w:val="26"/>
          <w:szCs w:val="26"/>
        </w:rPr>
        <w:t xml:space="preserve"> observation. For P0_011_12 (A) analysis was not possible, while P0_002_06 was analyzed by counting a short transept were no overlying material was found. </w:t>
      </w:r>
    </w:p>
    <w:p w14:paraId="6AAE8B56" w14:textId="77777777" w:rsidR="005B08C9" w:rsidRPr="00425B5D" w:rsidRDefault="005B08C9" w:rsidP="00EB7D6A">
      <w:pPr>
        <w:rPr>
          <w:rFonts w:ascii="Times New Roman" w:eastAsia="Times New Roman" w:hAnsi="Times New Roman" w:cs="Times New Roman"/>
          <w:color w:val="2E2E2E"/>
          <w:sz w:val="26"/>
          <w:szCs w:val="26"/>
        </w:rPr>
      </w:pPr>
    </w:p>
    <w:p w14:paraId="170A9818" w14:textId="480659BF" w:rsidR="003E214A" w:rsidRPr="00425B5D" w:rsidRDefault="005B08C9" w:rsidP="003E214A">
      <w:pPr>
        <w:widowControl w:val="0"/>
        <w:autoSpaceDE w:val="0"/>
        <w:autoSpaceDN w:val="0"/>
        <w:adjustRightInd w:val="0"/>
        <w:spacing w:after="240" w:line="300" w:lineRule="atLeast"/>
        <w:jc w:val="both"/>
        <w:rPr>
          <w:rFonts w:ascii="Times New Roman" w:hAnsi="Times New Roman" w:cs="Times New Roman"/>
          <w:sz w:val="26"/>
          <w:szCs w:val="26"/>
        </w:rPr>
      </w:pPr>
      <w:r w:rsidRPr="00425B5D">
        <w:rPr>
          <w:rFonts w:ascii="Times New Roman" w:eastAsia="Times New Roman" w:hAnsi="Times New Roman" w:cs="Times New Roman"/>
          <w:color w:val="2E2E2E"/>
          <w:sz w:val="26"/>
          <w:szCs w:val="26"/>
        </w:rPr>
        <w:t>Membrane filters were cleared (render transparent) using i</w:t>
      </w:r>
      <w:r w:rsidR="00EB7D6A" w:rsidRPr="00425B5D">
        <w:rPr>
          <w:rFonts w:ascii="Times New Roman" w:eastAsia="Times New Roman" w:hAnsi="Times New Roman" w:cs="Times New Roman"/>
          <w:color w:val="2E2E2E"/>
          <w:sz w:val="26"/>
          <w:szCs w:val="26"/>
        </w:rPr>
        <w:t>mmersion oil</w:t>
      </w:r>
      <w:r w:rsidRPr="00425B5D">
        <w:rPr>
          <w:rFonts w:ascii="Times New Roman" w:eastAsia="Times New Roman" w:hAnsi="Times New Roman" w:cs="Times New Roman"/>
          <w:color w:val="2E2E2E"/>
          <w:sz w:val="26"/>
          <w:szCs w:val="26"/>
        </w:rPr>
        <w:t>. The filter was examined with a</w:t>
      </w:r>
      <w:r w:rsidR="00EB7D6A" w:rsidRPr="00425B5D">
        <w:rPr>
          <w:rFonts w:ascii="Times New Roman" w:eastAsia="Times New Roman" w:hAnsi="Times New Roman" w:cs="Times New Roman"/>
          <w:color w:val="2E2E2E"/>
          <w:sz w:val="26"/>
          <w:szCs w:val="26"/>
        </w:rPr>
        <w:t xml:space="preserve"> </w:t>
      </w:r>
      <w:r w:rsidRPr="00425B5D">
        <w:rPr>
          <w:rFonts w:ascii="Times" w:hAnsi="Times" w:cs="Times"/>
          <w:sz w:val="26"/>
          <w:szCs w:val="26"/>
        </w:rPr>
        <w:t xml:space="preserve">Leica DM100 </w:t>
      </w:r>
      <w:r w:rsidR="00EB7D6A" w:rsidRPr="00425B5D">
        <w:rPr>
          <w:rFonts w:ascii="Times New Roman" w:eastAsia="Times New Roman" w:hAnsi="Times New Roman" w:cs="Times New Roman"/>
          <w:color w:val="2E2E2E"/>
          <w:sz w:val="26"/>
          <w:szCs w:val="26"/>
        </w:rPr>
        <w:t>microscope e</w:t>
      </w:r>
      <w:r w:rsidRPr="00425B5D">
        <w:rPr>
          <w:rFonts w:ascii="Times New Roman" w:eastAsia="Times New Roman" w:hAnsi="Times New Roman" w:cs="Times New Roman"/>
          <w:color w:val="2E2E2E"/>
          <w:sz w:val="26"/>
          <w:szCs w:val="26"/>
        </w:rPr>
        <w:t>quipped with polarization</w:t>
      </w:r>
      <w:r w:rsidR="005469E0" w:rsidRPr="00425B5D">
        <w:rPr>
          <w:rFonts w:ascii="Times New Roman" w:eastAsia="Times New Roman" w:hAnsi="Times New Roman" w:cs="Times New Roman"/>
          <w:color w:val="2E2E2E"/>
          <w:sz w:val="26"/>
          <w:szCs w:val="26"/>
        </w:rPr>
        <w:t>,</w:t>
      </w:r>
      <w:r w:rsidRPr="00425B5D">
        <w:rPr>
          <w:rFonts w:ascii="Times New Roman" w:eastAsia="Times New Roman" w:hAnsi="Times New Roman" w:cs="Times New Roman"/>
          <w:color w:val="2E2E2E"/>
          <w:sz w:val="26"/>
          <w:szCs w:val="26"/>
        </w:rPr>
        <w:t xml:space="preserve"> phase contrast </w:t>
      </w:r>
      <w:r w:rsidR="00075A00" w:rsidRPr="00425B5D">
        <w:rPr>
          <w:rFonts w:ascii="Times New Roman" w:eastAsia="Times New Roman" w:hAnsi="Times New Roman" w:cs="Times New Roman"/>
          <w:color w:val="2E2E2E"/>
          <w:sz w:val="26"/>
          <w:szCs w:val="26"/>
        </w:rPr>
        <w:t>and bright</w:t>
      </w:r>
      <w:r w:rsidR="005469E0" w:rsidRPr="00425B5D">
        <w:rPr>
          <w:rFonts w:ascii="Times New Roman" w:eastAsia="Times New Roman" w:hAnsi="Times New Roman" w:cs="Times New Roman"/>
          <w:color w:val="2E2E2E"/>
          <w:sz w:val="26"/>
          <w:szCs w:val="26"/>
        </w:rPr>
        <w:t xml:space="preserve">field </w:t>
      </w:r>
      <w:r w:rsidRPr="00425B5D">
        <w:rPr>
          <w:rFonts w:ascii="Times New Roman" w:eastAsia="Times New Roman" w:hAnsi="Times New Roman" w:cs="Times New Roman"/>
          <w:color w:val="2E2E2E"/>
          <w:sz w:val="26"/>
          <w:szCs w:val="26"/>
        </w:rPr>
        <w:t>optics.</w:t>
      </w:r>
      <w:r w:rsidR="00EB7D6A" w:rsidRPr="00425B5D">
        <w:rPr>
          <w:rFonts w:ascii="Times New Roman" w:eastAsia="Times New Roman" w:hAnsi="Times New Roman" w:cs="Times New Roman"/>
          <w:color w:val="2E2E2E"/>
          <w:sz w:val="26"/>
          <w:szCs w:val="26"/>
        </w:rPr>
        <w:t xml:space="preserve"> </w:t>
      </w:r>
      <w:r w:rsidR="005469E0" w:rsidRPr="00425B5D">
        <w:rPr>
          <w:rFonts w:ascii="Times New Roman" w:eastAsia="Times New Roman" w:hAnsi="Times New Roman" w:cs="Times New Roman"/>
          <w:color w:val="2E2E2E"/>
          <w:sz w:val="26"/>
          <w:szCs w:val="26"/>
        </w:rPr>
        <w:t>Transepts between 4.8 mm and 1</w:t>
      </w:r>
      <w:r w:rsidR="003E214A" w:rsidRPr="00425B5D">
        <w:rPr>
          <w:rFonts w:ascii="Times New Roman" w:eastAsia="Times New Roman" w:hAnsi="Times New Roman" w:cs="Times New Roman"/>
          <w:color w:val="2E2E2E"/>
          <w:sz w:val="26"/>
          <w:szCs w:val="26"/>
        </w:rPr>
        <w:t>4</w:t>
      </w:r>
      <w:r w:rsidR="005469E0" w:rsidRPr="00425B5D">
        <w:rPr>
          <w:rFonts w:ascii="Times New Roman" w:eastAsia="Times New Roman" w:hAnsi="Times New Roman" w:cs="Times New Roman"/>
          <w:color w:val="2E2E2E"/>
          <w:sz w:val="26"/>
          <w:szCs w:val="26"/>
        </w:rPr>
        <w:t>.</w:t>
      </w:r>
      <w:r w:rsidR="003E214A" w:rsidRPr="00425B5D">
        <w:rPr>
          <w:rFonts w:ascii="Times New Roman" w:eastAsia="Times New Roman" w:hAnsi="Times New Roman" w:cs="Times New Roman"/>
          <w:color w:val="2E2E2E"/>
          <w:sz w:val="26"/>
          <w:szCs w:val="26"/>
        </w:rPr>
        <w:t>6</w:t>
      </w:r>
      <w:r w:rsidR="005469E0" w:rsidRPr="00425B5D">
        <w:rPr>
          <w:rFonts w:ascii="Times New Roman" w:eastAsia="Times New Roman" w:hAnsi="Times New Roman" w:cs="Times New Roman"/>
          <w:color w:val="2E2E2E"/>
          <w:sz w:val="26"/>
          <w:szCs w:val="26"/>
        </w:rPr>
        <w:t xml:space="preserve"> mm were observed under all optics. B</w:t>
      </w:r>
      <w:r w:rsidR="00EB7D6A" w:rsidRPr="00425B5D">
        <w:rPr>
          <w:rFonts w:ascii="Times New Roman" w:eastAsia="Times New Roman" w:hAnsi="Times New Roman" w:cs="Times New Roman"/>
          <w:color w:val="2E2E2E"/>
          <w:sz w:val="26"/>
          <w:szCs w:val="26"/>
        </w:rPr>
        <w:t>i</w:t>
      </w:r>
      <w:r w:rsidR="005469E0" w:rsidRPr="00425B5D">
        <w:rPr>
          <w:rFonts w:ascii="Times New Roman" w:eastAsia="Times New Roman" w:hAnsi="Times New Roman" w:cs="Times New Roman"/>
          <w:color w:val="2E2E2E"/>
          <w:sz w:val="26"/>
          <w:szCs w:val="26"/>
        </w:rPr>
        <w:t xml:space="preserve">refringent </w:t>
      </w:r>
      <w:r w:rsidR="00EB7D6A" w:rsidRPr="00425B5D">
        <w:rPr>
          <w:rFonts w:ascii="Times New Roman" w:eastAsia="Times New Roman" w:hAnsi="Times New Roman" w:cs="Times New Roman"/>
          <w:color w:val="2E2E2E"/>
          <w:sz w:val="26"/>
          <w:szCs w:val="26"/>
        </w:rPr>
        <w:t xml:space="preserve">coccolithophore cells </w:t>
      </w:r>
      <w:r w:rsidR="005469E0" w:rsidRPr="00425B5D">
        <w:rPr>
          <w:rFonts w:ascii="Times New Roman" w:eastAsia="Times New Roman" w:hAnsi="Times New Roman" w:cs="Times New Roman"/>
          <w:color w:val="2E2E2E"/>
          <w:sz w:val="26"/>
          <w:szCs w:val="26"/>
        </w:rPr>
        <w:t xml:space="preserve">and coccoliths </w:t>
      </w:r>
      <w:r w:rsidR="00EB7D6A" w:rsidRPr="00425B5D">
        <w:rPr>
          <w:rFonts w:ascii="Times New Roman" w:eastAsia="Times New Roman" w:hAnsi="Times New Roman" w:cs="Times New Roman"/>
          <w:color w:val="2E2E2E"/>
          <w:sz w:val="26"/>
          <w:szCs w:val="26"/>
        </w:rPr>
        <w:t xml:space="preserve">were </w:t>
      </w:r>
      <w:r w:rsidR="005469E0" w:rsidRPr="00425B5D">
        <w:rPr>
          <w:rFonts w:ascii="Times New Roman" w:eastAsia="Times New Roman" w:hAnsi="Times New Roman" w:cs="Times New Roman"/>
          <w:color w:val="2E2E2E"/>
          <w:sz w:val="26"/>
          <w:szCs w:val="26"/>
        </w:rPr>
        <w:t xml:space="preserve">enumerated using cross polarized optics while </w:t>
      </w:r>
      <w:r w:rsidR="00425B5D" w:rsidRPr="00425B5D">
        <w:rPr>
          <w:rFonts w:ascii="Times New Roman" w:eastAsia="Times New Roman" w:hAnsi="Times New Roman" w:cs="Times New Roman"/>
          <w:color w:val="2E2E2E"/>
          <w:sz w:val="26"/>
          <w:szCs w:val="26"/>
        </w:rPr>
        <w:t>non-birefringent</w:t>
      </w:r>
      <w:r w:rsidR="005469E0" w:rsidRPr="00425B5D">
        <w:rPr>
          <w:rFonts w:ascii="Times New Roman" w:eastAsia="Times New Roman" w:hAnsi="Times New Roman" w:cs="Times New Roman"/>
          <w:color w:val="2E2E2E"/>
          <w:sz w:val="26"/>
          <w:szCs w:val="26"/>
        </w:rPr>
        <w:t xml:space="preserve"> cells were counted us</w:t>
      </w:r>
      <w:r w:rsidR="00075A00" w:rsidRPr="00425B5D">
        <w:rPr>
          <w:rFonts w:ascii="Times New Roman" w:eastAsia="Times New Roman" w:hAnsi="Times New Roman" w:cs="Times New Roman"/>
          <w:color w:val="2E2E2E"/>
          <w:sz w:val="26"/>
          <w:szCs w:val="26"/>
        </w:rPr>
        <w:t>ing phase contrast or brightfi</w:t>
      </w:r>
      <w:r w:rsidR="005469E0" w:rsidRPr="00425B5D">
        <w:rPr>
          <w:rFonts w:ascii="Times New Roman" w:eastAsia="Times New Roman" w:hAnsi="Times New Roman" w:cs="Times New Roman"/>
          <w:color w:val="2E2E2E"/>
          <w:sz w:val="26"/>
          <w:szCs w:val="26"/>
        </w:rPr>
        <w:t>e</w:t>
      </w:r>
      <w:r w:rsidR="00075A00" w:rsidRPr="00425B5D">
        <w:rPr>
          <w:rFonts w:ascii="Times New Roman" w:eastAsia="Times New Roman" w:hAnsi="Times New Roman" w:cs="Times New Roman"/>
          <w:color w:val="2E2E2E"/>
          <w:sz w:val="26"/>
          <w:szCs w:val="26"/>
        </w:rPr>
        <w:t>l</w:t>
      </w:r>
      <w:r w:rsidR="005469E0" w:rsidRPr="00425B5D">
        <w:rPr>
          <w:rFonts w:ascii="Times New Roman" w:eastAsia="Times New Roman" w:hAnsi="Times New Roman" w:cs="Times New Roman"/>
          <w:color w:val="2E2E2E"/>
          <w:sz w:val="26"/>
          <w:szCs w:val="26"/>
        </w:rPr>
        <w:t>d optics</w:t>
      </w:r>
      <w:r w:rsidR="00EB7D6A" w:rsidRPr="00425B5D">
        <w:rPr>
          <w:rFonts w:ascii="Times New Roman" w:eastAsia="Times New Roman" w:hAnsi="Times New Roman" w:cs="Times New Roman"/>
          <w:color w:val="2E2E2E"/>
          <w:sz w:val="26"/>
          <w:szCs w:val="26"/>
        </w:rPr>
        <w:t xml:space="preserve">. The filters were </w:t>
      </w:r>
      <w:r w:rsidR="005469E0" w:rsidRPr="00425B5D">
        <w:rPr>
          <w:rFonts w:ascii="Times New Roman" w:eastAsia="Times New Roman" w:hAnsi="Times New Roman" w:cs="Times New Roman"/>
          <w:color w:val="2E2E2E"/>
          <w:sz w:val="26"/>
          <w:szCs w:val="26"/>
        </w:rPr>
        <w:t>observ</w:t>
      </w:r>
      <w:r w:rsidR="00EB7D6A" w:rsidRPr="00425B5D">
        <w:rPr>
          <w:rFonts w:ascii="Times New Roman" w:eastAsia="Times New Roman" w:hAnsi="Times New Roman" w:cs="Times New Roman"/>
          <w:color w:val="2E2E2E"/>
          <w:sz w:val="26"/>
          <w:szCs w:val="26"/>
        </w:rPr>
        <w:t xml:space="preserve">ed at a magnification of </w:t>
      </w:r>
      <w:r w:rsidR="005469E0" w:rsidRPr="00425B5D">
        <w:rPr>
          <w:rFonts w:ascii="Times New Roman" w:eastAsia="Times New Roman" w:hAnsi="Times New Roman" w:cs="Times New Roman"/>
          <w:color w:val="2E2E2E"/>
          <w:sz w:val="26"/>
          <w:szCs w:val="26"/>
        </w:rPr>
        <w:t xml:space="preserve">1000X and </w:t>
      </w:r>
      <w:r w:rsidR="00EB7D6A" w:rsidRPr="00425B5D">
        <w:rPr>
          <w:rFonts w:ascii="Times New Roman" w:eastAsia="Times New Roman" w:hAnsi="Times New Roman" w:cs="Times New Roman"/>
          <w:color w:val="2E2E2E"/>
          <w:sz w:val="26"/>
          <w:szCs w:val="26"/>
        </w:rPr>
        <w:t xml:space="preserve">400X. </w:t>
      </w:r>
      <w:r w:rsidR="005469E0" w:rsidRPr="00425B5D">
        <w:rPr>
          <w:rFonts w:ascii="Times New Roman" w:eastAsia="Times New Roman" w:hAnsi="Times New Roman" w:cs="Times New Roman"/>
          <w:color w:val="2E2E2E"/>
          <w:sz w:val="26"/>
          <w:szCs w:val="26"/>
        </w:rPr>
        <w:t>Samples observed at the highest magnification were those were a smaller volume of water was analyzed</w:t>
      </w:r>
      <w:r w:rsidR="007D53AF" w:rsidRPr="00425B5D">
        <w:rPr>
          <w:rFonts w:ascii="Times New Roman" w:eastAsia="Times New Roman" w:hAnsi="Times New Roman" w:cs="Times New Roman"/>
          <w:color w:val="2E2E2E"/>
          <w:sz w:val="26"/>
          <w:szCs w:val="26"/>
        </w:rPr>
        <w:t xml:space="preserve"> and were the Detect</w:t>
      </w:r>
      <w:r w:rsidR="00951C18" w:rsidRPr="00425B5D">
        <w:rPr>
          <w:rFonts w:ascii="Times New Roman" w:eastAsia="Times New Roman" w:hAnsi="Times New Roman" w:cs="Times New Roman"/>
          <w:color w:val="2E2E2E"/>
          <w:sz w:val="26"/>
          <w:szCs w:val="26"/>
        </w:rPr>
        <w:t xml:space="preserve">ion </w:t>
      </w:r>
      <w:r w:rsidR="003E214A" w:rsidRPr="00425B5D">
        <w:rPr>
          <w:rFonts w:ascii="Times New Roman" w:eastAsia="Times New Roman" w:hAnsi="Times New Roman" w:cs="Times New Roman"/>
          <w:color w:val="2E2E2E"/>
          <w:sz w:val="26"/>
          <w:szCs w:val="26"/>
        </w:rPr>
        <w:t>l</w:t>
      </w:r>
      <w:r w:rsidR="00951C18" w:rsidRPr="00425B5D">
        <w:rPr>
          <w:rFonts w:ascii="Times New Roman" w:eastAsia="Times New Roman" w:hAnsi="Times New Roman" w:cs="Times New Roman"/>
          <w:color w:val="2E2E2E"/>
          <w:sz w:val="26"/>
          <w:szCs w:val="26"/>
        </w:rPr>
        <w:t>imit of the method was highest,</w:t>
      </w:r>
      <w:r w:rsidR="005469E0" w:rsidRPr="00425B5D">
        <w:rPr>
          <w:rFonts w:ascii="Times New Roman" w:eastAsia="Times New Roman" w:hAnsi="Times New Roman" w:cs="Times New Roman"/>
          <w:color w:val="2E2E2E"/>
          <w:sz w:val="26"/>
          <w:szCs w:val="26"/>
        </w:rPr>
        <w:t xml:space="preserve"> but also those with highest cells abundance</w:t>
      </w:r>
      <w:r w:rsidR="00951C18" w:rsidRPr="00425B5D">
        <w:rPr>
          <w:rFonts w:ascii="Times New Roman" w:eastAsia="Times New Roman" w:hAnsi="Times New Roman" w:cs="Times New Roman"/>
          <w:color w:val="2E2E2E"/>
          <w:sz w:val="26"/>
          <w:szCs w:val="26"/>
        </w:rPr>
        <w:t xml:space="preserve"> (see Table 1).</w:t>
      </w:r>
      <w:r w:rsidR="005469E0" w:rsidRPr="00425B5D">
        <w:rPr>
          <w:rFonts w:ascii="Times New Roman" w:eastAsia="Times New Roman" w:hAnsi="Times New Roman" w:cs="Times New Roman"/>
          <w:color w:val="2E2E2E"/>
          <w:sz w:val="26"/>
          <w:szCs w:val="26"/>
        </w:rPr>
        <w:t xml:space="preserve"> </w:t>
      </w:r>
      <w:r w:rsidR="00EB7D6A" w:rsidRPr="00425B5D">
        <w:rPr>
          <w:rFonts w:ascii="Times New Roman" w:eastAsia="Times New Roman" w:hAnsi="Times New Roman" w:cs="Times New Roman"/>
          <w:color w:val="2E2E2E"/>
          <w:sz w:val="26"/>
          <w:szCs w:val="26"/>
        </w:rPr>
        <w:t xml:space="preserve">Given the magnification, volume filtered, and </w:t>
      </w:r>
      <w:r w:rsidR="005469E0" w:rsidRPr="00425B5D">
        <w:rPr>
          <w:rFonts w:ascii="Times New Roman" w:eastAsia="Times New Roman" w:hAnsi="Times New Roman" w:cs="Times New Roman"/>
          <w:color w:val="2E2E2E"/>
          <w:sz w:val="26"/>
          <w:szCs w:val="26"/>
        </w:rPr>
        <w:t>transept length</w:t>
      </w:r>
      <w:r w:rsidR="00EB7D6A" w:rsidRPr="00425B5D">
        <w:rPr>
          <w:rFonts w:ascii="Times New Roman" w:eastAsia="Times New Roman" w:hAnsi="Times New Roman" w:cs="Times New Roman"/>
          <w:color w:val="2E2E2E"/>
          <w:sz w:val="26"/>
          <w:szCs w:val="26"/>
        </w:rPr>
        <w:t xml:space="preserve"> examined, the effecti</w:t>
      </w:r>
      <w:r w:rsidR="005469E0" w:rsidRPr="00425B5D">
        <w:rPr>
          <w:rFonts w:ascii="Times New Roman" w:eastAsia="Times New Roman" w:hAnsi="Times New Roman" w:cs="Times New Roman"/>
          <w:color w:val="2E2E2E"/>
          <w:sz w:val="26"/>
          <w:szCs w:val="26"/>
        </w:rPr>
        <w:t>ve volume counted per sample ranged between</w:t>
      </w:r>
      <w:r w:rsidR="00EB7D6A" w:rsidRPr="00425B5D">
        <w:rPr>
          <w:rFonts w:ascii="Times New Roman" w:eastAsia="Times New Roman" w:hAnsi="Times New Roman" w:cs="Times New Roman"/>
          <w:color w:val="2E2E2E"/>
          <w:sz w:val="26"/>
          <w:szCs w:val="26"/>
        </w:rPr>
        <w:t xml:space="preserve"> </w:t>
      </w:r>
      <w:r w:rsidR="005469E0" w:rsidRPr="00425B5D">
        <w:rPr>
          <w:rFonts w:ascii="Times New Roman" w:eastAsia="Times New Roman" w:hAnsi="Times New Roman" w:cs="Times New Roman"/>
          <w:color w:val="2E2E2E"/>
          <w:sz w:val="26"/>
          <w:szCs w:val="26"/>
        </w:rPr>
        <w:t>2</w:t>
      </w:r>
      <w:r w:rsidR="00EB7D6A" w:rsidRPr="00425B5D">
        <w:rPr>
          <w:rFonts w:ascii="Times New Roman" w:eastAsia="Times New Roman" w:hAnsi="Times New Roman" w:cs="Times New Roman"/>
          <w:color w:val="2E2E2E"/>
          <w:sz w:val="26"/>
          <w:szCs w:val="26"/>
        </w:rPr>
        <w:t>.</w:t>
      </w:r>
      <w:r w:rsidR="005469E0" w:rsidRPr="00425B5D">
        <w:rPr>
          <w:rFonts w:ascii="Times New Roman" w:eastAsia="Times New Roman" w:hAnsi="Times New Roman" w:cs="Times New Roman"/>
          <w:color w:val="2E2E2E"/>
          <w:sz w:val="26"/>
          <w:szCs w:val="26"/>
        </w:rPr>
        <w:t>2 - 3</w:t>
      </w:r>
      <w:r w:rsidR="00EB7D6A" w:rsidRPr="00425B5D">
        <w:rPr>
          <w:rFonts w:ascii="Times New Roman" w:eastAsia="Times New Roman" w:hAnsi="Times New Roman" w:cs="Times New Roman"/>
          <w:color w:val="2E2E2E"/>
          <w:sz w:val="26"/>
          <w:szCs w:val="26"/>
        </w:rPr>
        <w:t>3</w:t>
      </w:r>
      <w:r w:rsidR="005469E0" w:rsidRPr="00425B5D">
        <w:rPr>
          <w:rFonts w:ascii="Times New Roman" w:eastAsia="Times New Roman" w:hAnsi="Times New Roman" w:cs="Times New Roman"/>
          <w:color w:val="2E2E2E"/>
          <w:sz w:val="26"/>
          <w:szCs w:val="26"/>
        </w:rPr>
        <w:t>.0</w:t>
      </w:r>
      <w:r w:rsidR="00EB7D6A" w:rsidRPr="00425B5D">
        <w:rPr>
          <w:rFonts w:ascii="Times New Roman" w:eastAsia="Calibri" w:hAnsi="Times New Roman" w:cs="Times New Roman"/>
          <w:color w:val="2E2E2E"/>
          <w:sz w:val="26"/>
          <w:szCs w:val="26"/>
        </w:rPr>
        <w:t> </w:t>
      </w:r>
      <w:r w:rsidR="00951C18" w:rsidRPr="00425B5D">
        <w:rPr>
          <w:rFonts w:ascii="Times New Roman" w:eastAsia="Times New Roman" w:hAnsi="Times New Roman" w:cs="Times New Roman"/>
          <w:color w:val="2E2E2E"/>
          <w:sz w:val="26"/>
          <w:szCs w:val="26"/>
        </w:rPr>
        <w:t>ml (average 13.7 ml</w:t>
      </w:r>
      <w:r w:rsidR="005469E0" w:rsidRPr="00425B5D">
        <w:rPr>
          <w:rFonts w:ascii="Times New Roman" w:eastAsia="Times New Roman" w:hAnsi="Times New Roman" w:cs="Times New Roman"/>
          <w:color w:val="2E2E2E"/>
          <w:sz w:val="26"/>
          <w:szCs w:val="26"/>
        </w:rPr>
        <w:t xml:space="preserve">). </w:t>
      </w:r>
      <w:r w:rsidR="003E214A" w:rsidRPr="00425B5D">
        <w:rPr>
          <w:rFonts w:ascii="Times New Roman" w:hAnsi="Times New Roman" w:cs="Times New Roman"/>
          <w:sz w:val="26"/>
          <w:szCs w:val="26"/>
        </w:rPr>
        <w:t xml:space="preserve">A minimum of 100 cells were counted per sample (average of 190 cells and maximum of 777 cells). </w:t>
      </w:r>
    </w:p>
    <w:p w14:paraId="2AA95005" w14:textId="77777777" w:rsidR="003E214A" w:rsidRPr="00425B5D" w:rsidRDefault="003E214A" w:rsidP="003E214A">
      <w:pPr>
        <w:pStyle w:val="Default"/>
        <w:rPr>
          <w:sz w:val="26"/>
          <w:szCs w:val="26"/>
        </w:rPr>
      </w:pPr>
      <w:r w:rsidRPr="00425B5D">
        <w:rPr>
          <w:sz w:val="26"/>
          <w:szCs w:val="26"/>
        </w:rPr>
        <w:t>Table 1.</w:t>
      </w:r>
    </w:p>
    <w:tbl>
      <w:tblPr>
        <w:tblW w:w="9918" w:type="dxa"/>
        <w:tblCellMar>
          <w:left w:w="70" w:type="dxa"/>
          <w:right w:w="70" w:type="dxa"/>
        </w:tblCellMar>
        <w:tblLook w:val="04A0" w:firstRow="1" w:lastRow="0" w:firstColumn="1" w:lastColumn="0" w:noHBand="0" w:noVBand="1"/>
      </w:tblPr>
      <w:tblGrid>
        <w:gridCol w:w="3539"/>
        <w:gridCol w:w="1260"/>
        <w:gridCol w:w="2000"/>
        <w:gridCol w:w="1135"/>
        <w:gridCol w:w="1984"/>
      </w:tblGrid>
      <w:tr w:rsidR="003E214A" w:rsidRPr="003E214A" w14:paraId="49DC1C79" w14:textId="77777777" w:rsidTr="00917005">
        <w:trPr>
          <w:trHeight w:val="250"/>
        </w:trPr>
        <w:tc>
          <w:tcPr>
            <w:tcW w:w="3539" w:type="dxa"/>
            <w:tcBorders>
              <w:top w:val="single" w:sz="4" w:space="0" w:color="auto"/>
              <w:left w:val="single" w:sz="4" w:space="0" w:color="auto"/>
              <w:bottom w:val="nil"/>
              <w:right w:val="single" w:sz="4" w:space="0" w:color="auto"/>
            </w:tcBorders>
            <w:shd w:val="clear" w:color="auto" w:fill="auto"/>
            <w:noWrap/>
            <w:vAlign w:val="bottom"/>
            <w:hideMark/>
          </w:tcPr>
          <w:p w14:paraId="3C6F9341" w14:textId="77777777" w:rsidR="003E214A" w:rsidRPr="003E214A" w:rsidRDefault="003E214A" w:rsidP="00917005">
            <w:pP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 </w:t>
            </w:r>
          </w:p>
        </w:tc>
        <w:tc>
          <w:tcPr>
            <w:tcW w:w="6379" w:type="dxa"/>
            <w:gridSpan w:val="4"/>
            <w:tcBorders>
              <w:top w:val="single" w:sz="4" w:space="0" w:color="auto"/>
              <w:left w:val="nil"/>
              <w:bottom w:val="nil"/>
              <w:right w:val="single" w:sz="4" w:space="0" w:color="000000"/>
            </w:tcBorders>
            <w:shd w:val="clear" w:color="auto" w:fill="auto"/>
            <w:noWrap/>
            <w:vAlign w:val="bottom"/>
            <w:hideMark/>
          </w:tcPr>
          <w:p w14:paraId="1F70EA60" w14:textId="77777777" w:rsidR="003E214A" w:rsidRPr="003E214A" w:rsidRDefault="003E214A" w:rsidP="00917005">
            <w:pPr>
              <w:jc w:val="cente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Magnification</w:t>
            </w:r>
          </w:p>
        </w:tc>
      </w:tr>
      <w:tr w:rsidR="003E214A" w:rsidRPr="003E214A" w14:paraId="0F9EAB8C" w14:textId="77777777" w:rsidTr="00917005">
        <w:trPr>
          <w:trHeight w:val="25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C3D1F42" w14:textId="77777777" w:rsidR="003E214A" w:rsidRPr="003E214A" w:rsidRDefault="003E214A" w:rsidP="00917005">
            <w:pP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 </w:t>
            </w:r>
          </w:p>
        </w:tc>
        <w:tc>
          <w:tcPr>
            <w:tcW w:w="3260" w:type="dxa"/>
            <w:gridSpan w:val="2"/>
            <w:tcBorders>
              <w:top w:val="nil"/>
              <w:left w:val="nil"/>
              <w:bottom w:val="single" w:sz="4" w:space="0" w:color="auto"/>
              <w:right w:val="nil"/>
            </w:tcBorders>
            <w:shd w:val="clear" w:color="auto" w:fill="auto"/>
            <w:noWrap/>
            <w:vAlign w:val="bottom"/>
            <w:hideMark/>
          </w:tcPr>
          <w:p w14:paraId="6FE4DD86" w14:textId="77777777" w:rsidR="003E214A" w:rsidRPr="003E214A" w:rsidRDefault="003E214A" w:rsidP="00917005">
            <w:pPr>
              <w:jc w:val="cente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1000X</w:t>
            </w:r>
          </w:p>
        </w:tc>
        <w:tc>
          <w:tcPr>
            <w:tcW w:w="3119" w:type="dxa"/>
            <w:gridSpan w:val="2"/>
            <w:tcBorders>
              <w:top w:val="nil"/>
              <w:left w:val="nil"/>
              <w:bottom w:val="single" w:sz="4" w:space="0" w:color="auto"/>
              <w:right w:val="single" w:sz="4" w:space="0" w:color="000000"/>
            </w:tcBorders>
            <w:shd w:val="clear" w:color="auto" w:fill="auto"/>
            <w:noWrap/>
            <w:vAlign w:val="bottom"/>
            <w:hideMark/>
          </w:tcPr>
          <w:p w14:paraId="3A134083" w14:textId="77777777" w:rsidR="003E214A" w:rsidRPr="003E214A" w:rsidRDefault="003E214A" w:rsidP="00917005">
            <w:pPr>
              <w:jc w:val="cente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400X</w:t>
            </w:r>
          </w:p>
        </w:tc>
      </w:tr>
      <w:tr w:rsidR="003E214A" w:rsidRPr="003E214A" w14:paraId="4593953E" w14:textId="77777777" w:rsidTr="00917005">
        <w:trPr>
          <w:trHeight w:val="250"/>
        </w:trPr>
        <w:tc>
          <w:tcPr>
            <w:tcW w:w="3539" w:type="dxa"/>
            <w:tcBorders>
              <w:top w:val="nil"/>
              <w:left w:val="single" w:sz="4" w:space="0" w:color="auto"/>
              <w:bottom w:val="nil"/>
              <w:right w:val="nil"/>
            </w:tcBorders>
            <w:shd w:val="clear" w:color="auto" w:fill="auto"/>
            <w:noWrap/>
            <w:vAlign w:val="bottom"/>
            <w:hideMark/>
          </w:tcPr>
          <w:p w14:paraId="5527D80D" w14:textId="77777777" w:rsidR="003E214A" w:rsidRPr="003E214A" w:rsidRDefault="003E214A" w:rsidP="00917005">
            <w:pP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 xml:space="preserve">Av. Volume </w:t>
            </w:r>
            <w:r w:rsidRPr="00425B5D">
              <w:rPr>
                <w:rFonts w:ascii="Arial" w:eastAsia="Times New Roman" w:hAnsi="Arial" w:cs="Arial"/>
                <w:sz w:val="20"/>
                <w:szCs w:val="20"/>
                <w:lang w:val="en-GB" w:eastAsia="fr-FR"/>
              </w:rPr>
              <w:t>analysed</w:t>
            </w:r>
            <w:r w:rsidRPr="003E214A">
              <w:rPr>
                <w:rFonts w:ascii="Arial" w:eastAsia="Times New Roman" w:hAnsi="Arial" w:cs="Arial"/>
                <w:sz w:val="20"/>
                <w:szCs w:val="20"/>
                <w:lang w:val="en-GB" w:eastAsia="fr-FR"/>
              </w:rPr>
              <w:t>, ml (Min., Max.)</w:t>
            </w:r>
          </w:p>
        </w:tc>
        <w:tc>
          <w:tcPr>
            <w:tcW w:w="1260" w:type="dxa"/>
            <w:tcBorders>
              <w:top w:val="nil"/>
              <w:left w:val="single" w:sz="4" w:space="0" w:color="auto"/>
              <w:bottom w:val="nil"/>
              <w:right w:val="nil"/>
            </w:tcBorders>
            <w:shd w:val="clear" w:color="auto" w:fill="auto"/>
            <w:noWrap/>
            <w:vAlign w:val="bottom"/>
            <w:hideMark/>
          </w:tcPr>
          <w:p w14:paraId="74983B6B" w14:textId="77777777" w:rsidR="003E214A" w:rsidRPr="003E214A" w:rsidRDefault="003E214A" w:rsidP="00917005">
            <w:pPr>
              <w:jc w:val="right"/>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5.6</w:t>
            </w:r>
          </w:p>
        </w:tc>
        <w:tc>
          <w:tcPr>
            <w:tcW w:w="2000" w:type="dxa"/>
            <w:tcBorders>
              <w:top w:val="nil"/>
              <w:left w:val="nil"/>
              <w:bottom w:val="nil"/>
              <w:right w:val="single" w:sz="4" w:space="0" w:color="auto"/>
            </w:tcBorders>
            <w:shd w:val="clear" w:color="auto" w:fill="auto"/>
            <w:noWrap/>
            <w:vAlign w:val="bottom"/>
            <w:hideMark/>
          </w:tcPr>
          <w:p w14:paraId="0F2C69C4" w14:textId="77777777" w:rsidR="003E214A" w:rsidRPr="003E214A" w:rsidRDefault="003E214A" w:rsidP="00917005">
            <w:pPr>
              <w:jc w:val="cente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 xml:space="preserve">   (2.2 - 11.0)</w:t>
            </w:r>
          </w:p>
        </w:tc>
        <w:tc>
          <w:tcPr>
            <w:tcW w:w="1135" w:type="dxa"/>
            <w:tcBorders>
              <w:top w:val="nil"/>
              <w:left w:val="nil"/>
              <w:bottom w:val="nil"/>
              <w:right w:val="nil"/>
            </w:tcBorders>
            <w:shd w:val="clear" w:color="auto" w:fill="auto"/>
            <w:noWrap/>
            <w:vAlign w:val="bottom"/>
            <w:hideMark/>
          </w:tcPr>
          <w:p w14:paraId="35E23B47" w14:textId="77777777" w:rsidR="003E214A" w:rsidRPr="003E214A" w:rsidRDefault="003E214A" w:rsidP="00917005">
            <w:pPr>
              <w:jc w:val="right"/>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20.0</w:t>
            </w:r>
          </w:p>
        </w:tc>
        <w:tc>
          <w:tcPr>
            <w:tcW w:w="1984" w:type="dxa"/>
            <w:tcBorders>
              <w:top w:val="nil"/>
              <w:left w:val="nil"/>
              <w:bottom w:val="nil"/>
              <w:right w:val="single" w:sz="4" w:space="0" w:color="auto"/>
            </w:tcBorders>
            <w:shd w:val="clear" w:color="auto" w:fill="auto"/>
            <w:noWrap/>
            <w:vAlign w:val="bottom"/>
            <w:hideMark/>
          </w:tcPr>
          <w:p w14:paraId="4308D9AD" w14:textId="77777777" w:rsidR="003E214A" w:rsidRPr="003E214A" w:rsidRDefault="003E214A" w:rsidP="00917005">
            <w:pPr>
              <w:jc w:val="cente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 xml:space="preserve">  (11.5 - 33.0)</w:t>
            </w:r>
          </w:p>
        </w:tc>
      </w:tr>
      <w:tr w:rsidR="003E214A" w:rsidRPr="003E214A" w14:paraId="0BC362CE" w14:textId="77777777" w:rsidTr="00917005">
        <w:trPr>
          <w:trHeight w:val="250"/>
        </w:trPr>
        <w:tc>
          <w:tcPr>
            <w:tcW w:w="3539" w:type="dxa"/>
            <w:tcBorders>
              <w:top w:val="nil"/>
              <w:left w:val="single" w:sz="4" w:space="0" w:color="auto"/>
              <w:bottom w:val="nil"/>
              <w:right w:val="nil"/>
            </w:tcBorders>
            <w:shd w:val="clear" w:color="auto" w:fill="auto"/>
            <w:noWrap/>
            <w:vAlign w:val="bottom"/>
            <w:hideMark/>
          </w:tcPr>
          <w:p w14:paraId="49D14BBB" w14:textId="77777777" w:rsidR="003E214A" w:rsidRPr="003E214A" w:rsidRDefault="003E214A" w:rsidP="00917005">
            <w:pP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Av. Counted Cells (Min., Max.)</w:t>
            </w:r>
          </w:p>
        </w:tc>
        <w:tc>
          <w:tcPr>
            <w:tcW w:w="1260" w:type="dxa"/>
            <w:tcBorders>
              <w:top w:val="nil"/>
              <w:left w:val="single" w:sz="4" w:space="0" w:color="auto"/>
              <w:bottom w:val="nil"/>
              <w:right w:val="nil"/>
            </w:tcBorders>
            <w:shd w:val="clear" w:color="auto" w:fill="auto"/>
            <w:noWrap/>
            <w:vAlign w:val="bottom"/>
            <w:hideMark/>
          </w:tcPr>
          <w:p w14:paraId="7D532776" w14:textId="77777777" w:rsidR="003E214A" w:rsidRPr="003E214A" w:rsidRDefault="003E214A" w:rsidP="00917005">
            <w:pPr>
              <w:jc w:val="right"/>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250</w:t>
            </w:r>
          </w:p>
        </w:tc>
        <w:tc>
          <w:tcPr>
            <w:tcW w:w="2000" w:type="dxa"/>
            <w:tcBorders>
              <w:top w:val="nil"/>
              <w:left w:val="nil"/>
              <w:bottom w:val="nil"/>
              <w:right w:val="single" w:sz="4" w:space="0" w:color="auto"/>
            </w:tcBorders>
            <w:shd w:val="clear" w:color="auto" w:fill="auto"/>
            <w:noWrap/>
            <w:vAlign w:val="bottom"/>
            <w:hideMark/>
          </w:tcPr>
          <w:p w14:paraId="7A1DD499" w14:textId="77777777" w:rsidR="003E214A" w:rsidRPr="003E214A" w:rsidRDefault="003E214A" w:rsidP="00917005">
            <w:pPr>
              <w:jc w:val="cente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 xml:space="preserve">  (112 - 777)</w:t>
            </w:r>
          </w:p>
        </w:tc>
        <w:tc>
          <w:tcPr>
            <w:tcW w:w="1135" w:type="dxa"/>
            <w:tcBorders>
              <w:top w:val="nil"/>
              <w:left w:val="nil"/>
              <w:bottom w:val="nil"/>
              <w:right w:val="nil"/>
            </w:tcBorders>
            <w:shd w:val="clear" w:color="auto" w:fill="auto"/>
            <w:noWrap/>
            <w:vAlign w:val="bottom"/>
            <w:hideMark/>
          </w:tcPr>
          <w:p w14:paraId="6571DFCD" w14:textId="77777777" w:rsidR="003E214A" w:rsidRPr="003E214A" w:rsidRDefault="003E214A" w:rsidP="00917005">
            <w:pPr>
              <w:jc w:val="right"/>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144</w:t>
            </w:r>
          </w:p>
        </w:tc>
        <w:tc>
          <w:tcPr>
            <w:tcW w:w="1984" w:type="dxa"/>
            <w:tcBorders>
              <w:top w:val="nil"/>
              <w:left w:val="nil"/>
              <w:bottom w:val="nil"/>
              <w:right w:val="single" w:sz="4" w:space="0" w:color="auto"/>
            </w:tcBorders>
            <w:shd w:val="clear" w:color="auto" w:fill="auto"/>
            <w:noWrap/>
            <w:vAlign w:val="bottom"/>
            <w:hideMark/>
          </w:tcPr>
          <w:p w14:paraId="5CA39CCE" w14:textId="77777777" w:rsidR="003E214A" w:rsidRPr="003E214A" w:rsidRDefault="003E214A" w:rsidP="00917005">
            <w:pPr>
              <w:jc w:val="cente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 xml:space="preserve">  (100 - 279)</w:t>
            </w:r>
          </w:p>
        </w:tc>
      </w:tr>
      <w:tr w:rsidR="003E214A" w:rsidRPr="003E214A" w14:paraId="38946905" w14:textId="77777777" w:rsidTr="00917005">
        <w:trPr>
          <w:trHeight w:val="250"/>
        </w:trPr>
        <w:tc>
          <w:tcPr>
            <w:tcW w:w="3539" w:type="dxa"/>
            <w:tcBorders>
              <w:top w:val="nil"/>
              <w:left w:val="single" w:sz="4" w:space="0" w:color="auto"/>
              <w:bottom w:val="nil"/>
              <w:right w:val="nil"/>
            </w:tcBorders>
            <w:shd w:val="clear" w:color="auto" w:fill="auto"/>
            <w:noWrap/>
            <w:vAlign w:val="bottom"/>
            <w:hideMark/>
          </w:tcPr>
          <w:p w14:paraId="61B235C0" w14:textId="77777777" w:rsidR="003E214A" w:rsidRPr="003E214A" w:rsidRDefault="003E214A" w:rsidP="00917005">
            <w:pPr>
              <w:rPr>
                <w:rFonts w:ascii="Arial" w:eastAsia="Times New Roman" w:hAnsi="Arial" w:cs="Arial"/>
                <w:sz w:val="20"/>
                <w:szCs w:val="20"/>
                <w:lang w:val="en-GB" w:eastAsia="fr-FR"/>
              </w:rPr>
            </w:pPr>
            <w:proofErr w:type="spellStart"/>
            <w:proofErr w:type="gramStart"/>
            <w:r w:rsidRPr="003E214A">
              <w:rPr>
                <w:rFonts w:ascii="Arial" w:eastAsia="Times New Roman" w:hAnsi="Arial" w:cs="Arial"/>
                <w:sz w:val="20"/>
                <w:szCs w:val="20"/>
                <w:lang w:val="en-GB" w:eastAsia="fr-FR"/>
              </w:rPr>
              <w:t>Av.Total</w:t>
            </w:r>
            <w:proofErr w:type="spellEnd"/>
            <w:proofErr w:type="gramEnd"/>
            <w:r w:rsidRPr="003E214A">
              <w:rPr>
                <w:rFonts w:ascii="Arial" w:eastAsia="Times New Roman" w:hAnsi="Arial" w:cs="Arial"/>
                <w:sz w:val="20"/>
                <w:szCs w:val="20"/>
                <w:lang w:val="en-GB" w:eastAsia="fr-FR"/>
              </w:rPr>
              <w:t xml:space="preserve"> Cell Abundance, cells/l (Min., Max.)</w:t>
            </w:r>
          </w:p>
        </w:tc>
        <w:tc>
          <w:tcPr>
            <w:tcW w:w="1260" w:type="dxa"/>
            <w:tcBorders>
              <w:top w:val="nil"/>
              <w:left w:val="single" w:sz="4" w:space="0" w:color="auto"/>
              <w:bottom w:val="nil"/>
              <w:right w:val="nil"/>
            </w:tcBorders>
            <w:shd w:val="clear" w:color="auto" w:fill="auto"/>
            <w:noWrap/>
            <w:vAlign w:val="bottom"/>
            <w:hideMark/>
          </w:tcPr>
          <w:p w14:paraId="0CC4FA71" w14:textId="77777777" w:rsidR="003E214A" w:rsidRPr="003E214A" w:rsidRDefault="003E214A" w:rsidP="00917005">
            <w:pPr>
              <w:jc w:val="right"/>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5.8E+04</w:t>
            </w:r>
          </w:p>
        </w:tc>
        <w:tc>
          <w:tcPr>
            <w:tcW w:w="2000" w:type="dxa"/>
            <w:tcBorders>
              <w:top w:val="nil"/>
              <w:left w:val="nil"/>
              <w:bottom w:val="nil"/>
              <w:right w:val="single" w:sz="4" w:space="0" w:color="auto"/>
            </w:tcBorders>
            <w:shd w:val="clear" w:color="auto" w:fill="auto"/>
            <w:noWrap/>
            <w:vAlign w:val="bottom"/>
            <w:hideMark/>
          </w:tcPr>
          <w:p w14:paraId="7BC885E8" w14:textId="77777777" w:rsidR="003E214A" w:rsidRPr="003E214A" w:rsidRDefault="003E214A" w:rsidP="00917005">
            <w:pPr>
              <w:jc w:val="cente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(1.5E+04 - 1.5E+05)</w:t>
            </w:r>
          </w:p>
        </w:tc>
        <w:tc>
          <w:tcPr>
            <w:tcW w:w="1135" w:type="dxa"/>
            <w:tcBorders>
              <w:top w:val="nil"/>
              <w:left w:val="nil"/>
              <w:bottom w:val="nil"/>
              <w:right w:val="nil"/>
            </w:tcBorders>
            <w:shd w:val="clear" w:color="auto" w:fill="auto"/>
            <w:noWrap/>
            <w:vAlign w:val="bottom"/>
            <w:hideMark/>
          </w:tcPr>
          <w:p w14:paraId="56C612B6" w14:textId="77777777" w:rsidR="003E214A" w:rsidRPr="003E214A" w:rsidRDefault="003E214A" w:rsidP="00917005">
            <w:pPr>
              <w:jc w:val="right"/>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8.0E+03</w:t>
            </w:r>
          </w:p>
        </w:tc>
        <w:tc>
          <w:tcPr>
            <w:tcW w:w="1984" w:type="dxa"/>
            <w:tcBorders>
              <w:top w:val="nil"/>
              <w:left w:val="nil"/>
              <w:bottom w:val="nil"/>
              <w:right w:val="single" w:sz="4" w:space="0" w:color="auto"/>
            </w:tcBorders>
            <w:shd w:val="clear" w:color="auto" w:fill="auto"/>
            <w:noWrap/>
            <w:vAlign w:val="bottom"/>
            <w:hideMark/>
          </w:tcPr>
          <w:p w14:paraId="07C8ACA8" w14:textId="77777777" w:rsidR="003E214A" w:rsidRPr="003E214A" w:rsidRDefault="003E214A" w:rsidP="00917005">
            <w:pP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(3.4E+03 - 1.4E+04)</w:t>
            </w:r>
          </w:p>
        </w:tc>
      </w:tr>
      <w:tr w:rsidR="003E214A" w:rsidRPr="003E214A" w14:paraId="2F8D0ABD" w14:textId="77777777" w:rsidTr="00917005">
        <w:trPr>
          <w:trHeight w:val="250"/>
        </w:trPr>
        <w:tc>
          <w:tcPr>
            <w:tcW w:w="3539" w:type="dxa"/>
            <w:tcBorders>
              <w:top w:val="nil"/>
              <w:left w:val="single" w:sz="4" w:space="0" w:color="auto"/>
              <w:bottom w:val="nil"/>
              <w:right w:val="nil"/>
            </w:tcBorders>
            <w:shd w:val="clear" w:color="auto" w:fill="auto"/>
            <w:noWrap/>
            <w:vAlign w:val="bottom"/>
            <w:hideMark/>
          </w:tcPr>
          <w:p w14:paraId="308DC34D" w14:textId="77777777" w:rsidR="003E214A" w:rsidRPr="003E214A" w:rsidRDefault="003E214A" w:rsidP="00917005">
            <w:pP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Detection limit*, cells/l</w:t>
            </w:r>
          </w:p>
        </w:tc>
        <w:tc>
          <w:tcPr>
            <w:tcW w:w="1260" w:type="dxa"/>
            <w:tcBorders>
              <w:top w:val="nil"/>
              <w:left w:val="single" w:sz="4" w:space="0" w:color="auto"/>
              <w:bottom w:val="nil"/>
              <w:right w:val="nil"/>
            </w:tcBorders>
            <w:shd w:val="clear" w:color="auto" w:fill="auto"/>
            <w:noWrap/>
            <w:vAlign w:val="bottom"/>
            <w:hideMark/>
          </w:tcPr>
          <w:p w14:paraId="498A3CAF" w14:textId="77777777" w:rsidR="003E214A" w:rsidRPr="003E214A" w:rsidRDefault="003E214A" w:rsidP="00917005">
            <w:pP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 </w:t>
            </w:r>
          </w:p>
        </w:tc>
        <w:tc>
          <w:tcPr>
            <w:tcW w:w="2000" w:type="dxa"/>
            <w:tcBorders>
              <w:top w:val="nil"/>
              <w:left w:val="nil"/>
              <w:bottom w:val="nil"/>
              <w:right w:val="single" w:sz="4" w:space="0" w:color="auto"/>
            </w:tcBorders>
            <w:shd w:val="clear" w:color="auto" w:fill="auto"/>
            <w:noWrap/>
            <w:vAlign w:val="bottom"/>
            <w:hideMark/>
          </w:tcPr>
          <w:p w14:paraId="5746EC00" w14:textId="77777777" w:rsidR="003E214A" w:rsidRPr="003E214A" w:rsidRDefault="003E214A" w:rsidP="00917005">
            <w:pPr>
              <w:jc w:val="cente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(1.5E+03 - 3.0E+02)</w:t>
            </w:r>
          </w:p>
        </w:tc>
        <w:tc>
          <w:tcPr>
            <w:tcW w:w="1135" w:type="dxa"/>
            <w:tcBorders>
              <w:top w:val="nil"/>
              <w:left w:val="nil"/>
              <w:bottom w:val="nil"/>
              <w:right w:val="nil"/>
            </w:tcBorders>
            <w:shd w:val="clear" w:color="auto" w:fill="auto"/>
            <w:noWrap/>
            <w:vAlign w:val="bottom"/>
            <w:hideMark/>
          </w:tcPr>
          <w:p w14:paraId="56D8A174" w14:textId="77777777" w:rsidR="003E214A" w:rsidRPr="003E214A" w:rsidRDefault="003E214A" w:rsidP="00917005">
            <w:pP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 </w:t>
            </w:r>
          </w:p>
        </w:tc>
        <w:tc>
          <w:tcPr>
            <w:tcW w:w="1984" w:type="dxa"/>
            <w:tcBorders>
              <w:top w:val="nil"/>
              <w:left w:val="nil"/>
              <w:bottom w:val="nil"/>
              <w:right w:val="single" w:sz="4" w:space="0" w:color="auto"/>
            </w:tcBorders>
            <w:shd w:val="clear" w:color="auto" w:fill="auto"/>
            <w:noWrap/>
            <w:vAlign w:val="bottom"/>
            <w:hideMark/>
          </w:tcPr>
          <w:p w14:paraId="4FB6B6BB" w14:textId="77777777" w:rsidR="003E214A" w:rsidRPr="003E214A" w:rsidRDefault="003E214A" w:rsidP="00917005">
            <w:pP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(3.0E+02 - 1.0E+02)</w:t>
            </w:r>
          </w:p>
        </w:tc>
      </w:tr>
      <w:tr w:rsidR="003E214A" w:rsidRPr="003E214A" w14:paraId="52FBB242" w14:textId="77777777" w:rsidTr="00917005">
        <w:trPr>
          <w:trHeight w:val="250"/>
        </w:trPr>
        <w:tc>
          <w:tcPr>
            <w:tcW w:w="3539" w:type="dxa"/>
            <w:tcBorders>
              <w:top w:val="nil"/>
              <w:left w:val="single" w:sz="4" w:space="0" w:color="auto"/>
              <w:bottom w:val="single" w:sz="4" w:space="0" w:color="auto"/>
              <w:right w:val="nil"/>
            </w:tcBorders>
            <w:shd w:val="clear" w:color="auto" w:fill="auto"/>
            <w:noWrap/>
            <w:vAlign w:val="bottom"/>
            <w:hideMark/>
          </w:tcPr>
          <w:p w14:paraId="50E1B03A" w14:textId="77777777" w:rsidR="003E214A" w:rsidRPr="003E214A" w:rsidRDefault="003E214A" w:rsidP="00917005">
            <w:pP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 </w:t>
            </w:r>
          </w:p>
        </w:tc>
        <w:tc>
          <w:tcPr>
            <w:tcW w:w="3260" w:type="dxa"/>
            <w:gridSpan w:val="2"/>
            <w:tcBorders>
              <w:top w:val="nil"/>
              <w:left w:val="single" w:sz="4" w:space="0" w:color="auto"/>
              <w:bottom w:val="single" w:sz="4" w:space="0" w:color="auto"/>
              <w:right w:val="single" w:sz="4" w:space="0" w:color="000000"/>
            </w:tcBorders>
            <w:shd w:val="clear" w:color="auto" w:fill="auto"/>
            <w:noWrap/>
            <w:vAlign w:val="bottom"/>
            <w:hideMark/>
          </w:tcPr>
          <w:p w14:paraId="7D328A6B" w14:textId="77777777" w:rsidR="003E214A" w:rsidRPr="003E214A" w:rsidRDefault="003E214A" w:rsidP="00917005">
            <w:pPr>
              <w:jc w:val="cente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 xml:space="preserve">Only PERLE_1 </w:t>
            </w:r>
            <w:proofErr w:type="gramStart"/>
            <w:r w:rsidRPr="003E214A">
              <w:rPr>
                <w:rFonts w:ascii="Arial" w:eastAsia="Times New Roman" w:hAnsi="Arial" w:cs="Arial"/>
                <w:sz w:val="20"/>
                <w:szCs w:val="20"/>
                <w:lang w:val="en-GB" w:eastAsia="fr-FR"/>
              </w:rPr>
              <w:t>samples</w:t>
            </w:r>
            <w:proofErr w:type="gramEnd"/>
          </w:p>
        </w:tc>
        <w:tc>
          <w:tcPr>
            <w:tcW w:w="3119" w:type="dxa"/>
            <w:gridSpan w:val="2"/>
            <w:tcBorders>
              <w:top w:val="nil"/>
              <w:left w:val="nil"/>
              <w:bottom w:val="single" w:sz="4" w:space="0" w:color="auto"/>
              <w:right w:val="single" w:sz="4" w:space="0" w:color="000000"/>
            </w:tcBorders>
            <w:shd w:val="clear" w:color="auto" w:fill="auto"/>
            <w:noWrap/>
            <w:vAlign w:val="bottom"/>
            <w:hideMark/>
          </w:tcPr>
          <w:p w14:paraId="16F5138C" w14:textId="77777777" w:rsidR="003E214A" w:rsidRPr="003E214A" w:rsidRDefault="003E214A" w:rsidP="00917005">
            <w:pPr>
              <w:jc w:val="center"/>
              <w:rPr>
                <w:rFonts w:ascii="Arial" w:eastAsia="Times New Roman" w:hAnsi="Arial" w:cs="Arial"/>
                <w:sz w:val="20"/>
                <w:szCs w:val="20"/>
                <w:lang w:val="en-GB" w:eastAsia="fr-FR"/>
              </w:rPr>
            </w:pPr>
            <w:r w:rsidRPr="003E214A">
              <w:rPr>
                <w:rFonts w:ascii="Arial" w:eastAsia="Times New Roman" w:hAnsi="Arial" w:cs="Arial"/>
                <w:sz w:val="20"/>
                <w:szCs w:val="20"/>
                <w:lang w:val="en-GB" w:eastAsia="fr-FR"/>
              </w:rPr>
              <w:t>Mostly PERLE_0 samples</w:t>
            </w:r>
          </w:p>
        </w:tc>
      </w:tr>
    </w:tbl>
    <w:p w14:paraId="42D76093" w14:textId="48CF4284" w:rsidR="00425B5D" w:rsidRDefault="00425B5D" w:rsidP="00425B5D">
      <w:pPr>
        <w:widowControl w:val="0"/>
        <w:autoSpaceDE w:val="0"/>
        <w:autoSpaceDN w:val="0"/>
        <w:adjustRightInd w:val="0"/>
        <w:spacing w:after="240" w:line="300" w:lineRule="atLeast"/>
        <w:jc w:val="both"/>
        <w:rPr>
          <w:rFonts w:ascii="Times New Roman" w:eastAsia="Times New Roman" w:hAnsi="Times New Roman" w:cs="Times New Roman"/>
          <w:color w:val="2E2E2E"/>
          <w:sz w:val="26"/>
          <w:szCs w:val="26"/>
          <w:lang w:val="en-GB"/>
        </w:rPr>
      </w:pPr>
      <w:r w:rsidRPr="00425B5D">
        <w:rPr>
          <w:rFonts w:ascii="Times New Roman" w:eastAsia="Times New Roman" w:hAnsi="Times New Roman" w:cs="Times New Roman"/>
          <w:color w:val="2E2E2E"/>
          <w:sz w:val="26"/>
          <w:szCs w:val="26"/>
          <w:lang w:val="en-GB"/>
        </w:rPr>
        <w:t>* Estimated from a Poisson distribution. It depends on the volume analysed, here for minimum and maximum volumes following</w:t>
      </w:r>
      <w:r w:rsidR="000B0FF8">
        <w:rPr>
          <w:rFonts w:ascii="Times New Roman" w:eastAsia="Times New Roman" w:hAnsi="Times New Roman" w:cs="Times New Roman"/>
          <w:color w:val="2E2E2E"/>
          <w:sz w:val="26"/>
          <w:szCs w:val="26"/>
          <w:lang w:val="en-GB"/>
        </w:rPr>
        <w:t xml:space="preserve"> </w:t>
      </w:r>
      <w:r w:rsidR="000B0FF8">
        <w:rPr>
          <w:rFonts w:ascii="Times New Roman" w:eastAsia="Times New Roman" w:hAnsi="Times New Roman" w:cs="Times New Roman"/>
          <w:color w:val="2E2E2E"/>
          <w:sz w:val="26"/>
          <w:szCs w:val="26"/>
          <w:lang w:val="en-GB"/>
        </w:rPr>
        <w:fldChar w:fldCharType="begin"/>
      </w:r>
      <w:r w:rsidR="000B0FF8">
        <w:rPr>
          <w:rFonts w:ascii="Times New Roman" w:eastAsia="Times New Roman" w:hAnsi="Times New Roman" w:cs="Times New Roman"/>
          <w:color w:val="2E2E2E"/>
          <w:sz w:val="26"/>
          <w:szCs w:val="26"/>
          <w:lang w:val="en-GB"/>
        </w:rPr>
        <w:instrText xml:space="preserve"> ADDIN ZOTERO_ITEM CSL_CITATION {"citationID":"0CQaNyR1","properties":{"formattedCitation":"(Bollmann et al. 2002)","plainCitation":"(Bollmann et al. 2002)","noteIndex":0},"citationItems":[{"id":19,"uris":["http://zotero.org/users/local/5X5W2PGc/items/HLAQ5B4W"],"uri":["http://zotero.org/users/local/5X5W2PGc/items/HLAQ5B4W"],"itemData":{"id":19,"type":"article-journal","abstract":"This paper discusses the techniques used to sample and analyse living marine calcareous phytoplankton. The various methods are described and tested within several research projects aimed at the determination of coccolithophore cell densities in seawater. In addition, the potential advantages and drawbacks associated with the application of light and scanning electron microscopic techniques to the quantitative analysis of coccolithophores are discussed. Several tests have been carried out in order to quantify potential errors related to: (1) homogeneity of material distribution on filter membranes; (2) use of different microscopes (scanning electron microscope versus light microscope) ; (3) use of different filter membranes (cellulose mixed-ester membranes versus polycarbonate membranes); and (4) Utermo« hl settling versus filtration method. These tests revealed that major errors in cell density calculations could result from the uneven distribution of coccolithophore specimens on a filter membrane. The error resulting from the use of a light microscope arises from its low resolution, which restricts the identification of species, especially of small coccospheres. The use of different filter membranes does not show a statistically significant difference in cell density calculations, although polycarbonate membranes can be examined much more efficiently with the scanning electron microscopy than cellulose mixed-ester membranes. The Utermo« hl method, however, gives lower cell densities consistently (several times) than the filtration method. ß 2002 Elsevier Science B.V. All rights reserved.","container-title":"Marine Micropaleontology","DOI":"10.1016/S0377-8398(01)00040-8","ISSN":"03778398","issue":"3-4","journalAbbreviation":"Marine Micropaleontology","language":"en","page":"163-185","source":"DOI.org (Crossref)","title":"Techniques for quantitative analyses of calcareous marine phytoplankton","volume":"44","author":[{"family":"Bollmann","given":"Jörg"},{"family":"Cortés","given":"Mara Y."},{"family":"Haidar","given":"Ali T."},{"family":"Brabec","given":"Bernhard"},{"family":"Close","given":"Anne"},{"family":"Hofmann","given":"Robert"},{"family":"Palma","given":"Sofia"},{"family":"Tupas","given":"Luis"},{"family":"Thierstein","given":"Hans R."}],"issued":{"date-parts":[["2002",4]]}}}],"schema":"https://github.com/citation-style-language/schema/raw/master/csl-citation.json"} </w:instrText>
      </w:r>
      <w:r w:rsidR="000B0FF8">
        <w:rPr>
          <w:rFonts w:ascii="Times New Roman" w:eastAsia="Times New Roman" w:hAnsi="Times New Roman" w:cs="Times New Roman"/>
          <w:color w:val="2E2E2E"/>
          <w:sz w:val="26"/>
          <w:szCs w:val="26"/>
          <w:lang w:val="en-GB"/>
        </w:rPr>
        <w:fldChar w:fldCharType="separate"/>
      </w:r>
      <w:r w:rsidR="000B0FF8" w:rsidRPr="000B0FF8">
        <w:rPr>
          <w:rFonts w:ascii="Times New Roman" w:hAnsi="Times New Roman" w:cs="Times New Roman"/>
          <w:sz w:val="26"/>
        </w:rPr>
        <w:t xml:space="preserve">Bollmann et al. </w:t>
      </w:r>
      <w:r w:rsidR="000B0FF8">
        <w:rPr>
          <w:rFonts w:ascii="Times New Roman" w:hAnsi="Times New Roman" w:cs="Times New Roman"/>
          <w:sz w:val="26"/>
        </w:rPr>
        <w:t>(</w:t>
      </w:r>
      <w:r w:rsidR="000B0FF8" w:rsidRPr="000B0FF8">
        <w:rPr>
          <w:rFonts w:ascii="Times New Roman" w:hAnsi="Times New Roman" w:cs="Times New Roman"/>
          <w:sz w:val="26"/>
        </w:rPr>
        <w:t>2002)</w:t>
      </w:r>
      <w:r w:rsidR="000B0FF8">
        <w:rPr>
          <w:rFonts w:ascii="Times New Roman" w:eastAsia="Times New Roman" w:hAnsi="Times New Roman" w:cs="Times New Roman"/>
          <w:color w:val="2E2E2E"/>
          <w:sz w:val="26"/>
          <w:szCs w:val="26"/>
          <w:lang w:val="en-GB"/>
        </w:rPr>
        <w:fldChar w:fldCharType="end"/>
      </w:r>
      <w:r>
        <w:rPr>
          <w:rFonts w:ascii="Times New Roman" w:eastAsia="Times New Roman" w:hAnsi="Times New Roman" w:cs="Times New Roman"/>
          <w:color w:val="2E2E2E"/>
          <w:sz w:val="26"/>
          <w:szCs w:val="26"/>
          <w:lang w:val="en-GB"/>
        </w:rPr>
        <w:t>.</w:t>
      </w:r>
    </w:p>
    <w:p w14:paraId="037A6430" w14:textId="4A192CC5" w:rsidR="00425B5D" w:rsidRPr="00425B5D" w:rsidRDefault="00425B5D" w:rsidP="00425B5D">
      <w:pPr>
        <w:widowControl w:val="0"/>
        <w:autoSpaceDE w:val="0"/>
        <w:autoSpaceDN w:val="0"/>
        <w:adjustRightInd w:val="0"/>
        <w:spacing w:after="240" w:line="300" w:lineRule="atLeast"/>
        <w:jc w:val="both"/>
        <w:rPr>
          <w:rFonts w:ascii="Times New Roman" w:eastAsia="Times New Roman" w:hAnsi="Times New Roman" w:cs="Times New Roman"/>
          <w:color w:val="2E2E2E"/>
          <w:sz w:val="26"/>
          <w:szCs w:val="26"/>
          <w:lang w:val="en-GB"/>
        </w:rPr>
      </w:pPr>
      <w:r w:rsidRPr="00425B5D">
        <w:rPr>
          <w:rFonts w:ascii="Times New Roman" w:eastAsia="Times New Roman" w:hAnsi="Times New Roman" w:cs="Times New Roman"/>
          <w:color w:val="2E2E2E"/>
          <w:sz w:val="26"/>
          <w:szCs w:val="26"/>
          <w:lang w:val="en-GB"/>
        </w:rPr>
        <w:tab/>
      </w:r>
      <w:r w:rsidRPr="00425B5D">
        <w:rPr>
          <w:rFonts w:ascii="Times New Roman" w:eastAsia="Times New Roman" w:hAnsi="Times New Roman" w:cs="Times New Roman"/>
          <w:color w:val="2E2E2E"/>
          <w:sz w:val="26"/>
          <w:szCs w:val="26"/>
          <w:lang w:val="en-GB"/>
        </w:rPr>
        <w:tab/>
      </w:r>
      <w:r w:rsidRPr="00425B5D">
        <w:rPr>
          <w:rFonts w:ascii="Times New Roman" w:eastAsia="Times New Roman" w:hAnsi="Times New Roman" w:cs="Times New Roman"/>
          <w:color w:val="2E2E2E"/>
          <w:sz w:val="26"/>
          <w:szCs w:val="26"/>
          <w:lang w:val="en-GB"/>
        </w:rPr>
        <w:tab/>
      </w:r>
    </w:p>
    <w:p w14:paraId="1E7DF6D7" w14:textId="4EFDBBE7" w:rsidR="003E214A" w:rsidRPr="00425B5D" w:rsidRDefault="00C10F62" w:rsidP="003E214A">
      <w:pPr>
        <w:jc w:val="both"/>
        <w:rPr>
          <w:rFonts w:ascii="Times New Roman" w:hAnsi="Times New Roman" w:cs="Times New Roman"/>
          <w:sz w:val="26"/>
          <w:szCs w:val="26"/>
          <w:lang w:val="en-GB"/>
        </w:rPr>
      </w:pPr>
      <w:r w:rsidRPr="00425B5D">
        <w:rPr>
          <w:rFonts w:ascii="Times New Roman" w:eastAsia="Times New Roman" w:hAnsi="Times New Roman" w:cs="Times New Roman"/>
          <w:color w:val="2E2E2E"/>
          <w:sz w:val="26"/>
          <w:szCs w:val="26"/>
        </w:rPr>
        <w:lastRenderedPageBreak/>
        <w:t>Coccolithophores (all sizes)</w:t>
      </w:r>
      <w:r w:rsidR="005469E0" w:rsidRPr="00425B5D">
        <w:rPr>
          <w:rFonts w:ascii="Times New Roman" w:eastAsia="Times New Roman" w:hAnsi="Times New Roman" w:cs="Times New Roman"/>
          <w:color w:val="2E2E2E"/>
          <w:sz w:val="26"/>
          <w:szCs w:val="26"/>
        </w:rPr>
        <w:t>,</w:t>
      </w:r>
      <w:r w:rsidRPr="00425B5D">
        <w:rPr>
          <w:rFonts w:ascii="Times New Roman" w:eastAsia="Times New Roman" w:hAnsi="Times New Roman" w:cs="Times New Roman"/>
          <w:color w:val="2E2E2E"/>
          <w:sz w:val="26"/>
          <w:szCs w:val="26"/>
        </w:rPr>
        <w:t xml:space="preserve"> </w:t>
      </w:r>
      <w:r w:rsidR="00B91DA5" w:rsidRPr="00425B5D">
        <w:rPr>
          <w:rFonts w:ascii="Times New Roman" w:eastAsia="Times New Roman" w:hAnsi="Times New Roman" w:cs="Times New Roman"/>
          <w:color w:val="2E2E2E"/>
          <w:sz w:val="26"/>
          <w:szCs w:val="26"/>
        </w:rPr>
        <w:t xml:space="preserve">and </w:t>
      </w:r>
      <w:r w:rsidRPr="00425B5D">
        <w:rPr>
          <w:rFonts w:ascii="Times New Roman" w:eastAsia="Times New Roman" w:hAnsi="Times New Roman" w:cs="Times New Roman"/>
          <w:color w:val="2E2E2E"/>
          <w:sz w:val="26"/>
          <w:szCs w:val="26"/>
        </w:rPr>
        <w:t xml:space="preserve">nanoplanktonic (&lt;20 mm) </w:t>
      </w:r>
      <w:r w:rsidR="00B91DA5" w:rsidRPr="00425B5D">
        <w:rPr>
          <w:rFonts w:ascii="Times New Roman" w:eastAsia="Times New Roman" w:hAnsi="Times New Roman" w:cs="Times New Roman"/>
          <w:color w:val="2E2E2E"/>
          <w:sz w:val="26"/>
          <w:szCs w:val="26"/>
        </w:rPr>
        <w:t xml:space="preserve">organisms: </w:t>
      </w:r>
      <w:r w:rsidRPr="00425B5D">
        <w:rPr>
          <w:rFonts w:ascii="Times New Roman" w:eastAsia="Times New Roman" w:hAnsi="Times New Roman" w:cs="Times New Roman"/>
          <w:color w:val="2E2E2E"/>
          <w:sz w:val="26"/>
          <w:szCs w:val="26"/>
        </w:rPr>
        <w:t xml:space="preserve">diatoms, dinoflagellates, radiolarians, </w:t>
      </w:r>
      <w:proofErr w:type="spellStart"/>
      <w:r w:rsidRPr="00425B5D">
        <w:rPr>
          <w:rFonts w:ascii="Times New Roman" w:eastAsia="Times New Roman" w:hAnsi="Times New Roman" w:cs="Times New Roman"/>
          <w:color w:val="2E2E2E"/>
          <w:sz w:val="26"/>
          <w:szCs w:val="26"/>
        </w:rPr>
        <w:t>silicoflagellates</w:t>
      </w:r>
      <w:proofErr w:type="spellEnd"/>
      <w:r w:rsidRPr="00425B5D">
        <w:rPr>
          <w:rFonts w:ascii="Times New Roman" w:eastAsia="Times New Roman" w:hAnsi="Times New Roman" w:cs="Times New Roman"/>
          <w:color w:val="2E2E2E"/>
          <w:sz w:val="26"/>
          <w:szCs w:val="26"/>
        </w:rPr>
        <w:t xml:space="preserve">, other flagellates </w:t>
      </w:r>
      <w:r w:rsidR="003E214A" w:rsidRPr="00425B5D">
        <w:rPr>
          <w:rFonts w:ascii="Times New Roman" w:eastAsia="Times New Roman" w:hAnsi="Times New Roman" w:cs="Times New Roman"/>
          <w:color w:val="2E2E2E"/>
          <w:sz w:val="26"/>
          <w:szCs w:val="26"/>
        </w:rPr>
        <w:t xml:space="preserve">and unidentified cells </w:t>
      </w:r>
      <w:r w:rsidRPr="00425B5D">
        <w:rPr>
          <w:rFonts w:ascii="Times New Roman" w:eastAsia="Times New Roman" w:hAnsi="Times New Roman" w:cs="Times New Roman"/>
          <w:color w:val="2E2E2E"/>
          <w:sz w:val="26"/>
          <w:szCs w:val="26"/>
        </w:rPr>
        <w:t xml:space="preserve">were </w:t>
      </w:r>
      <w:r w:rsidR="003E214A" w:rsidRPr="00425B5D">
        <w:rPr>
          <w:rFonts w:ascii="Times New Roman" w:eastAsia="Times New Roman" w:hAnsi="Times New Roman" w:cs="Times New Roman"/>
          <w:color w:val="2E2E2E"/>
          <w:sz w:val="26"/>
          <w:szCs w:val="26"/>
        </w:rPr>
        <w:t>counted</w:t>
      </w:r>
      <w:r w:rsidRPr="00425B5D">
        <w:rPr>
          <w:rFonts w:ascii="Times New Roman" w:eastAsia="Times New Roman" w:hAnsi="Times New Roman" w:cs="Times New Roman"/>
          <w:color w:val="2E2E2E"/>
          <w:sz w:val="26"/>
          <w:szCs w:val="26"/>
        </w:rPr>
        <w:t xml:space="preserve">. </w:t>
      </w:r>
      <w:r w:rsidR="00864945" w:rsidRPr="00425B5D">
        <w:rPr>
          <w:rFonts w:ascii="Times New Roman" w:eastAsia="Times New Roman" w:hAnsi="Times New Roman" w:cs="Times New Roman"/>
          <w:color w:val="2E2E2E"/>
          <w:sz w:val="26"/>
          <w:szCs w:val="26"/>
        </w:rPr>
        <w:t>The identification of coccolithophore species</w:t>
      </w:r>
      <w:r w:rsidR="0004661D">
        <w:rPr>
          <w:rFonts w:ascii="Times New Roman" w:eastAsia="Times New Roman" w:hAnsi="Times New Roman" w:cs="Times New Roman"/>
          <w:color w:val="2E2E2E"/>
          <w:sz w:val="26"/>
          <w:szCs w:val="26"/>
        </w:rPr>
        <w:t xml:space="preserve"> / genus</w:t>
      </w:r>
      <w:r w:rsidR="00864945" w:rsidRPr="00425B5D">
        <w:rPr>
          <w:rFonts w:ascii="Times New Roman" w:hAnsi="Times New Roman" w:cs="Times New Roman"/>
          <w:sz w:val="26"/>
          <w:szCs w:val="26"/>
          <w:lang w:val="en-GB"/>
        </w:rPr>
        <w:t xml:space="preserve"> and </w:t>
      </w:r>
      <w:r w:rsidR="003E214A" w:rsidRPr="00425B5D">
        <w:rPr>
          <w:rFonts w:ascii="Times New Roman" w:hAnsi="Times New Roman" w:cs="Times New Roman"/>
          <w:sz w:val="26"/>
          <w:szCs w:val="26"/>
          <w:lang w:val="en-GB"/>
        </w:rPr>
        <w:t>their</w:t>
      </w:r>
      <w:r w:rsidR="00864945" w:rsidRPr="00425B5D">
        <w:rPr>
          <w:rFonts w:ascii="Times New Roman" w:hAnsi="Times New Roman" w:cs="Times New Roman"/>
          <w:sz w:val="26"/>
          <w:szCs w:val="26"/>
          <w:lang w:val="en-GB"/>
        </w:rPr>
        <w:t xml:space="preserve"> </w:t>
      </w:r>
      <w:proofErr w:type="spellStart"/>
      <w:r w:rsidR="00864945" w:rsidRPr="00425B5D">
        <w:rPr>
          <w:rFonts w:ascii="Times New Roman" w:hAnsi="Times New Roman" w:cs="Times New Roman"/>
          <w:sz w:val="26"/>
          <w:szCs w:val="26"/>
          <w:lang w:val="en-GB"/>
        </w:rPr>
        <w:t>liths</w:t>
      </w:r>
      <w:proofErr w:type="spellEnd"/>
      <w:r w:rsidR="00864945" w:rsidRPr="00425B5D">
        <w:rPr>
          <w:rFonts w:ascii="Times New Roman" w:hAnsi="Times New Roman" w:cs="Times New Roman"/>
          <w:sz w:val="26"/>
          <w:szCs w:val="26"/>
          <w:lang w:val="en-GB"/>
        </w:rPr>
        <w:t xml:space="preserve"> </w:t>
      </w:r>
      <w:r w:rsidR="00864945" w:rsidRPr="00425B5D">
        <w:rPr>
          <w:rFonts w:ascii="Times New Roman" w:eastAsia="Times New Roman" w:hAnsi="Times New Roman" w:cs="Times New Roman"/>
          <w:color w:val="2E2E2E"/>
          <w:sz w:val="26"/>
          <w:szCs w:val="26"/>
        </w:rPr>
        <w:t>was done according to</w:t>
      </w:r>
      <w:r w:rsidR="000B0FF8">
        <w:rPr>
          <w:rFonts w:ascii="Times New Roman" w:eastAsia="Times New Roman" w:hAnsi="Times New Roman" w:cs="Times New Roman"/>
          <w:color w:val="2E2E2E"/>
          <w:sz w:val="26"/>
          <w:szCs w:val="26"/>
        </w:rPr>
        <w:t xml:space="preserve"> </w:t>
      </w:r>
      <w:r w:rsidR="000B0FF8">
        <w:rPr>
          <w:rFonts w:ascii="Times New Roman" w:eastAsia="Times New Roman" w:hAnsi="Times New Roman" w:cs="Times New Roman"/>
          <w:color w:val="2E2E2E"/>
          <w:sz w:val="26"/>
          <w:szCs w:val="26"/>
        </w:rPr>
        <w:fldChar w:fldCharType="begin"/>
      </w:r>
      <w:r w:rsidR="000B0FF8">
        <w:rPr>
          <w:rFonts w:ascii="Times New Roman" w:eastAsia="Times New Roman" w:hAnsi="Times New Roman" w:cs="Times New Roman"/>
          <w:color w:val="2E2E2E"/>
          <w:sz w:val="26"/>
          <w:szCs w:val="26"/>
        </w:rPr>
        <w:instrText xml:space="preserve"> ADDIN ZOTERO_ITEM CSL_CITATION {"citationID":"ArtChG2M","properties":{"formattedCitation":"(Frada et al. 2010)","plainCitation":"(Frada et al. 2010)","noteIndex":0},"citationItems":[{"id":"FJmRnTw9/MO8ISYuq","uris":["http://zotero.org/users/local/pbNhcZ1p/items/DUMVWJ95"],"uri":["http://zotero.org/users/local/pbNhcZ1p/items/DUMVWJ95"],"itemData":{"id":"FJmRnTw9/MO8ISYuq","type":"article-journal","title":"A guide to extant coccolithophores (Calcihaptophycidae, Haptophyta) using light microscopy","container-title":"J. Nannoplankt. Res","page":"58–112","volume":"31","source":"Google Scholar","author":[{"family":"Frada","given":"Miguel"},{"family":"Young","given":"Jeremy"},{"family":"Cachão","given":"Mário"},{"family":"Lino","given":"Sílvia"},{"family":"Martins","given":"Ana"},{"family":"Narciso","given":"Áurea"},{"family":"Probert","given":"Ian"},{"family":"Vargas","given":"Colomban","non-dropping-particle":"de"}],"issued":{"date-parts":[["2010"]]}}}],"schema":"https://github.com/citation-style-language/schema/raw/master/csl-citation.json"} </w:instrText>
      </w:r>
      <w:r w:rsidR="000B0FF8">
        <w:rPr>
          <w:rFonts w:ascii="Times New Roman" w:eastAsia="Times New Roman" w:hAnsi="Times New Roman" w:cs="Times New Roman"/>
          <w:color w:val="2E2E2E"/>
          <w:sz w:val="26"/>
          <w:szCs w:val="26"/>
        </w:rPr>
        <w:fldChar w:fldCharType="separate"/>
      </w:r>
      <w:proofErr w:type="spellStart"/>
      <w:r w:rsidR="000B0FF8" w:rsidRPr="000B0FF8">
        <w:rPr>
          <w:rFonts w:ascii="Times New Roman" w:hAnsi="Times New Roman" w:cs="Times New Roman"/>
          <w:sz w:val="26"/>
        </w:rPr>
        <w:t>Frada</w:t>
      </w:r>
      <w:proofErr w:type="spellEnd"/>
      <w:r w:rsidR="000B0FF8" w:rsidRPr="000B0FF8">
        <w:rPr>
          <w:rFonts w:ascii="Times New Roman" w:hAnsi="Times New Roman" w:cs="Times New Roman"/>
          <w:sz w:val="26"/>
        </w:rPr>
        <w:t xml:space="preserve"> et al. </w:t>
      </w:r>
      <w:r w:rsidR="000B0FF8">
        <w:rPr>
          <w:rFonts w:ascii="Times New Roman" w:hAnsi="Times New Roman" w:cs="Times New Roman"/>
          <w:sz w:val="26"/>
        </w:rPr>
        <w:t>(</w:t>
      </w:r>
      <w:r w:rsidR="000B0FF8" w:rsidRPr="000B0FF8">
        <w:rPr>
          <w:rFonts w:ascii="Times New Roman" w:hAnsi="Times New Roman" w:cs="Times New Roman"/>
          <w:sz w:val="26"/>
        </w:rPr>
        <w:t>2010)</w:t>
      </w:r>
      <w:r w:rsidR="000B0FF8">
        <w:rPr>
          <w:rFonts w:ascii="Times New Roman" w:eastAsia="Times New Roman" w:hAnsi="Times New Roman" w:cs="Times New Roman"/>
          <w:color w:val="2E2E2E"/>
          <w:sz w:val="26"/>
          <w:szCs w:val="26"/>
        </w:rPr>
        <w:fldChar w:fldCharType="end"/>
      </w:r>
      <w:r w:rsidR="000B0FF8">
        <w:rPr>
          <w:rFonts w:ascii="Times New Roman" w:eastAsia="Times New Roman" w:hAnsi="Times New Roman" w:cs="Times New Roman"/>
          <w:color w:val="2E2E2E"/>
          <w:sz w:val="26"/>
          <w:szCs w:val="26"/>
        </w:rPr>
        <w:t xml:space="preserve"> </w:t>
      </w:r>
      <w:r w:rsidR="00864945" w:rsidRPr="00425B5D">
        <w:rPr>
          <w:rFonts w:ascii="Times New Roman" w:hAnsi="Times New Roman" w:cs="Times New Roman"/>
          <w:sz w:val="26"/>
          <w:szCs w:val="26"/>
          <w:lang w:val="en-GB"/>
        </w:rPr>
        <w:t>and the webpage www.mikrotax.org/Nannotax3/index.</w:t>
      </w:r>
      <w:r w:rsidR="00864945" w:rsidRPr="00425B5D">
        <w:rPr>
          <w:rFonts w:ascii="Times New Roman" w:hAnsi="Times New Roman" w:cs="Times New Roman"/>
          <w:color w:val="000000" w:themeColor="text1"/>
          <w:sz w:val="26"/>
          <w:szCs w:val="26"/>
          <w:lang w:val="en-GB"/>
        </w:rPr>
        <w:t>html</w:t>
      </w:r>
      <w:r w:rsidR="00864945" w:rsidRPr="00425B5D">
        <w:rPr>
          <w:rStyle w:val="Hyperlink"/>
          <w:rFonts w:ascii="Times New Roman" w:hAnsi="Times New Roman" w:cs="Times New Roman"/>
          <w:color w:val="000000" w:themeColor="text1"/>
          <w:sz w:val="26"/>
          <w:szCs w:val="26"/>
          <w:u w:val="none"/>
          <w:lang w:val="en-GB"/>
        </w:rPr>
        <w:t xml:space="preserve"> where all</w:t>
      </w:r>
      <w:r w:rsidR="00864945" w:rsidRPr="00425B5D">
        <w:rPr>
          <w:rFonts w:ascii="Times New Roman" w:eastAsia="Times New Roman" w:hAnsi="Times New Roman" w:cs="Times New Roman"/>
          <w:color w:val="000000" w:themeColor="text1"/>
          <w:sz w:val="26"/>
          <w:szCs w:val="26"/>
        </w:rPr>
        <w:t xml:space="preserve"> </w:t>
      </w:r>
      <w:r w:rsidR="00864945" w:rsidRPr="00425B5D">
        <w:rPr>
          <w:rFonts w:ascii="Times New Roman" w:eastAsia="Times New Roman" w:hAnsi="Times New Roman" w:cs="Times New Roman"/>
          <w:color w:val="2E2E2E"/>
          <w:sz w:val="26"/>
          <w:szCs w:val="26"/>
        </w:rPr>
        <w:t>taxa with full citations are presented.</w:t>
      </w:r>
      <w:r w:rsidR="003E214A" w:rsidRPr="00425B5D">
        <w:rPr>
          <w:rFonts w:ascii="Times New Roman" w:eastAsia="Times New Roman" w:hAnsi="Times New Roman" w:cs="Times New Roman"/>
          <w:color w:val="2E2E2E"/>
          <w:sz w:val="26"/>
          <w:szCs w:val="26"/>
        </w:rPr>
        <w:t xml:space="preserve"> Large part of the diatoms, </w:t>
      </w:r>
      <w:proofErr w:type="spellStart"/>
      <w:r w:rsidR="003E214A" w:rsidRPr="00425B5D">
        <w:rPr>
          <w:rFonts w:ascii="Times New Roman" w:eastAsia="Times New Roman" w:hAnsi="Times New Roman" w:cs="Times New Roman"/>
          <w:color w:val="2E2E2E"/>
          <w:sz w:val="26"/>
          <w:szCs w:val="26"/>
        </w:rPr>
        <w:t>dinoflagellaes</w:t>
      </w:r>
      <w:proofErr w:type="spellEnd"/>
      <w:r w:rsidR="003E214A" w:rsidRPr="00425B5D">
        <w:rPr>
          <w:rFonts w:ascii="Times New Roman" w:eastAsia="Times New Roman" w:hAnsi="Times New Roman" w:cs="Times New Roman"/>
          <w:color w:val="2E2E2E"/>
          <w:sz w:val="26"/>
          <w:szCs w:val="26"/>
        </w:rPr>
        <w:t xml:space="preserve"> and other flagellates were left unidentified, although their shapes described. In some cases the genera were identified following </w:t>
      </w:r>
      <w:r w:rsidR="003E214A" w:rsidRPr="00425B5D">
        <w:rPr>
          <w:rFonts w:ascii="Times New Roman" w:hAnsi="Times New Roman" w:cs="Times New Roman"/>
          <w:sz w:val="26"/>
          <w:szCs w:val="26"/>
          <w:lang w:val="en-GB"/>
        </w:rPr>
        <w:fldChar w:fldCharType="begin"/>
      </w:r>
      <w:r w:rsidR="000B0FF8">
        <w:rPr>
          <w:rFonts w:ascii="Times New Roman" w:hAnsi="Times New Roman" w:cs="Times New Roman"/>
          <w:sz w:val="26"/>
          <w:szCs w:val="26"/>
          <w:lang w:val="en-GB"/>
        </w:rPr>
        <w:instrText xml:space="preserve"> ADDIN ZOTERO_ITEM CSL_CITATION {"citationID":"1p8sldtejd","properties":{"formattedCitation":"(Hasle et Syvertsen 1997)","plainCitation":"(Hasle et Syvertsen 1997)","noteIndex":0},"citationItems":[{"id":"FJmRnTw9/DklYkgMc","uris":["http://zotero.org/users/local/pbNhcZ1p/items/7R2C8I5K"],"uri":["http://zotero.org/users/local/pbNhcZ1p/items/7R2C8I5K"],"itemData":{"id":2569,"type":"chapter","title":"Chapter 2 - Marine Diatoms","container-title":"Identifying Marine Phytoplankton","publisher":"Academic Press","publisher-place":"San Diego","page":"5 - 385","event-place":"San Diego","URL":"http://www.sciencedirect.com/science/article/pii/B9780126930184500045","ISBN":"978-0-12-693018-4","note":"DOI: 10.1016/B978-012693018-4/50004-5","editor":[{"family":"Tomas","given":"Carmelo R."}],"author":[{"family":"Hasle","given":"Grethe R."},{"family":"Syvertsen","given":"Erik E."}],"issued":{"date-parts":[["1997"]]}}}],"schema":"https://github.com/citation-style-language/schema/raw/master/csl-citation.json"} </w:instrText>
      </w:r>
      <w:r w:rsidR="003E214A" w:rsidRPr="00425B5D">
        <w:rPr>
          <w:rFonts w:ascii="Times New Roman" w:hAnsi="Times New Roman" w:cs="Times New Roman"/>
          <w:sz w:val="26"/>
          <w:szCs w:val="26"/>
          <w:lang w:val="en-GB"/>
        </w:rPr>
        <w:fldChar w:fldCharType="separate"/>
      </w:r>
      <w:proofErr w:type="spellStart"/>
      <w:r w:rsidR="000B0FF8" w:rsidRPr="000B0FF8">
        <w:rPr>
          <w:rFonts w:ascii="Times New Roman" w:hAnsi="Times New Roman" w:cs="Times New Roman"/>
          <w:sz w:val="26"/>
        </w:rPr>
        <w:t>Hasle</w:t>
      </w:r>
      <w:proofErr w:type="spellEnd"/>
      <w:r w:rsidR="000B0FF8" w:rsidRPr="000B0FF8">
        <w:rPr>
          <w:rFonts w:ascii="Times New Roman" w:hAnsi="Times New Roman" w:cs="Times New Roman"/>
          <w:sz w:val="26"/>
        </w:rPr>
        <w:t xml:space="preserve"> et </w:t>
      </w:r>
      <w:proofErr w:type="spellStart"/>
      <w:r w:rsidR="000B0FF8" w:rsidRPr="000B0FF8">
        <w:rPr>
          <w:rFonts w:ascii="Times New Roman" w:hAnsi="Times New Roman" w:cs="Times New Roman"/>
          <w:sz w:val="26"/>
        </w:rPr>
        <w:t>Syvertsen</w:t>
      </w:r>
      <w:proofErr w:type="spellEnd"/>
      <w:r w:rsidR="000B0FF8" w:rsidRPr="000B0FF8">
        <w:rPr>
          <w:rFonts w:ascii="Times New Roman" w:hAnsi="Times New Roman" w:cs="Times New Roman"/>
          <w:sz w:val="26"/>
        </w:rPr>
        <w:t xml:space="preserve"> </w:t>
      </w:r>
      <w:r w:rsidR="000B0FF8">
        <w:rPr>
          <w:rFonts w:ascii="Times New Roman" w:hAnsi="Times New Roman" w:cs="Times New Roman"/>
          <w:sz w:val="26"/>
        </w:rPr>
        <w:t>(</w:t>
      </w:r>
      <w:r w:rsidR="000B0FF8" w:rsidRPr="000B0FF8">
        <w:rPr>
          <w:rFonts w:ascii="Times New Roman" w:hAnsi="Times New Roman" w:cs="Times New Roman"/>
          <w:sz w:val="26"/>
        </w:rPr>
        <w:t>1997)</w:t>
      </w:r>
      <w:r w:rsidR="003E214A" w:rsidRPr="00425B5D">
        <w:rPr>
          <w:rFonts w:ascii="Times New Roman" w:hAnsi="Times New Roman" w:cs="Times New Roman"/>
          <w:sz w:val="26"/>
          <w:szCs w:val="26"/>
          <w:lang w:val="en-GB"/>
        </w:rPr>
        <w:fldChar w:fldCharType="end"/>
      </w:r>
      <w:r w:rsidR="003E214A" w:rsidRPr="00425B5D">
        <w:rPr>
          <w:rFonts w:ascii="Times New Roman" w:hAnsi="Times New Roman" w:cs="Times New Roman"/>
          <w:sz w:val="26"/>
          <w:szCs w:val="26"/>
          <w:lang w:val="en-GB"/>
        </w:rPr>
        <w:t xml:space="preserve"> and </w:t>
      </w:r>
      <w:r w:rsidR="003E214A" w:rsidRPr="00425B5D">
        <w:rPr>
          <w:rFonts w:ascii="Times New Roman" w:hAnsi="Times New Roman" w:cs="Times New Roman"/>
          <w:sz w:val="26"/>
          <w:szCs w:val="26"/>
          <w:lang w:val="en-GB"/>
        </w:rPr>
        <w:fldChar w:fldCharType="begin"/>
      </w:r>
      <w:r w:rsidR="000B0FF8">
        <w:rPr>
          <w:rFonts w:ascii="Times New Roman" w:hAnsi="Times New Roman" w:cs="Times New Roman"/>
          <w:sz w:val="26"/>
          <w:szCs w:val="26"/>
          <w:lang w:val="en-GB"/>
        </w:rPr>
        <w:instrText xml:space="preserve"> ADDIN ZOTERO_ITEM CSL_CITATION {"citationID":"271dviamqe","properties":{"formattedCitation":"(Paulmier (G\\uc0\\u233{}rald) 1997)","plainCitation":"(Paulmier (Gérald) 1997)","noteIndex":0},"citationItems":[{"id":"FJmRnTw9/MH9IL6Ag","uris":["http://zotero.org/users/local/pbNhcZ1p/items/US4UZCF9"],"uri":["http://zotero.org/users/local/pbNhcZ1p/items/US4UZCF9"],"itemData":{"id":2571,"type":"report","title":"Atlas des diatomophycées des côtes françaises et des aires océaniques adjacentes","publisher":"IFREMER","author":[{"literal":"Paulmier (Gérald)"}],"issued":{"date-parts":[["1997"]]}}}],"schema":"https://github.com/citation-style-language/schema/raw/master/csl-citation.json"} </w:instrText>
      </w:r>
      <w:r w:rsidR="003E214A" w:rsidRPr="00425B5D">
        <w:rPr>
          <w:rFonts w:ascii="Times New Roman" w:hAnsi="Times New Roman" w:cs="Times New Roman"/>
          <w:sz w:val="26"/>
          <w:szCs w:val="26"/>
          <w:lang w:val="en-GB"/>
        </w:rPr>
        <w:fldChar w:fldCharType="separate"/>
      </w:r>
      <w:proofErr w:type="spellStart"/>
      <w:r w:rsidR="000B0FF8" w:rsidRPr="000B0FF8">
        <w:rPr>
          <w:rFonts w:ascii="Times New Roman" w:hAnsi="Times New Roman" w:cs="Times New Roman"/>
          <w:sz w:val="26"/>
        </w:rPr>
        <w:t>Paulmier</w:t>
      </w:r>
      <w:proofErr w:type="spellEnd"/>
      <w:r w:rsidR="000B0FF8" w:rsidRPr="000B0FF8">
        <w:rPr>
          <w:rFonts w:ascii="Times New Roman" w:hAnsi="Times New Roman" w:cs="Times New Roman"/>
          <w:sz w:val="26"/>
        </w:rPr>
        <w:t xml:space="preserve"> </w:t>
      </w:r>
      <w:r w:rsidR="000B0FF8">
        <w:rPr>
          <w:rFonts w:ascii="Times New Roman" w:hAnsi="Times New Roman" w:cs="Times New Roman"/>
          <w:sz w:val="26"/>
        </w:rPr>
        <w:t>(</w:t>
      </w:r>
      <w:r w:rsidR="000B0FF8" w:rsidRPr="000B0FF8">
        <w:rPr>
          <w:rFonts w:ascii="Times New Roman" w:hAnsi="Times New Roman" w:cs="Times New Roman"/>
          <w:sz w:val="26"/>
        </w:rPr>
        <w:t>1997)</w:t>
      </w:r>
      <w:r w:rsidR="003E214A" w:rsidRPr="00425B5D">
        <w:rPr>
          <w:rFonts w:ascii="Times New Roman" w:hAnsi="Times New Roman" w:cs="Times New Roman"/>
          <w:sz w:val="26"/>
          <w:szCs w:val="26"/>
          <w:lang w:val="en-GB"/>
        </w:rPr>
        <w:fldChar w:fldCharType="end"/>
      </w:r>
      <w:r w:rsidR="003E214A" w:rsidRPr="00425B5D">
        <w:rPr>
          <w:rFonts w:ascii="Times New Roman" w:hAnsi="Times New Roman" w:cs="Times New Roman"/>
          <w:sz w:val="26"/>
          <w:szCs w:val="26"/>
          <w:lang w:val="en-GB"/>
        </w:rPr>
        <w:t xml:space="preserve"> </w:t>
      </w:r>
      <w:proofErr w:type="spellStart"/>
      <w:r w:rsidR="003E214A" w:rsidRPr="00425B5D">
        <w:rPr>
          <w:rFonts w:ascii="Times New Roman" w:hAnsi="Times New Roman" w:cs="Times New Roman"/>
          <w:sz w:val="26"/>
          <w:szCs w:val="26"/>
          <w:lang w:val="en-GB"/>
        </w:rPr>
        <w:t>Paulmier</w:t>
      </w:r>
      <w:proofErr w:type="spellEnd"/>
      <w:r w:rsidR="003E214A" w:rsidRPr="00425B5D">
        <w:rPr>
          <w:rFonts w:ascii="Times New Roman" w:hAnsi="Times New Roman" w:cs="Times New Roman"/>
          <w:sz w:val="26"/>
          <w:szCs w:val="26"/>
          <w:lang w:val="en-GB"/>
        </w:rPr>
        <w:t xml:space="preserve"> (1997) [diatoms].</w:t>
      </w:r>
      <w:r w:rsidR="00F46002">
        <w:rPr>
          <w:rFonts w:ascii="Times New Roman" w:hAnsi="Times New Roman" w:cs="Times New Roman"/>
          <w:sz w:val="26"/>
          <w:szCs w:val="26"/>
          <w:lang w:val="en-GB"/>
        </w:rPr>
        <w:t xml:space="preserve"> Please note that for most of the coccolithophore taxa not identified until species, a better taxonomic resolution can be </w:t>
      </w:r>
      <w:proofErr w:type="gramStart"/>
      <w:r w:rsidR="00F46002">
        <w:rPr>
          <w:rFonts w:ascii="Times New Roman" w:hAnsi="Times New Roman" w:cs="Times New Roman"/>
          <w:sz w:val="26"/>
          <w:szCs w:val="26"/>
          <w:lang w:val="en-GB"/>
        </w:rPr>
        <w:t>achieve</w:t>
      </w:r>
      <w:proofErr w:type="gramEnd"/>
      <w:r w:rsidR="00F46002">
        <w:rPr>
          <w:rFonts w:ascii="Times New Roman" w:hAnsi="Times New Roman" w:cs="Times New Roman"/>
          <w:sz w:val="26"/>
          <w:szCs w:val="26"/>
          <w:lang w:val="en-GB"/>
        </w:rPr>
        <w:t xml:space="preserve"> by checking the samples by SEM. </w:t>
      </w:r>
      <w:r w:rsidR="009F1014">
        <w:rPr>
          <w:rFonts w:ascii="Times New Roman" w:hAnsi="Times New Roman" w:cs="Times New Roman"/>
          <w:sz w:val="26"/>
          <w:szCs w:val="26"/>
          <w:lang w:val="en-GB"/>
        </w:rPr>
        <w:t>Similarly</w:t>
      </w:r>
      <w:r w:rsidR="00F46002">
        <w:rPr>
          <w:rFonts w:ascii="Times New Roman" w:hAnsi="Times New Roman" w:cs="Times New Roman"/>
          <w:sz w:val="26"/>
          <w:szCs w:val="26"/>
          <w:lang w:val="en-GB"/>
        </w:rPr>
        <w:t xml:space="preserve">, cases where two taxa are proposed for the same “class” could be discern using this technique. This is for example the case of the </w:t>
      </w:r>
      <w:proofErr w:type="spellStart"/>
      <w:r w:rsidR="00F46002">
        <w:rPr>
          <w:rFonts w:ascii="Times New Roman" w:hAnsi="Times New Roman" w:cs="Times New Roman"/>
          <w:sz w:val="26"/>
          <w:szCs w:val="26"/>
          <w:lang w:val="en-GB"/>
        </w:rPr>
        <w:t>calss</w:t>
      </w:r>
      <w:proofErr w:type="spellEnd"/>
      <w:r w:rsidR="00F46002">
        <w:rPr>
          <w:rFonts w:ascii="Times New Roman" w:hAnsi="Times New Roman" w:cs="Times New Roman"/>
          <w:sz w:val="26"/>
          <w:szCs w:val="26"/>
          <w:lang w:val="en-GB"/>
        </w:rPr>
        <w:t xml:space="preserve"> “</w:t>
      </w:r>
      <w:proofErr w:type="spellStart"/>
      <w:r w:rsidR="00F46002" w:rsidRPr="00F46002">
        <w:rPr>
          <w:rFonts w:ascii="Times New Roman" w:hAnsi="Times New Roman" w:cs="Times New Roman"/>
          <w:sz w:val="26"/>
          <w:szCs w:val="26"/>
          <w:lang w:val="en-GB"/>
        </w:rPr>
        <w:t>Minidiscus</w:t>
      </w:r>
      <w:proofErr w:type="spellEnd"/>
      <w:r w:rsidR="00F46002" w:rsidRPr="00F46002">
        <w:rPr>
          <w:rFonts w:ascii="Times New Roman" w:hAnsi="Times New Roman" w:cs="Times New Roman"/>
          <w:sz w:val="26"/>
          <w:szCs w:val="26"/>
          <w:lang w:val="en-GB"/>
        </w:rPr>
        <w:t xml:space="preserve"> sp. </w:t>
      </w:r>
      <w:proofErr w:type="spellStart"/>
      <w:r w:rsidR="00F46002" w:rsidRPr="00F46002">
        <w:rPr>
          <w:rFonts w:ascii="Times New Roman" w:hAnsi="Times New Roman" w:cs="Times New Roman"/>
          <w:sz w:val="26"/>
          <w:szCs w:val="26"/>
          <w:lang w:val="en-GB"/>
        </w:rPr>
        <w:t>indet</w:t>
      </w:r>
      <w:proofErr w:type="spellEnd"/>
      <w:r w:rsidR="00F46002" w:rsidRPr="00F46002">
        <w:rPr>
          <w:rFonts w:ascii="Times New Roman" w:hAnsi="Times New Roman" w:cs="Times New Roman"/>
          <w:sz w:val="26"/>
          <w:szCs w:val="26"/>
          <w:lang w:val="en-GB"/>
        </w:rPr>
        <w:t xml:space="preserve">. </w:t>
      </w:r>
      <w:proofErr w:type="gramStart"/>
      <w:r w:rsidR="00F46002" w:rsidRPr="00F46002">
        <w:rPr>
          <w:rFonts w:ascii="Times New Roman" w:hAnsi="Times New Roman" w:cs="Times New Roman"/>
          <w:sz w:val="26"/>
          <w:szCs w:val="26"/>
          <w:lang w:val="en-GB"/>
        </w:rPr>
        <w:t>or  diatom</w:t>
      </w:r>
      <w:proofErr w:type="gramEnd"/>
      <w:r w:rsidR="00F46002" w:rsidRPr="00F46002">
        <w:rPr>
          <w:rFonts w:ascii="Times New Roman" w:hAnsi="Times New Roman" w:cs="Times New Roman"/>
          <w:sz w:val="26"/>
          <w:szCs w:val="26"/>
          <w:lang w:val="en-GB"/>
        </w:rPr>
        <w:t xml:space="preserve"> resting spore </w:t>
      </w:r>
      <w:proofErr w:type="spellStart"/>
      <w:r w:rsidR="00F46002" w:rsidRPr="00F46002">
        <w:rPr>
          <w:rFonts w:ascii="Times New Roman" w:hAnsi="Times New Roman" w:cs="Times New Roman"/>
          <w:sz w:val="26"/>
          <w:szCs w:val="26"/>
          <w:lang w:val="en-GB"/>
        </w:rPr>
        <w:t>indet</w:t>
      </w:r>
      <w:proofErr w:type="spellEnd"/>
      <w:r w:rsidR="00F46002" w:rsidRPr="00F46002">
        <w:rPr>
          <w:rFonts w:ascii="Times New Roman" w:hAnsi="Times New Roman" w:cs="Times New Roman"/>
          <w:sz w:val="26"/>
          <w:szCs w:val="26"/>
          <w:lang w:val="en-GB"/>
        </w:rPr>
        <w:t>.</w:t>
      </w:r>
      <w:r w:rsidR="00F46002">
        <w:rPr>
          <w:rFonts w:ascii="Times New Roman" w:hAnsi="Times New Roman" w:cs="Times New Roman"/>
          <w:sz w:val="26"/>
          <w:szCs w:val="26"/>
          <w:lang w:val="en-GB"/>
        </w:rPr>
        <w:t>”, abundant in some samples.</w:t>
      </w:r>
    </w:p>
    <w:p w14:paraId="61735498" w14:textId="77777777" w:rsidR="003E214A" w:rsidRPr="00425B5D" w:rsidRDefault="003E214A" w:rsidP="003E214A">
      <w:pPr>
        <w:rPr>
          <w:rFonts w:ascii="Times New Roman" w:hAnsi="Times New Roman" w:cs="Times New Roman"/>
          <w:sz w:val="26"/>
          <w:szCs w:val="26"/>
          <w:lang w:val="en-GB"/>
        </w:rPr>
      </w:pPr>
    </w:p>
    <w:p w14:paraId="67E94FBC" w14:textId="77777777" w:rsidR="003E214A" w:rsidRPr="00425B5D" w:rsidRDefault="003E214A" w:rsidP="00EB7D6A">
      <w:pPr>
        <w:rPr>
          <w:rFonts w:ascii="Times New Roman" w:eastAsia="Times New Roman" w:hAnsi="Times New Roman" w:cs="Times New Roman"/>
          <w:color w:val="2E2E2E"/>
          <w:sz w:val="26"/>
          <w:szCs w:val="26"/>
          <w:lang w:val="en-GB"/>
        </w:rPr>
      </w:pPr>
    </w:p>
    <w:p w14:paraId="5D63FFD0" w14:textId="77777777" w:rsidR="003E214A" w:rsidRPr="00425B5D" w:rsidRDefault="003E214A" w:rsidP="003E214A">
      <w:pPr>
        <w:widowControl w:val="0"/>
        <w:autoSpaceDE w:val="0"/>
        <w:autoSpaceDN w:val="0"/>
        <w:adjustRightInd w:val="0"/>
        <w:spacing w:after="240" w:line="280" w:lineRule="atLeast"/>
        <w:jc w:val="both"/>
        <w:rPr>
          <w:rFonts w:ascii="Times New Roman" w:hAnsi="Times New Roman" w:cs="Times New Roman"/>
          <w:sz w:val="26"/>
          <w:szCs w:val="26"/>
        </w:rPr>
      </w:pPr>
      <w:r w:rsidRPr="00425B5D">
        <w:rPr>
          <w:rFonts w:ascii="Times New Roman" w:hAnsi="Times New Roman" w:cs="Times New Roman"/>
          <w:color w:val="1A1718"/>
          <w:sz w:val="26"/>
          <w:szCs w:val="26"/>
        </w:rPr>
        <w:t xml:space="preserve">Abundances of each taxa </w:t>
      </w:r>
      <w:r w:rsidR="005469E0" w:rsidRPr="00425B5D">
        <w:rPr>
          <w:rFonts w:ascii="Times New Roman" w:hAnsi="Times New Roman" w:cs="Times New Roman"/>
          <w:color w:val="1A1718"/>
          <w:sz w:val="26"/>
          <w:szCs w:val="26"/>
        </w:rPr>
        <w:t>(cells/l), w</w:t>
      </w:r>
      <w:r w:rsidRPr="00425B5D">
        <w:rPr>
          <w:rFonts w:ascii="Times New Roman" w:hAnsi="Times New Roman" w:cs="Times New Roman"/>
          <w:color w:val="1A1718"/>
          <w:sz w:val="26"/>
          <w:szCs w:val="26"/>
        </w:rPr>
        <w:t xml:space="preserve">ere </w:t>
      </w:r>
      <w:r w:rsidR="005469E0" w:rsidRPr="00425B5D">
        <w:rPr>
          <w:rFonts w:ascii="Times New Roman" w:hAnsi="Times New Roman" w:cs="Times New Roman"/>
          <w:color w:val="1A1718"/>
          <w:sz w:val="26"/>
          <w:szCs w:val="26"/>
        </w:rPr>
        <w:t xml:space="preserve">calculated </w:t>
      </w:r>
      <w:r w:rsidRPr="00425B5D">
        <w:rPr>
          <w:rFonts w:ascii="Times New Roman" w:hAnsi="Times New Roman" w:cs="Times New Roman"/>
          <w:color w:val="1A1718"/>
          <w:sz w:val="26"/>
          <w:szCs w:val="26"/>
        </w:rPr>
        <w:t>according to:</w:t>
      </w:r>
      <w:r w:rsidRPr="00425B5D">
        <w:rPr>
          <w:rFonts w:ascii="Times New Roman" w:hAnsi="Times New Roman" w:cs="Times New Roman"/>
          <w:sz w:val="26"/>
          <w:szCs w:val="26"/>
        </w:rPr>
        <w:t xml:space="preserve">   </w:t>
      </w:r>
    </w:p>
    <w:p w14:paraId="27059131" w14:textId="1B9FD2BB" w:rsidR="003E214A" w:rsidRPr="00425B5D" w:rsidRDefault="005469E0" w:rsidP="003E214A">
      <w:pPr>
        <w:widowControl w:val="0"/>
        <w:autoSpaceDE w:val="0"/>
        <w:autoSpaceDN w:val="0"/>
        <w:adjustRightInd w:val="0"/>
        <w:spacing w:after="240" w:line="280" w:lineRule="atLeast"/>
        <w:jc w:val="both"/>
        <w:rPr>
          <w:rFonts w:ascii="Times New Roman" w:hAnsi="Times New Roman" w:cs="Times New Roman"/>
          <w:sz w:val="26"/>
          <w:szCs w:val="26"/>
        </w:rPr>
      </w:pPr>
      <w:r w:rsidRPr="00425B5D">
        <w:rPr>
          <w:rFonts w:ascii="Times New Roman" w:hAnsi="Times New Roman" w:cs="Times New Roman"/>
          <w:color w:val="1A1718"/>
          <w:sz w:val="26"/>
          <w:szCs w:val="26"/>
        </w:rPr>
        <w:t xml:space="preserve">A=N*S/V </w:t>
      </w:r>
    </w:p>
    <w:p w14:paraId="16A3346B" w14:textId="2AFCD640" w:rsidR="005469E0" w:rsidRDefault="005469E0" w:rsidP="004039CC">
      <w:pPr>
        <w:widowControl w:val="0"/>
        <w:autoSpaceDE w:val="0"/>
        <w:autoSpaceDN w:val="0"/>
        <w:adjustRightInd w:val="0"/>
        <w:spacing w:after="240" w:line="280" w:lineRule="atLeast"/>
        <w:jc w:val="both"/>
        <w:rPr>
          <w:rFonts w:ascii="Times New Roman" w:hAnsi="Times New Roman" w:cs="Times New Roman"/>
          <w:color w:val="1A1718"/>
          <w:sz w:val="26"/>
          <w:szCs w:val="26"/>
        </w:rPr>
      </w:pPr>
      <w:r w:rsidRPr="00425B5D">
        <w:rPr>
          <w:rFonts w:ascii="Times New Roman" w:hAnsi="Times New Roman" w:cs="Times New Roman"/>
          <w:color w:val="1A1718"/>
          <w:sz w:val="26"/>
          <w:szCs w:val="26"/>
        </w:rPr>
        <w:t xml:space="preserve">where </w:t>
      </w:r>
      <w:r w:rsidR="003E214A" w:rsidRPr="00425B5D">
        <w:rPr>
          <w:rFonts w:ascii="Times New Roman" w:hAnsi="Times New Roman" w:cs="Times New Roman"/>
          <w:color w:val="1A1718"/>
          <w:sz w:val="26"/>
          <w:szCs w:val="26"/>
        </w:rPr>
        <w:t>A is</w:t>
      </w:r>
      <w:r w:rsidR="00F46002">
        <w:rPr>
          <w:rFonts w:ascii="Times New Roman" w:hAnsi="Times New Roman" w:cs="Times New Roman"/>
          <w:color w:val="1A1718"/>
          <w:sz w:val="26"/>
          <w:szCs w:val="26"/>
        </w:rPr>
        <w:t xml:space="preserve"> </w:t>
      </w:r>
      <w:r w:rsidR="003E214A" w:rsidRPr="00425B5D">
        <w:rPr>
          <w:rFonts w:ascii="Times New Roman" w:hAnsi="Times New Roman" w:cs="Times New Roman"/>
          <w:color w:val="1A1718"/>
          <w:sz w:val="26"/>
          <w:szCs w:val="26"/>
        </w:rPr>
        <w:t xml:space="preserve">the absolute abundance of the species; </w:t>
      </w:r>
      <w:r w:rsidRPr="00425B5D">
        <w:rPr>
          <w:rFonts w:ascii="Times New Roman" w:hAnsi="Times New Roman" w:cs="Times New Roman"/>
          <w:color w:val="1A1718"/>
          <w:sz w:val="26"/>
          <w:szCs w:val="26"/>
        </w:rPr>
        <w:t xml:space="preserve">N is the number of cells of a species on the </w:t>
      </w:r>
      <w:r w:rsidR="003E214A" w:rsidRPr="00425B5D">
        <w:rPr>
          <w:rFonts w:ascii="Times New Roman" w:hAnsi="Times New Roman" w:cs="Times New Roman"/>
          <w:color w:val="1A1718"/>
          <w:sz w:val="26"/>
          <w:szCs w:val="26"/>
        </w:rPr>
        <w:t>scanned</w:t>
      </w:r>
      <w:r w:rsidRPr="00425B5D">
        <w:rPr>
          <w:rFonts w:ascii="Times New Roman" w:hAnsi="Times New Roman" w:cs="Times New Roman"/>
          <w:color w:val="1A1718"/>
          <w:sz w:val="26"/>
          <w:szCs w:val="26"/>
        </w:rPr>
        <w:t xml:space="preserve"> piece of filter</w:t>
      </w:r>
      <w:r w:rsidR="003E214A" w:rsidRPr="00425B5D">
        <w:rPr>
          <w:rFonts w:ascii="Times New Roman" w:hAnsi="Times New Roman" w:cs="Times New Roman"/>
          <w:color w:val="1A1718"/>
          <w:sz w:val="26"/>
          <w:szCs w:val="26"/>
        </w:rPr>
        <w:t>;</w:t>
      </w:r>
      <w:r w:rsidRPr="00425B5D">
        <w:rPr>
          <w:rFonts w:ascii="Times New Roman" w:hAnsi="Times New Roman" w:cs="Times New Roman"/>
          <w:color w:val="1A1718"/>
          <w:sz w:val="26"/>
          <w:szCs w:val="26"/>
        </w:rPr>
        <w:t xml:space="preserve"> S, the scaling factor (area of the whole filter/area of scanned filter piece)</w:t>
      </w:r>
      <w:r w:rsidR="003E214A" w:rsidRPr="00425B5D">
        <w:rPr>
          <w:rFonts w:ascii="Times New Roman" w:hAnsi="Times New Roman" w:cs="Times New Roman"/>
          <w:color w:val="1A1718"/>
          <w:sz w:val="26"/>
          <w:szCs w:val="26"/>
        </w:rPr>
        <w:t xml:space="preserve"> and</w:t>
      </w:r>
      <w:r w:rsidRPr="00425B5D">
        <w:rPr>
          <w:rFonts w:ascii="Times New Roman" w:hAnsi="Times New Roman" w:cs="Times New Roman"/>
          <w:color w:val="1A1718"/>
          <w:sz w:val="26"/>
          <w:szCs w:val="26"/>
        </w:rPr>
        <w:t xml:space="preserve"> V, the volume of the water filtered (</w:t>
      </w:r>
      <w:proofErr w:type="spellStart"/>
      <w:r w:rsidRPr="00425B5D">
        <w:rPr>
          <w:rFonts w:ascii="Times New Roman" w:hAnsi="Times New Roman" w:cs="Times New Roman"/>
          <w:color w:val="1A1718"/>
          <w:sz w:val="26"/>
          <w:szCs w:val="26"/>
        </w:rPr>
        <w:t>litre</w:t>
      </w:r>
      <w:proofErr w:type="spellEnd"/>
      <w:r w:rsidRPr="00425B5D">
        <w:rPr>
          <w:rFonts w:ascii="Times New Roman" w:hAnsi="Times New Roman" w:cs="Times New Roman"/>
          <w:color w:val="1A1718"/>
          <w:sz w:val="26"/>
          <w:szCs w:val="26"/>
        </w:rPr>
        <w:t xml:space="preserve">). </w:t>
      </w:r>
    </w:p>
    <w:p w14:paraId="3934F457" w14:textId="69B7237E" w:rsidR="0004661D" w:rsidRPr="005469E0" w:rsidRDefault="0004661D" w:rsidP="004039CC">
      <w:pPr>
        <w:jc w:val="both"/>
        <w:rPr>
          <w:rFonts w:ascii="Times New Roman" w:eastAsia="Times New Roman" w:hAnsi="Times New Roman" w:cs="Times New Roman"/>
        </w:rPr>
      </w:pPr>
      <w:r w:rsidRPr="00425B5D">
        <w:rPr>
          <w:rFonts w:ascii="Times New Roman" w:eastAsia="Times New Roman" w:hAnsi="Times New Roman" w:cs="Times New Roman"/>
          <w:color w:val="2E2E2E"/>
          <w:sz w:val="26"/>
          <w:szCs w:val="26"/>
        </w:rPr>
        <w:t xml:space="preserve">Additionally, aggregates and birefringent particles not attached to cells (i.e. coccoliths, ascidian spicules, unidentified birefringent particles [in two size classes]) were also counted. </w:t>
      </w:r>
      <w:r w:rsidRPr="00C727A6">
        <w:rPr>
          <w:rFonts w:ascii="-webkit-standard" w:eastAsia="Times New Roman" w:hAnsi="-webkit-standard" w:cs="Times New Roman"/>
          <w:color w:val="000000"/>
          <w:sz w:val="27"/>
          <w:szCs w:val="27"/>
        </w:rPr>
        <w:t xml:space="preserve">Loose coccoliths </w:t>
      </w:r>
      <w:r w:rsidR="00A63875">
        <w:rPr>
          <w:rFonts w:ascii="-webkit-standard" w:eastAsia="Times New Roman" w:hAnsi="-webkit-standard" w:cs="Times New Roman"/>
          <w:color w:val="000000"/>
          <w:sz w:val="27"/>
          <w:szCs w:val="27"/>
        </w:rPr>
        <w:t xml:space="preserve">and </w:t>
      </w:r>
      <w:r w:rsidR="00A63875" w:rsidRPr="00425B5D">
        <w:rPr>
          <w:rFonts w:ascii="Times New Roman" w:eastAsia="Times New Roman" w:hAnsi="Times New Roman" w:cs="Times New Roman"/>
          <w:color w:val="2E2E2E"/>
          <w:sz w:val="26"/>
          <w:szCs w:val="26"/>
        </w:rPr>
        <w:t xml:space="preserve">unidentified birefringent particles </w:t>
      </w:r>
      <w:r>
        <w:rPr>
          <w:rFonts w:ascii="-webkit-standard" w:eastAsia="Times New Roman" w:hAnsi="-webkit-standard" w:cs="Times New Roman"/>
          <w:color w:val="000000"/>
          <w:sz w:val="27"/>
          <w:szCs w:val="27"/>
        </w:rPr>
        <w:t xml:space="preserve">were </w:t>
      </w:r>
      <w:r w:rsidRPr="00C727A6">
        <w:rPr>
          <w:rFonts w:ascii="-webkit-standard" w:eastAsia="Times New Roman" w:hAnsi="-webkit-standard" w:cs="Times New Roman"/>
          <w:color w:val="000000"/>
          <w:sz w:val="27"/>
          <w:szCs w:val="27"/>
        </w:rPr>
        <w:t xml:space="preserve">counted from either </w:t>
      </w:r>
      <w:r>
        <w:rPr>
          <w:rFonts w:ascii="-webkit-standard" w:eastAsia="Times New Roman" w:hAnsi="-webkit-standard" w:cs="Times New Roman"/>
          <w:color w:val="000000"/>
          <w:sz w:val="27"/>
          <w:szCs w:val="27"/>
        </w:rPr>
        <w:t xml:space="preserve">a </w:t>
      </w:r>
      <w:r w:rsidRPr="00C727A6">
        <w:rPr>
          <w:rFonts w:ascii="-webkit-standard" w:eastAsia="Times New Roman" w:hAnsi="-webkit-standard" w:cs="Times New Roman"/>
          <w:color w:val="000000"/>
          <w:sz w:val="27"/>
          <w:szCs w:val="27"/>
        </w:rPr>
        <w:t xml:space="preserve">full </w:t>
      </w:r>
      <w:r>
        <w:rPr>
          <w:rFonts w:ascii="-webkit-standard" w:eastAsia="Times New Roman" w:hAnsi="-webkit-standard" w:cs="Times New Roman"/>
          <w:color w:val="000000"/>
          <w:sz w:val="27"/>
          <w:szCs w:val="27"/>
        </w:rPr>
        <w:t>field of view (</w:t>
      </w:r>
      <w:r w:rsidRPr="00C727A6">
        <w:rPr>
          <w:rFonts w:ascii="-webkit-standard" w:eastAsia="Times New Roman" w:hAnsi="-webkit-standard" w:cs="Times New Roman"/>
          <w:color w:val="000000"/>
          <w:sz w:val="27"/>
          <w:szCs w:val="27"/>
        </w:rPr>
        <w:t>FOV</w:t>
      </w:r>
      <w:r>
        <w:rPr>
          <w:rFonts w:ascii="-webkit-standard" w:eastAsia="Times New Roman" w:hAnsi="-webkit-standard" w:cs="Times New Roman"/>
          <w:color w:val="000000"/>
          <w:sz w:val="27"/>
          <w:szCs w:val="27"/>
        </w:rPr>
        <w:t xml:space="preserve">) </w:t>
      </w:r>
      <w:r w:rsidRPr="00C727A6">
        <w:rPr>
          <w:rFonts w:ascii="-webkit-standard" w:eastAsia="Times New Roman" w:hAnsi="-webkit-standard" w:cs="Times New Roman"/>
          <w:color w:val="000000"/>
          <w:sz w:val="27"/>
          <w:szCs w:val="27"/>
        </w:rPr>
        <w:t xml:space="preserve">or </w:t>
      </w:r>
      <w:r>
        <w:rPr>
          <w:rFonts w:ascii="-webkit-standard" w:eastAsia="Times New Roman" w:hAnsi="-webkit-standard" w:cs="Times New Roman"/>
          <w:color w:val="000000"/>
          <w:sz w:val="27"/>
          <w:szCs w:val="27"/>
        </w:rPr>
        <w:t>a half</w:t>
      </w:r>
      <w:r w:rsidRPr="00C727A6">
        <w:rPr>
          <w:rFonts w:ascii="-webkit-standard" w:eastAsia="Times New Roman" w:hAnsi="-webkit-standard" w:cs="Times New Roman"/>
          <w:color w:val="000000"/>
          <w:sz w:val="27"/>
          <w:szCs w:val="27"/>
        </w:rPr>
        <w:t xml:space="preserve"> FOV, </w:t>
      </w:r>
      <w:r>
        <w:rPr>
          <w:rFonts w:ascii="-webkit-standard" w:eastAsia="Times New Roman" w:hAnsi="-webkit-standard" w:cs="Times New Roman"/>
          <w:color w:val="000000"/>
          <w:sz w:val="27"/>
          <w:szCs w:val="27"/>
        </w:rPr>
        <w:t>all along the transept examined.</w:t>
      </w:r>
      <w:r w:rsidRPr="00C727A6">
        <w:rPr>
          <w:rFonts w:ascii="-webkit-standard" w:eastAsia="Times New Roman" w:hAnsi="-webkit-standard" w:cs="Times New Roman"/>
          <w:color w:val="000000"/>
          <w:sz w:val="27"/>
          <w:szCs w:val="27"/>
        </w:rPr>
        <w:t xml:space="preserve"> </w:t>
      </w:r>
      <w:r>
        <w:rPr>
          <w:rFonts w:ascii="-webkit-standard" w:eastAsia="Times New Roman" w:hAnsi="-webkit-standard" w:cs="Times New Roman"/>
          <w:color w:val="000000"/>
          <w:sz w:val="27"/>
          <w:szCs w:val="27"/>
        </w:rPr>
        <w:t xml:space="preserve">A </w:t>
      </w:r>
      <w:r>
        <w:rPr>
          <w:rFonts w:ascii="-webkit-standard" w:eastAsia="Times New Roman" w:hAnsi="-webkit-standard" w:cs="Times New Roman" w:hint="eastAsia"/>
          <w:color w:val="000000"/>
          <w:sz w:val="27"/>
          <w:szCs w:val="27"/>
        </w:rPr>
        <w:t>minimum</w:t>
      </w:r>
      <w:r>
        <w:rPr>
          <w:rFonts w:ascii="-webkit-standard" w:eastAsia="Times New Roman" w:hAnsi="-webkit-standard" w:cs="Times New Roman"/>
          <w:color w:val="000000"/>
          <w:sz w:val="27"/>
          <w:szCs w:val="27"/>
        </w:rPr>
        <w:t xml:space="preserve"> </w:t>
      </w:r>
      <w:proofErr w:type="gramStart"/>
      <w:r>
        <w:rPr>
          <w:rFonts w:ascii="-webkit-standard" w:eastAsia="Times New Roman" w:hAnsi="-webkit-standard" w:cs="Times New Roman"/>
          <w:color w:val="000000"/>
          <w:sz w:val="27"/>
          <w:szCs w:val="27"/>
        </w:rPr>
        <w:t xml:space="preserve">of  </w:t>
      </w:r>
      <w:r w:rsidR="00A63875">
        <w:rPr>
          <w:rFonts w:ascii="-webkit-standard" w:eastAsia="Times New Roman" w:hAnsi="-webkit-standard" w:cs="Times New Roman"/>
          <w:color w:val="000000"/>
          <w:sz w:val="27"/>
          <w:szCs w:val="27"/>
        </w:rPr>
        <w:t>742</w:t>
      </w:r>
      <w:proofErr w:type="gramEnd"/>
      <w:r>
        <w:rPr>
          <w:rFonts w:ascii="-webkit-standard" w:eastAsia="Times New Roman" w:hAnsi="-webkit-standard" w:cs="Times New Roman"/>
          <w:color w:val="000000"/>
          <w:sz w:val="27"/>
          <w:szCs w:val="27"/>
        </w:rPr>
        <w:t xml:space="preserve"> and maximum of </w:t>
      </w:r>
      <w:r w:rsidR="00A63875">
        <w:rPr>
          <w:rFonts w:ascii="-webkit-standard" w:eastAsia="Times New Roman" w:hAnsi="-webkit-standard" w:cs="Times New Roman"/>
          <w:color w:val="000000"/>
          <w:sz w:val="27"/>
          <w:szCs w:val="27"/>
        </w:rPr>
        <w:t>11258</w:t>
      </w:r>
      <w:r w:rsidR="00A63875" w:rsidRPr="00425B5D">
        <w:rPr>
          <w:rFonts w:ascii="Times New Roman" w:eastAsia="Times New Roman" w:hAnsi="Times New Roman" w:cs="Times New Roman"/>
          <w:color w:val="2E2E2E"/>
          <w:sz w:val="26"/>
          <w:szCs w:val="26"/>
        </w:rPr>
        <w:t xml:space="preserve"> birefringent particles</w:t>
      </w:r>
      <w:r w:rsidR="00A63875">
        <w:rPr>
          <w:rFonts w:ascii="Times New Roman" w:eastAsia="Times New Roman" w:hAnsi="Times New Roman" w:cs="Times New Roman"/>
          <w:color w:val="2E2E2E"/>
          <w:sz w:val="26"/>
          <w:szCs w:val="26"/>
        </w:rPr>
        <w:t xml:space="preserve"> (unidentified + ascidian spicules + coccoliths)</w:t>
      </w:r>
      <w:r w:rsidRPr="00C727A6">
        <w:rPr>
          <w:rFonts w:ascii="-webkit-standard" w:eastAsia="Times New Roman" w:hAnsi="-webkit-standard" w:cs="Times New Roman"/>
          <w:color w:val="000000"/>
          <w:sz w:val="27"/>
          <w:szCs w:val="27"/>
        </w:rPr>
        <w:t xml:space="preserve"> </w:t>
      </w:r>
      <w:r>
        <w:rPr>
          <w:rFonts w:ascii="-webkit-standard" w:eastAsia="Times New Roman" w:hAnsi="-webkit-standard" w:cs="Times New Roman"/>
          <w:color w:val="000000"/>
          <w:sz w:val="27"/>
          <w:szCs w:val="27"/>
        </w:rPr>
        <w:t>were counted</w:t>
      </w:r>
      <w:r w:rsidRPr="00C727A6">
        <w:rPr>
          <w:rFonts w:ascii="-webkit-standard" w:eastAsia="Times New Roman" w:hAnsi="-webkit-standard" w:cs="Times New Roman"/>
          <w:color w:val="000000"/>
          <w:sz w:val="27"/>
          <w:szCs w:val="27"/>
        </w:rPr>
        <w:t xml:space="preserve">. </w:t>
      </w:r>
      <w:r w:rsidR="00EE779C">
        <w:rPr>
          <w:rFonts w:ascii="-webkit-standard" w:eastAsia="Times New Roman" w:hAnsi="-webkit-standard" w:cs="Times New Roman"/>
          <w:color w:val="000000"/>
          <w:sz w:val="27"/>
          <w:szCs w:val="27"/>
        </w:rPr>
        <w:t xml:space="preserve">Within aggregates only </w:t>
      </w:r>
      <w:proofErr w:type="spellStart"/>
      <w:r w:rsidR="00EE779C">
        <w:rPr>
          <w:rFonts w:ascii="-webkit-standard" w:eastAsia="Times New Roman" w:hAnsi="-webkit-standard" w:cs="Times New Roman"/>
          <w:color w:val="000000"/>
          <w:sz w:val="27"/>
          <w:szCs w:val="27"/>
        </w:rPr>
        <w:t>coccospheres</w:t>
      </w:r>
      <w:proofErr w:type="spellEnd"/>
      <w:r w:rsidR="00EE779C">
        <w:rPr>
          <w:rFonts w:ascii="-webkit-standard" w:eastAsia="Times New Roman" w:hAnsi="-webkit-standard" w:cs="Times New Roman"/>
          <w:color w:val="000000"/>
          <w:sz w:val="27"/>
          <w:szCs w:val="27"/>
        </w:rPr>
        <w:t xml:space="preserve"> or intact cells, when visible, were counted, coccoliths and other small material were not counted (example in Image 1)</w:t>
      </w:r>
    </w:p>
    <w:p w14:paraId="7DE444EB" w14:textId="77777777" w:rsidR="0004661D" w:rsidRPr="00425B5D" w:rsidRDefault="0004661D" w:rsidP="003E214A">
      <w:pPr>
        <w:widowControl w:val="0"/>
        <w:autoSpaceDE w:val="0"/>
        <w:autoSpaceDN w:val="0"/>
        <w:adjustRightInd w:val="0"/>
        <w:spacing w:after="240" w:line="280" w:lineRule="atLeast"/>
        <w:jc w:val="both"/>
        <w:rPr>
          <w:rFonts w:ascii="Times New Roman" w:hAnsi="Times New Roman" w:cs="Times New Roman"/>
          <w:sz w:val="26"/>
          <w:szCs w:val="26"/>
        </w:rPr>
      </w:pPr>
    </w:p>
    <w:p w14:paraId="301F54F2" w14:textId="7B76FF51" w:rsidR="00EE779C" w:rsidRDefault="00EE779C" w:rsidP="00EE779C">
      <w:pPr>
        <w:widowControl w:val="0"/>
        <w:autoSpaceDE w:val="0"/>
        <w:autoSpaceDN w:val="0"/>
        <w:adjustRightInd w:val="0"/>
        <w:spacing w:after="240" w:line="300" w:lineRule="atLeast"/>
        <w:jc w:val="both"/>
        <w:rPr>
          <w:rFonts w:ascii="Arial" w:hAnsi="Arial" w:cs="Arial"/>
          <w:sz w:val="22"/>
          <w:szCs w:val="22"/>
          <w:lang w:val="en-GB"/>
        </w:rPr>
      </w:pPr>
      <w:r>
        <w:rPr>
          <w:rFonts w:ascii="Arial" w:hAnsi="Arial" w:cs="Arial"/>
          <w:sz w:val="22"/>
          <w:szCs w:val="22"/>
          <w:lang w:val="en-GB"/>
        </w:rPr>
        <w:t xml:space="preserve">Image 1. Example of counted aggregates, this one contains several coccoliths (not counted) and an ascidian spicule is lying next to (counted). When ever entire </w:t>
      </w:r>
      <w:proofErr w:type="spellStart"/>
      <w:r>
        <w:rPr>
          <w:rFonts w:ascii="Arial" w:hAnsi="Arial" w:cs="Arial"/>
          <w:sz w:val="22"/>
          <w:szCs w:val="22"/>
          <w:lang w:val="en-GB"/>
        </w:rPr>
        <w:t>coccospheres</w:t>
      </w:r>
      <w:proofErr w:type="spellEnd"/>
      <w:r>
        <w:rPr>
          <w:rFonts w:ascii="Arial" w:hAnsi="Arial" w:cs="Arial"/>
          <w:sz w:val="22"/>
          <w:szCs w:val="22"/>
          <w:lang w:val="en-GB"/>
        </w:rPr>
        <w:t xml:space="preserve"> where observed inside the aggregates (not in this example)</w:t>
      </w:r>
      <w:r>
        <w:rPr>
          <w:rFonts w:ascii="Arial" w:hAnsi="Arial" w:cs="Arial"/>
          <w:sz w:val="22"/>
          <w:szCs w:val="22"/>
          <w:lang w:val="en-GB"/>
        </w:rPr>
        <w:t xml:space="preserve"> t</w:t>
      </w:r>
      <w:r>
        <w:rPr>
          <w:rFonts w:ascii="Arial" w:hAnsi="Arial" w:cs="Arial"/>
          <w:sz w:val="22"/>
          <w:szCs w:val="22"/>
          <w:lang w:val="en-GB"/>
        </w:rPr>
        <w:t>hey were counted.</w:t>
      </w:r>
    </w:p>
    <w:p w14:paraId="42C7007E" w14:textId="524251BB" w:rsidR="00C727A6" w:rsidRPr="00425B5D" w:rsidRDefault="00EE779C" w:rsidP="00AC2179">
      <w:pPr>
        <w:widowControl w:val="0"/>
        <w:autoSpaceDE w:val="0"/>
        <w:autoSpaceDN w:val="0"/>
        <w:adjustRightInd w:val="0"/>
        <w:spacing w:after="240" w:line="300" w:lineRule="atLeast"/>
        <w:rPr>
          <w:rFonts w:ascii="Times New Roman" w:hAnsi="Times New Roman" w:cs="Times New Roman"/>
          <w:sz w:val="26"/>
          <w:szCs w:val="26"/>
        </w:rPr>
      </w:pPr>
      <w:r>
        <w:rPr>
          <w:rFonts w:ascii="Times" w:hAnsi="Times" w:cs="Times"/>
          <w:noProof/>
          <w:sz w:val="26"/>
          <w:szCs w:val="26"/>
          <w:lang w:val="en-GB"/>
        </w:rPr>
        <w:lastRenderedPageBreak/>
        <w:drawing>
          <wp:inline distT="0" distB="0" distL="0" distR="0" wp14:anchorId="554656E3" wp14:editId="06802825">
            <wp:extent cx="5962650" cy="4470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2650" cy="4470400"/>
                    </a:xfrm>
                    <a:prstGeom prst="rect">
                      <a:avLst/>
                    </a:prstGeom>
                    <a:noFill/>
                    <a:ln>
                      <a:noFill/>
                    </a:ln>
                  </pic:spPr>
                </pic:pic>
              </a:graphicData>
            </a:graphic>
          </wp:inline>
        </w:drawing>
      </w:r>
    </w:p>
    <w:p w14:paraId="6A7C2305" w14:textId="77777777" w:rsidR="00561F26" w:rsidRDefault="00561F26" w:rsidP="003E214A">
      <w:pPr>
        <w:widowControl w:val="0"/>
        <w:autoSpaceDE w:val="0"/>
        <w:autoSpaceDN w:val="0"/>
        <w:adjustRightInd w:val="0"/>
        <w:spacing w:after="240" w:line="300" w:lineRule="atLeast"/>
        <w:rPr>
          <w:rFonts w:ascii="Times New Roman" w:hAnsi="Times New Roman" w:cs="Times New Roman"/>
          <w:b/>
          <w:sz w:val="26"/>
          <w:szCs w:val="26"/>
        </w:rPr>
      </w:pPr>
    </w:p>
    <w:p w14:paraId="58116A08" w14:textId="77777777" w:rsidR="00561F26" w:rsidRDefault="00561F26" w:rsidP="003E214A">
      <w:pPr>
        <w:widowControl w:val="0"/>
        <w:autoSpaceDE w:val="0"/>
        <w:autoSpaceDN w:val="0"/>
        <w:adjustRightInd w:val="0"/>
        <w:spacing w:after="240" w:line="300" w:lineRule="atLeast"/>
        <w:rPr>
          <w:rFonts w:ascii="Times New Roman" w:hAnsi="Times New Roman" w:cs="Times New Roman"/>
          <w:b/>
          <w:sz w:val="26"/>
          <w:szCs w:val="26"/>
        </w:rPr>
      </w:pPr>
    </w:p>
    <w:p w14:paraId="75EF6187" w14:textId="37587871" w:rsidR="003E214A" w:rsidRPr="00425B5D" w:rsidRDefault="003E214A" w:rsidP="003E214A">
      <w:pPr>
        <w:widowControl w:val="0"/>
        <w:autoSpaceDE w:val="0"/>
        <w:autoSpaceDN w:val="0"/>
        <w:adjustRightInd w:val="0"/>
        <w:spacing w:after="240" w:line="300" w:lineRule="atLeast"/>
        <w:rPr>
          <w:rFonts w:ascii="Times New Roman" w:hAnsi="Times New Roman" w:cs="Times New Roman"/>
          <w:b/>
          <w:sz w:val="26"/>
          <w:szCs w:val="26"/>
        </w:rPr>
      </w:pPr>
      <w:r w:rsidRPr="00425B5D">
        <w:rPr>
          <w:rFonts w:ascii="Times New Roman" w:hAnsi="Times New Roman" w:cs="Times New Roman"/>
          <w:b/>
          <w:sz w:val="26"/>
          <w:szCs w:val="26"/>
        </w:rPr>
        <w:t>Calculation of cellular volumes and organic carbon per cell</w:t>
      </w:r>
    </w:p>
    <w:p w14:paraId="7B7D6450" w14:textId="77777777" w:rsidR="003E214A" w:rsidRPr="00425B5D" w:rsidRDefault="003E214A" w:rsidP="00425B5D">
      <w:pPr>
        <w:widowControl w:val="0"/>
        <w:autoSpaceDE w:val="0"/>
        <w:autoSpaceDN w:val="0"/>
        <w:adjustRightInd w:val="0"/>
        <w:spacing w:after="240" w:line="300" w:lineRule="atLeast"/>
        <w:jc w:val="both"/>
        <w:rPr>
          <w:rFonts w:ascii="Times New Roman" w:eastAsia="Times New Roman" w:hAnsi="Times New Roman" w:cs="Times New Roman"/>
          <w:color w:val="2E2E2E"/>
          <w:sz w:val="26"/>
          <w:szCs w:val="26"/>
        </w:rPr>
      </w:pPr>
      <w:r w:rsidRPr="00425B5D">
        <w:rPr>
          <w:rFonts w:ascii="Times New Roman" w:eastAsia="Times New Roman" w:hAnsi="Times New Roman" w:cs="Times New Roman"/>
          <w:color w:val="2E2E2E"/>
          <w:sz w:val="26"/>
          <w:szCs w:val="26"/>
        </w:rPr>
        <w:t xml:space="preserve">A part of the recorded cells, detached coccoliths, aggregates, etc. were imaged using an </w:t>
      </w:r>
      <w:r w:rsidRPr="00425B5D">
        <w:rPr>
          <w:rFonts w:ascii="Times New Roman" w:hAnsi="Times New Roman" w:cs="Times New Roman"/>
          <w:sz w:val="26"/>
          <w:szCs w:val="26"/>
        </w:rPr>
        <w:t>ICC50W camera. The camera resolution was set to 2592 × 1944 (5MP). Measurements of cell dimensions were done by comparison of these images with those of a stage micrometer (S8). This technique yields results that are accurate to &lt; 1.0 µm.</w:t>
      </w:r>
    </w:p>
    <w:p w14:paraId="147E3D0A" w14:textId="270ED18D" w:rsidR="003E214A" w:rsidRPr="00425B5D" w:rsidRDefault="003E214A" w:rsidP="00425B5D">
      <w:pPr>
        <w:jc w:val="both"/>
        <w:rPr>
          <w:rFonts w:ascii="Times New Roman" w:eastAsia="Times New Roman" w:hAnsi="Times New Roman" w:cs="Times New Roman"/>
          <w:sz w:val="26"/>
          <w:szCs w:val="26"/>
          <w:lang w:val="en-GB" w:eastAsia="fr-FR"/>
        </w:rPr>
      </w:pPr>
      <w:r w:rsidRPr="00425B5D">
        <w:rPr>
          <w:rFonts w:ascii="Times New Roman" w:hAnsi="Times New Roman" w:cs="Times New Roman"/>
          <w:sz w:val="26"/>
          <w:szCs w:val="26"/>
          <w:lang w:val="en-GB" w:eastAsia="fr-FR"/>
        </w:rPr>
        <w:t xml:space="preserve">In order to calculate cell biovolumes (units: µm3), each imaged cell was assigned an idealised shape (e.g. sphere, prolate spheroid, cone, cylinder, etc) based on the work of </w:t>
      </w:r>
      <w:r w:rsidR="004039CC">
        <w:rPr>
          <w:rFonts w:ascii="Times New Roman" w:hAnsi="Times New Roman" w:cs="Times New Roman"/>
          <w:sz w:val="26"/>
          <w:szCs w:val="26"/>
          <w:lang w:val="en-GB" w:eastAsia="fr-FR"/>
        </w:rPr>
        <w:t xml:space="preserve"> </w:t>
      </w:r>
      <w:r w:rsidR="004039CC">
        <w:rPr>
          <w:rFonts w:ascii="Times New Roman" w:hAnsi="Times New Roman" w:cs="Times New Roman"/>
          <w:sz w:val="26"/>
          <w:szCs w:val="26"/>
          <w:lang w:val="en-GB" w:eastAsia="fr-FR"/>
        </w:rPr>
        <w:fldChar w:fldCharType="begin"/>
      </w:r>
      <w:r w:rsidR="004039CC">
        <w:rPr>
          <w:rFonts w:ascii="Times New Roman" w:hAnsi="Times New Roman" w:cs="Times New Roman"/>
          <w:sz w:val="26"/>
          <w:szCs w:val="26"/>
          <w:lang w:val="en-GB" w:eastAsia="fr-FR"/>
        </w:rPr>
        <w:instrText xml:space="preserve"> ADDIN ZOTERO_ITEM CSL_CITATION {"citationID":"oAzcj1cB","properties":{"formattedCitation":"(Hillebrand et al. 1999)","plainCitation":"(Hillebrand et al. 1999)","noteIndex":0},"citationItems":[{"id":12,"uris":["http://zotero.org/users/local/5X5W2PGc/items/R83Y7HSW"],"uri":["http://zotero.org/users/local/5X5W2PGc/items/R83Y7HSW"],"itemData":{"id":12,"type":"article-journal","abstract":"Microalgal biovolume is commonly calculated to assess the relative abundance (as biomass or carbon) of co-occurring algae varying in shape and/or size. However, a standardized set of equations for biovolume calculations from microscopically measured linear dimensions that includes the entire range of microalgal shapes is not available yet. In comparison with automated methods, the use of microscopical measurements allows high taxonomic resolution, up to the species level, and has fewer sources of error. We present a set of geometric shapes and mathematical equations for calculating biovolumes of &gt;850 pelagic and benthic marine and freshwater microalgal genera. The equations are designed to minimize the effort of microscopic measurement. The similarities and differences between our proposal for standardization and previously published proposals are discussed and recommendations for quality standards given.","container-title":"Journal of Phycology","DOI":"10.1046/j.1529-8817.1999.3520403.x","ISSN":"0022-3646","issue":"2","journalAbbreviation":"Journal of Phycology","page":"403-424","title":"BIOVOLUME CALCULATION FOR PELAGIC AND BENTHIC MICROALGAE","volume":"35","author":[{"family":"Hillebrand","given":"Helmut"},{"family":"Dürselen","given":"Claus-Dieter"},{"family":"Kirschtel","given":"David"},{"family":"Pollingher","given":"Utsa"},{"family":"Zohary","given":"Tamar"}],"issued":{"date-parts":[["1999",4,1]]}}}],"schema":"https://github.com/citation-style-language/schema/raw/master/csl-citation.json"} </w:instrText>
      </w:r>
      <w:r w:rsidR="004039CC">
        <w:rPr>
          <w:rFonts w:ascii="Times New Roman" w:hAnsi="Times New Roman" w:cs="Times New Roman"/>
          <w:sz w:val="26"/>
          <w:szCs w:val="26"/>
          <w:lang w:val="en-GB" w:eastAsia="fr-FR"/>
        </w:rPr>
        <w:fldChar w:fldCharType="separate"/>
      </w:r>
      <w:r w:rsidR="004039CC" w:rsidRPr="004039CC">
        <w:rPr>
          <w:rFonts w:ascii="Times New Roman" w:hAnsi="Times New Roman" w:cs="Times New Roman"/>
          <w:sz w:val="26"/>
        </w:rPr>
        <w:t xml:space="preserve">Hillebrand et al. </w:t>
      </w:r>
      <w:r w:rsidR="004039CC">
        <w:rPr>
          <w:rFonts w:ascii="Times New Roman" w:hAnsi="Times New Roman" w:cs="Times New Roman"/>
          <w:sz w:val="26"/>
        </w:rPr>
        <w:t>(</w:t>
      </w:r>
      <w:r w:rsidR="004039CC" w:rsidRPr="004039CC">
        <w:rPr>
          <w:rFonts w:ascii="Times New Roman" w:hAnsi="Times New Roman" w:cs="Times New Roman"/>
          <w:sz w:val="26"/>
        </w:rPr>
        <w:t>1999)</w:t>
      </w:r>
      <w:r w:rsidR="004039CC">
        <w:rPr>
          <w:rFonts w:ascii="Times New Roman" w:hAnsi="Times New Roman" w:cs="Times New Roman"/>
          <w:sz w:val="26"/>
          <w:szCs w:val="26"/>
          <w:lang w:val="en-GB" w:eastAsia="fr-FR"/>
        </w:rPr>
        <w:fldChar w:fldCharType="end"/>
      </w:r>
      <w:r w:rsidR="004039CC">
        <w:rPr>
          <w:rFonts w:ascii="Times New Roman" w:hAnsi="Times New Roman" w:cs="Times New Roman"/>
          <w:sz w:val="26"/>
          <w:szCs w:val="26"/>
          <w:lang w:val="en-GB" w:eastAsia="fr-FR"/>
        </w:rPr>
        <w:t xml:space="preserve">; </w:t>
      </w:r>
      <w:r w:rsidR="004039CC">
        <w:rPr>
          <w:rFonts w:ascii="Times New Roman" w:hAnsi="Times New Roman" w:cs="Times New Roman"/>
          <w:sz w:val="26"/>
          <w:szCs w:val="26"/>
          <w:lang w:val="en-GB" w:eastAsia="fr-FR"/>
        </w:rPr>
        <w:fldChar w:fldCharType="begin"/>
      </w:r>
      <w:r w:rsidR="004039CC">
        <w:rPr>
          <w:rFonts w:ascii="Times New Roman" w:hAnsi="Times New Roman" w:cs="Times New Roman"/>
          <w:sz w:val="26"/>
          <w:szCs w:val="26"/>
          <w:lang w:val="en-GB" w:eastAsia="fr-FR"/>
        </w:rPr>
        <w:instrText xml:space="preserve"> ADDIN ZOTERO_ITEM CSL_CITATION {"citationID":"0Xlptjeg","properties":{"formattedCitation":"(Sun 2003)","plainCitation":"(Sun 2003)","noteIndex":0},"citationItems":[{"id":11,"uris":["http://zotero.org/users/local/5X5W2PGc/items/LTKQ9W6N"],"uri":["http://zotero.org/users/local/5X5W2PGc/items/LTKQ9W6N"],"itemData":{"id":11,"type":"article-journal","container-title":"Journal of Plankton Research","DOI":"10.1093/plankt/fbg096","ISSN":"1464-3774","issue":"11","journalAbbreviation":"Journal of Plankton Research","language":"en","page":"1331-1346","source":"DOI.org (Crossref)","title":"Geometric models for calculating cell biovolume and surface area for phytoplankton","volume":"25","author":[{"family":"Sun","given":"J."}],"issued":{"date-parts":[["2003",11,1]]}}}],"schema":"https://github.com/citation-style-language/schema/raw/master/csl-citation.json"} </w:instrText>
      </w:r>
      <w:r w:rsidR="004039CC">
        <w:rPr>
          <w:rFonts w:ascii="Times New Roman" w:hAnsi="Times New Roman" w:cs="Times New Roman"/>
          <w:sz w:val="26"/>
          <w:szCs w:val="26"/>
          <w:lang w:val="en-GB" w:eastAsia="fr-FR"/>
        </w:rPr>
        <w:fldChar w:fldCharType="separate"/>
      </w:r>
      <w:r w:rsidR="004039CC" w:rsidRPr="004039CC">
        <w:rPr>
          <w:rFonts w:ascii="Times New Roman" w:hAnsi="Times New Roman" w:cs="Times New Roman"/>
          <w:sz w:val="26"/>
        </w:rPr>
        <w:t xml:space="preserve">Sun </w:t>
      </w:r>
      <w:r w:rsidR="004039CC">
        <w:rPr>
          <w:rFonts w:ascii="Times New Roman" w:hAnsi="Times New Roman" w:cs="Times New Roman"/>
          <w:sz w:val="26"/>
        </w:rPr>
        <w:t>(</w:t>
      </w:r>
      <w:r w:rsidR="004039CC" w:rsidRPr="004039CC">
        <w:rPr>
          <w:rFonts w:ascii="Times New Roman" w:hAnsi="Times New Roman" w:cs="Times New Roman"/>
          <w:sz w:val="26"/>
        </w:rPr>
        <w:t>2003)</w:t>
      </w:r>
      <w:r w:rsidR="004039CC">
        <w:rPr>
          <w:rFonts w:ascii="Times New Roman" w:hAnsi="Times New Roman" w:cs="Times New Roman"/>
          <w:sz w:val="26"/>
          <w:szCs w:val="26"/>
          <w:lang w:val="en-GB" w:eastAsia="fr-FR"/>
        </w:rPr>
        <w:fldChar w:fldCharType="end"/>
      </w:r>
      <w:r w:rsidRPr="00425B5D">
        <w:rPr>
          <w:rFonts w:ascii="Times New Roman" w:hAnsi="Times New Roman" w:cs="Times New Roman"/>
          <w:sz w:val="26"/>
          <w:szCs w:val="26"/>
          <w:lang w:val="en-GB" w:eastAsia="fr-FR"/>
        </w:rPr>
        <w:t xml:space="preserve"> and the HELCOM</w:t>
      </w:r>
      <w:r w:rsidR="00425B5D" w:rsidRPr="00425B5D">
        <w:rPr>
          <w:rFonts w:ascii="Times New Roman" w:hAnsi="Times New Roman" w:cs="Times New Roman"/>
          <w:sz w:val="26"/>
          <w:szCs w:val="26"/>
          <w:lang w:val="en-GB" w:eastAsia="fr-FR"/>
        </w:rPr>
        <w:t xml:space="preserve"> (</w:t>
      </w:r>
      <w:r w:rsidR="00425B5D" w:rsidRPr="00425B5D">
        <w:rPr>
          <w:rFonts w:ascii="Times New Roman" w:hAnsi="Times New Roman" w:cs="Times New Roman"/>
          <w:sz w:val="26"/>
          <w:szCs w:val="26"/>
        </w:rPr>
        <w:t>Baltic Marine Environment Protection Commission – Helsinki Commission)</w:t>
      </w:r>
      <w:r w:rsidR="00425B5D" w:rsidRPr="00425B5D">
        <w:rPr>
          <w:rFonts w:ascii="Times New Roman" w:eastAsia="Times New Roman" w:hAnsi="Times New Roman" w:cs="Times New Roman"/>
          <w:sz w:val="26"/>
          <w:szCs w:val="26"/>
          <w:lang w:eastAsia="fr-FR"/>
        </w:rPr>
        <w:t xml:space="preserve"> </w:t>
      </w:r>
      <w:r w:rsidRPr="00425B5D">
        <w:rPr>
          <w:rFonts w:ascii="Times New Roman" w:hAnsi="Times New Roman" w:cs="Times New Roman"/>
          <w:sz w:val="26"/>
          <w:szCs w:val="26"/>
          <w:lang w:val="en-GB" w:eastAsia="fr-FR"/>
        </w:rPr>
        <w:t>Biovolume file 2018</w:t>
      </w:r>
      <w:r w:rsidR="00425B5D" w:rsidRPr="00425B5D">
        <w:rPr>
          <w:rFonts w:ascii="Times New Roman" w:hAnsi="Times New Roman" w:cs="Times New Roman"/>
          <w:sz w:val="26"/>
          <w:szCs w:val="26"/>
          <w:lang w:val="en-GB" w:eastAsia="fr-FR"/>
        </w:rPr>
        <w:t>. I</w:t>
      </w:r>
      <w:r w:rsidRPr="00425B5D">
        <w:rPr>
          <w:rFonts w:ascii="Times New Roman" w:hAnsi="Times New Roman" w:cs="Times New Roman"/>
          <w:sz w:val="26"/>
          <w:szCs w:val="26"/>
          <w:lang w:val="en-GB" w:eastAsia="fr-FR"/>
        </w:rPr>
        <w:t xml:space="preserve">n this regard HELCOM recommendations were also consulted trough the webpage </w:t>
      </w:r>
      <w:hyperlink r:id="rId7" w:history="1">
        <w:r w:rsidRPr="00A87B74">
          <w:rPr>
            <w:rStyle w:val="Hyperlink"/>
            <w:rFonts w:ascii="Times New Roman" w:eastAsia="Times New Roman" w:hAnsi="Times New Roman" w:cs="Times New Roman"/>
            <w:color w:val="auto"/>
            <w:sz w:val="26"/>
            <w:szCs w:val="26"/>
            <w:u w:val="none"/>
            <w:lang w:val="en-GB" w:eastAsia="fr-FR"/>
          </w:rPr>
          <w:t>www.nordicmicroalgae.com</w:t>
        </w:r>
      </w:hyperlink>
      <w:r w:rsidRPr="00A87B74">
        <w:rPr>
          <w:rFonts w:ascii="Times New Roman" w:hAnsi="Times New Roman" w:cs="Times New Roman"/>
          <w:sz w:val="26"/>
          <w:szCs w:val="26"/>
          <w:lang w:val="en-GB" w:eastAsia="fr-FR"/>
        </w:rPr>
        <w:t>.</w:t>
      </w:r>
    </w:p>
    <w:p w14:paraId="49F8525E" w14:textId="77777777" w:rsidR="003E214A" w:rsidRPr="00425B5D" w:rsidRDefault="003E214A" w:rsidP="003E214A">
      <w:pPr>
        <w:jc w:val="both"/>
        <w:rPr>
          <w:sz w:val="26"/>
          <w:szCs w:val="26"/>
          <w:lang w:val="en-GB" w:eastAsia="fr-FR"/>
        </w:rPr>
      </w:pPr>
    </w:p>
    <w:p w14:paraId="567CC0A8" w14:textId="1365B74B" w:rsidR="003E214A" w:rsidRPr="00425B5D" w:rsidRDefault="003E214A" w:rsidP="003E214A">
      <w:pPr>
        <w:jc w:val="both"/>
        <w:rPr>
          <w:rFonts w:ascii="Times New Roman" w:hAnsi="Times New Roman" w:cs="Times New Roman"/>
          <w:sz w:val="26"/>
          <w:szCs w:val="26"/>
        </w:rPr>
      </w:pPr>
      <w:r w:rsidRPr="00425B5D">
        <w:rPr>
          <w:sz w:val="26"/>
          <w:szCs w:val="26"/>
          <w:lang w:val="en-GB" w:eastAsia="fr-FR"/>
        </w:rPr>
        <w:lastRenderedPageBreak/>
        <w:t xml:space="preserve">Cell dimensions for each taxonomic group (e.g. diameter, length, width, height) were </w:t>
      </w:r>
      <w:r w:rsidRPr="00425B5D">
        <w:rPr>
          <w:sz w:val="26"/>
          <w:szCs w:val="26"/>
        </w:rPr>
        <w:t xml:space="preserve">manually measured using the software Fiji - ImageJ </w:t>
      </w:r>
      <w:r w:rsidR="004039CC">
        <w:rPr>
          <w:sz w:val="26"/>
          <w:szCs w:val="26"/>
        </w:rPr>
        <w:fldChar w:fldCharType="begin"/>
      </w:r>
      <w:r w:rsidR="004039CC">
        <w:rPr>
          <w:sz w:val="26"/>
          <w:szCs w:val="26"/>
        </w:rPr>
        <w:instrText xml:space="preserve"> ADDIN ZOTERO_ITEM CSL_CITATION {"citationID":"UAaoQ0Pd","properties":{"formattedCitation":"(Schindelin et al. 2012)","plainCitation":"(Schindelin et al. 2012)","noteIndex":0},"citationItems":[{"id":15,"uris":["http://zotero.org/users/local/5X5W2PGc/items/WUNDV3VA"],"uri":["http://zotero.org/users/local/5X5W2PGc/items/WUNDV3VA"],"itemData":{"id":15,"type":"article-journal","abstract":"Fiji is a distribution of the popular Open Source software ImageJ focused on biological image analysis. Fiji uses modern software engineering practices to combine powerful software libraries with a broad range of scripting languages to enable rapid prototyping of image processing algorithms. Fiji facilitates the transformation of novel algorithms into ImageJ plugins that can be shared with end users through an integrated update system. We propose Fiji as a platform for productive collaboration between computer science and biology research communities.","container-title":"Nature Methods","DOI":"10.1038/nmeth.2019","ISSN":"1548-7091, 1548-7105","issue":"7","journalAbbreviation":"Nat Methods","language":"en","page":"676-682","source":"DOI.org (Crossref)","title":"Fiji: an open-source platform for biological-image analysis","title-short":"Fiji","volume":"9","author":[{"family":"Schindelin","given":"Johannes"},{"family":"Arganda-Carreras","given":"Ignacio"},{"family":"Frise","given":"Erwin"},{"family":"Kaynig","given":"Verena"},{"family":"Longair","given":"Mark"},{"family":"Pietzsch","given":"Tobias"},{"family":"Preibisch","given":"Stephan"},{"family":"Rueden","given":"Curtis"},{"family":"Saalfeld","given":"Stephan"},{"family":"Schmid","given":"Benjamin"},{"family":"Tinevez","given":"Jean-Yves"},{"family":"White","given":"Daniel James"},{"family":"Hartenstein","given":"Volker"},{"family":"Eliceiri","given":"Kevin"},{"family":"Tomancak","given":"Pavel"},{"family":"Cardona","given":"Albert"}],"issued":{"date-parts":[["2012",7]]}}}],"schema":"https://github.com/citation-style-language/schema/raw/master/csl-citation.json"} </w:instrText>
      </w:r>
      <w:r w:rsidR="004039CC">
        <w:rPr>
          <w:sz w:val="26"/>
          <w:szCs w:val="26"/>
        </w:rPr>
        <w:fldChar w:fldCharType="separate"/>
      </w:r>
      <w:r w:rsidR="004039CC" w:rsidRPr="004039CC">
        <w:rPr>
          <w:rFonts w:ascii="Calibri" w:hAnsi="Calibri" w:cs="Calibri"/>
          <w:sz w:val="26"/>
        </w:rPr>
        <w:t>(Schindelin et al. 2012)</w:t>
      </w:r>
      <w:r w:rsidR="004039CC">
        <w:rPr>
          <w:sz w:val="26"/>
          <w:szCs w:val="26"/>
        </w:rPr>
        <w:fldChar w:fldCharType="end"/>
      </w:r>
      <w:r w:rsidR="004039CC">
        <w:rPr>
          <w:sz w:val="26"/>
          <w:szCs w:val="26"/>
        </w:rPr>
        <w:t xml:space="preserve"> </w:t>
      </w:r>
      <w:r w:rsidRPr="00425B5D">
        <w:rPr>
          <w:sz w:val="26"/>
          <w:szCs w:val="26"/>
        </w:rPr>
        <w:t xml:space="preserve">after setting the pixel -µm relation from stage micrometer pictures. </w:t>
      </w:r>
      <w:r w:rsidRPr="00425B5D">
        <w:rPr>
          <w:sz w:val="26"/>
          <w:szCs w:val="26"/>
          <w:lang w:val="en-GB" w:eastAsia="fr-FR"/>
        </w:rPr>
        <w:t xml:space="preserve">Unless specified, cellular </w:t>
      </w:r>
      <w:r w:rsidRPr="00425B5D">
        <w:rPr>
          <w:rFonts w:ascii="Times New Roman" w:hAnsi="Times New Roman" w:cs="Times New Roman"/>
          <w:sz w:val="26"/>
          <w:szCs w:val="26"/>
          <w:lang w:val="en-GB" w:eastAsia="fr-FR"/>
        </w:rPr>
        <w:t>dimensions for coccolithophores include the coccoliths (</w:t>
      </w:r>
      <w:proofErr w:type="spellStart"/>
      <w:r w:rsidRPr="00425B5D">
        <w:rPr>
          <w:rFonts w:ascii="Times New Roman" w:hAnsi="Times New Roman" w:cs="Times New Roman"/>
          <w:sz w:val="26"/>
          <w:szCs w:val="26"/>
          <w:lang w:val="en-GB" w:eastAsia="fr-FR"/>
        </w:rPr>
        <w:t>coccosphere</w:t>
      </w:r>
      <w:proofErr w:type="spellEnd"/>
      <w:r w:rsidRPr="00425B5D">
        <w:rPr>
          <w:rFonts w:ascii="Times New Roman" w:hAnsi="Times New Roman" w:cs="Times New Roman"/>
          <w:sz w:val="26"/>
          <w:szCs w:val="26"/>
          <w:lang w:val="en-GB" w:eastAsia="fr-FR"/>
        </w:rPr>
        <w:t xml:space="preserve">). For other groups, recorded dimensions are representative of the cell. All measurements used for volume calculations exclude appendices. </w:t>
      </w:r>
    </w:p>
    <w:p w14:paraId="0AF7C513" w14:textId="77777777" w:rsidR="003E214A" w:rsidRPr="00425B5D" w:rsidRDefault="003E214A" w:rsidP="003E214A">
      <w:pPr>
        <w:jc w:val="both"/>
        <w:rPr>
          <w:rFonts w:ascii="Times New Roman" w:eastAsia="Times New Roman" w:hAnsi="Times New Roman" w:cs="Times New Roman"/>
          <w:sz w:val="26"/>
          <w:szCs w:val="26"/>
          <w:lang w:val="en-GB" w:eastAsia="fr-FR"/>
        </w:rPr>
      </w:pPr>
    </w:p>
    <w:p w14:paraId="5E502DC9" w14:textId="7AA3D159" w:rsidR="003E214A" w:rsidRPr="00425B5D" w:rsidRDefault="003E214A" w:rsidP="003E214A">
      <w:pPr>
        <w:jc w:val="both"/>
        <w:rPr>
          <w:rFonts w:ascii="Times New Roman" w:eastAsia="Times New Roman" w:hAnsi="Times New Roman" w:cs="Times New Roman"/>
          <w:sz w:val="26"/>
          <w:szCs w:val="26"/>
          <w:lang w:val="en-GB" w:eastAsia="fr-FR"/>
        </w:rPr>
      </w:pPr>
      <w:r w:rsidRPr="00425B5D">
        <w:rPr>
          <w:rFonts w:ascii="Times New Roman" w:eastAsia="Times New Roman" w:hAnsi="Times New Roman" w:cs="Times New Roman"/>
          <w:sz w:val="26"/>
          <w:szCs w:val="26"/>
          <w:lang w:val="en-GB" w:eastAsia="fr-FR"/>
        </w:rPr>
        <w:t xml:space="preserve">Cytoplasm dimensions have been published for very few coccolithophore species. Observations of </w:t>
      </w:r>
      <w:r w:rsidRPr="00425B5D">
        <w:rPr>
          <w:rFonts w:ascii="Times New Roman" w:hAnsi="Times New Roman" w:cs="Times New Roman"/>
          <w:sz w:val="26"/>
          <w:szCs w:val="26"/>
          <w:lang w:val="en-GB"/>
        </w:rPr>
        <w:t>16 species of coccolithophore show cytoplasm diameter varying from 30 to 90</w:t>
      </w:r>
      <w:r w:rsidRPr="00425B5D">
        <w:rPr>
          <w:rFonts w:ascii="Times New Roman" w:hAnsi="Times New Roman" w:cs="Times New Roman"/>
          <w:sz w:val="26"/>
          <w:szCs w:val="26"/>
        </w:rPr>
        <w:t xml:space="preserve"> </w:t>
      </w:r>
      <w:r w:rsidRPr="00425B5D">
        <w:rPr>
          <w:rFonts w:ascii="Times New Roman" w:hAnsi="Times New Roman" w:cs="Times New Roman"/>
          <w:sz w:val="26"/>
          <w:szCs w:val="26"/>
          <w:lang w:val="en-GB"/>
        </w:rPr>
        <w:t>% of the total</w:t>
      </w:r>
      <w:r w:rsidRPr="00425B5D">
        <w:rPr>
          <w:rFonts w:ascii="Times New Roman" w:eastAsia="Times New Roman" w:hAnsi="Times New Roman" w:cs="Times New Roman"/>
          <w:sz w:val="26"/>
          <w:szCs w:val="26"/>
          <w:lang w:val="en-GB" w:eastAsia="fr-FR"/>
        </w:rPr>
        <w:t xml:space="preserve"> </w:t>
      </w:r>
      <w:proofErr w:type="spellStart"/>
      <w:r w:rsidRPr="00425B5D">
        <w:rPr>
          <w:rFonts w:ascii="Times New Roman" w:eastAsia="Times New Roman" w:hAnsi="Times New Roman" w:cs="Times New Roman"/>
          <w:sz w:val="26"/>
          <w:szCs w:val="26"/>
          <w:lang w:val="en-GB" w:eastAsia="fr-FR"/>
        </w:rPr>
        <w:t>coccosphere</w:t>
      </w:r>
      <w:proofErr w:type="spellEnd"/>
      <w:r w:rsidRPr="00425B5D">
        <w:rPr>
          <w:rFonts w:ascii="Times New Roman" w:eastAsia="Times New Roman" w:hAnsi="Times New Roman" w:cs="Times New Roman"/>
          <w:sz w:val="26"/>
          <w:szCs w:val="26"/>
          <w:lang w:val="en-GB" w:eastAsia="fr-FR"/>
        </w:rPr>
        <w:t xml:space="preserve"> diameter, depending on the species and level of calciﬁcation</w:t>
      </w:r>
      <w:r w:rsidR="004039CC">
        <w:rPr>
          <w:rFonts w:ascii="Times New Roman" w:eastAsia="Times New Roman" w:hAnsi="Times New Roman" w:cs="Times New Roman"/>
          <w:sz w:val="26"/>
          <w:szCs w:val="26"/>
          <w:lang w:val="en-GB" w:eastAsia="fr-FR"/>
        </w:rPr>
        <w:t xml:space="preserve"> </w:t>
      </w:r>
      <w:r w:rsidR="004039CC">
        <w:rPr>
          <w:rFonts w:ascii="Times New Roman" w:eastAsia="Times New Roman" w:hAnsi="Times New Roman" w:cs="Times New Roman"/>
          <w:sz w:val="26"/>
          <w:szCs w:val="26"/>
          <w:lang w:val="en-GB" w:eastAsia="fr-FR"/>
        </w:rPr>
        <w:fldChar w:fldCharType="begin"/>
      </w:r>
      <w:r w:rsidR="004039CC">
        <w:rPr>
          <w:rFonts w:ascii="Times New Roman" w:eastAsia="Times New Roman" w:hAnsi="Times New Roman" w:cs="Times New Roman"/>
          <w:sz w:val="26"/>
          <w:szCs w:val="26"/>
          <w:lang w:val="en-GB" w:eastAsia="fr-FR"/>
        </w:rPr>
        <w:instrText xml:space="preserve"> ADDIN ZOTERO_ITEM CSL_CITATION {"citationID":"kwqScf8S","properties":{"formattedCitation":"(O\\uc0\\u8217{}Brien et al. 2013)","plainCitation":"(O’Brien et al. 2013)","noteIndex":0},"citationItems":[{"id":3,"uris":["http://zotero.org/users/local/5X5W2PGc/items/4C9TQ2D6"],"uri":["http://zotero.org/users/local/5X5W2PGc/items/4C9TQ2D6"],"itemData":{"id":3,"type":"article-journal","abstract":"Coccolithophores are calcifying marine phytoplankton of the class Prymnesiophyceae. They are considered to play an import role in the global carbon cycle through the production and export of organic carbon and calcite. We have compiled observations of global coccolithophore abundance from several existing databases as well as individual contributions of published and unpublished datasets. We make conservative estimates of carbon biomass using standardised conversion methods and provide estimates of uncertainty associated with these values. The quality-controlled database contains 57 321 individual observations at various taxonomic levels. This corresponds to 11 503 observations of total coccolithophore abundance and biomass. The data span a time period of 1929–2008, with observations from all ocean basins and all seasons, and at depths ranging from the surface to 500 m. Highest biomass values are reported in the North Atlantic, with a maximum of 127.2 µg C L−1. Lower values are reported for the Paciﬁc (maximum of 20.0 µg C L−1) and Indian Ocean (up to 45.2 µg C L−1). Maximum biomass values show peaks around 60◦ N and between 40 and 20◦ S, with declines towards both the equator and the poles. Biomass estimates between the equator and 40◦ N are below 5 µg C L−1. Biomass values show a clear seasonal cycle in the Northern Hemisphere, reaching a maximum in the summer months (June–July). In the Southern Hemisphere the seasonal cycle is less evident, possibly due to a greater proportion of low-latitude data. The original and gridded datasets can be downloaded from Pangaea (doi:10.1594/PANGAEA.785092).","language":"en","page":"19","source":"Zotero","title":"Global marine plankton functional type biomass Geography distributions: coccolithophores","author":[{"family":"O’Brien","given":"C J"},{"family":"Peloquin","given":"J A"},{"family":"Vogt","given":"M"},{"family":"Heinle","given":"M"},{"family":"Gruber","given":"N"},{"family":"Ajani","given":"P"},{"family":"Andruleit","given":"H"},{"family":"Arıstegui","given":"J"},{"family":"Beaufort","given":"L"},{"family":"Estrada","given":"M"},{"family":"Karentz","given":"D"},{"family":"Widdicombe","given":"C"}],"issued":{"date-parts":[["2013"]]}}}],"schema":"https://github.com/citation-style-language/schema/raw/master/csl-citation.json"} </w:instrText>
      </w:r>
      <w:r w:rsidR="004039CC">
        <w:rPr>
          <w:rFonts w:ascii="Times New Roman" w:eastAsia="Times New Roman" w:hAnsi="Times New Roman" w:cs="Times New Roman"/>
          <w:sz w:val="26"/>
          <w:szCs w:val="26"/>
          <w:lang w:val="en-GB" w:eastAsia="fr-FR"/>
        </w:rPr>
        <w:fldChar w:fldCharType="separate"/>
      </w:r>
      <w:r w:rsidR="004039CC" w:rsidRPr="004039CC">
        <w:rPr>
          <w:rFonts w:ascii="Times New Roman" w:hAnsi="Times New Roman" w:cs="Times New Roman"/>
          <w:sz w:val="26"/>
        </w:rPr>
        <w:t>(O’Brien et al. 2013)</w:t>
      </w:r>
      <w:r w:rsidR="004039CC">
        <w:rPr>
          <w:rFonts w:ascii="Times New Roman" w:eastAsia="Times New Roman" w:hAnsi="Times New Roman" w:cs="Times New Roman"/>
          <w:sz w:val="26"/>
          <w:szCs w:val="26"/>
          <w:lang w:val="en-GB" w:eastAsia="fr-FR"/>
        </w:rPr>
        <w:fldChar w:fldCharType="end"/>
      </w:r>
      <w:r w:rsidRPr="00425B5D">
        <w:rPr>
          <w:rFonts w:ascii="Times New Roman" w:eastAsia="Times New Roman" w:hAnsi="Times New Roman" w:cs="Times New Roman"/>
          <w:sz w:val="26"/>
          <w:szCs w:val="26"/>
          <w:lang w:val="en-GB" w:eastAsia="fr-FR"/>
        </w:rPr>
        <w:t xml:space="preserve">. The authors choose the midpoint and estimate coccolithophore biovolumes by assuming cytoplasm dimensions to be 60 % of the mean </w:t>
      </w:r>
      <w:proofErr w:type="spellStart"/>
      <w:r w:rsidRPr="00425B5D">
        <w:rPr>
          <w:rFonts w:ascii="Times New Roman" w:eastAsia="Times New Roman" w:hAnsi="Times New Roman" w:cs="Times New Roman"/>
          <w:sz w:val="26"/>
          <w:szCs w:val="26"/>
          <w:lang w:val="en-GB" w:eastAsia="fr-FR"/>
        </w:rPr>
        <w:t>coccosphere</w:t>
      </w:r>
      <w:proofErr w:type="spellEnd"/>
      <w:r w:rsidRPr="00425B5D">
        <w:rPr>
          <w:rFonts w:ascii="Times New Roman" w:eastAsia="Times New Roman" w:hAnsi="Times New Roman" w:cs="Times New Roman"/>
          <w:sz w:val="26"/>
          <w:szCs w:val="26"/>
          <w:lang w:val="en-GB" w:eastAsia="fr-FR"/>
        </w:rPr>
        <w:t xml:space="preserve"> dimensions. Here, I used 60 % for all species except for </w:t>
      </w:r>
      <w:proofErr w:type="spellStart"/>
      <w:r w:rsidRPr="00425B5D">
        <w:rPr>
          <w:rFonts w:ascii="Times New Roman" w:eastAsia="Times New Roman" w:hAnsi="Times New Roman" w:cs="Times New Roman"/>
          <w:i/>
          <w:sz w:val="26"/>
          <w:szCs w:val="26"/>
          <w:lang w:val="en-GB" w:eastAsia="fr-FR"/>
        </w:rPr>
        <w:t>Emiliania</w:t>
      </w:r>
      <w:proofErr w:type="spellEnd"/>
      <w:r w:rsidRPr="00425B5D">
        <w:rPr>
          <w:rFonts w:ascii="Times New Roman" w:eastAsia="Times New Roman" w:hAnsi="Times New Roman" w:cs="Times New Roman"/>
          <w:i/>
          <w:lang w:val="en-GB" w:eastAsia="fr-FR"/>
        </w:rPr>
        <w:t xml:space="preserve"> </w:t>
      </w:r>
      <w:proofErr w:type="spellStart"/>
      <w:r w:rsidRPr="00425B5D">
        <w:rPr>
          <w:rFonts w:ascii="Times New Roman" w:eastAsia="Times New Roman" w:hAnsi="Times New Roman" w:cs="Times New Roman"/>
          <w:i/>
          <w:lang w:val="en-GB" w:eastAsia="fr-FR"/>
        </w:rPr>
        <w:t>huxleyi</w:t>
      </w:r>
      <w:proofErr w:type="spellEnd"/>
      <w:r w:rsidRPr="00425B5D">
        <w:rPr>
          <w:rFonts w:ascii="Times New Roman" w:eastAsia="Times New Roman" w:hAnsi="Times New Roman" w:cs="Times New Roman"/>
          <w:lang w:val="en-GB" w:eastAsia="fr-FR"/>
        </w:rPr>
        <w:t xml:space="preserve">, often the dominant species in the analysed samples. For this species it </w:t>
      </w:r>
      <w:r w:rsidRPr="00425B5D">
        <w:rPr>
          <w:rFonts w:ascii="Times New Roman" w:eastAsia="Times New Roman" w:hAnsi="Times New Roman" w:cs="Times New Roman"/>
          <w:sz w:val="26"/>
          <w:szCs w:val="26"/>
          <w:lang w:val="en-GB" w:eastAsia="fr-FR"/>
        </w:rPr>
        <w:t xml:space="preserve">is sometimes possible to </w:t>
      </w:r>
      <w:r w:rsidR="00425B5D" w:rsidRPr="00425B5D">
        <w:rPr>
          <w:rFonts w:ascii="Times New Roman" w:eastAsia="Times New Roman" w:hAnsi="Times New Roman" w:cs="Times New Roman"/>
          <w:sz w:val="26"/>
          <w:szCs w:val="26"/>
          <w:lang w:val="en-GB" w:eastAsia="fr-FR"/>
        </w:rPr>
        <w:t>distinguish</w:t>
      </w:r>
      <w:r w:rsidRPr="00425B5D">
        <w:rPr>
          <w:rFonts w:ascii="Times New Roman" w:eastAsia="Times New Roman" w:hAnsi="Times New Roman" w:cs="Times New Roman"/>
          <w:sz w:val="26"/>
          <w:szCs w:val="26"/>
          <w:lang w:val="en-GB" w:eastAsia="fr-FR"/>
        </w:rPr>
        <w:t xml:space="preserve"> </w:t>
      </w:r>
      <w:proofErr w:type="spellStart"/>
      <w:r w:rsidRPr="00425B5D">
        <w:rPr>
          <w:rFonts w:ascii="Times New Roman" w:eastAsia="Times New Roman" w:hAnsi="Times New Roman" w:cs="Times New Roman"/>
          <w:sz w:val="26"/>
          <w:szCs w:val="26"/>
          <w:lang w:val="en-GB" w:eastAsia="fr-FR"/>
        </w:rPr>
        <w:t>coccosphere</w:t>
      </w:r>
      <w:proofErr w:type="spellEnd"/>
      <w:r w:rsidRPr="00425B5D">
        <w:rPr>
          <w:rFonts w:ascii="Times New Roman" w:eastAsia="Times New Roman" w:hAnsi="Times New Roman" w:cs="Times New Roman"/>
          <w:sz w:val="26"/>
          <w:szCs w:val="26"/>
          <w:lang w:val="en-GB" w:eastAsia="fr-FR"/>
        </w:rPr>
        <w:t xml:space="preserve"> from internal content (i.e. cytoplasm)</w:t>
      </w:r>
      <w:r w:rsidR="005A626E">
        <w:rPr>
          <w:rFonts w:ascii="Times New Roman" w:eastAsia="Times New Roman" w:hAnsi="Times New Roman" w:cs="Times New Roman"/>
          <w:sz w:val="26"/>
          <w:szCs w:val="26"/>
          <w:lang w:val="en-GB" w:eastAsia="fr-FR"/>
        </w:rPr>
        <w:t xml:space="preserve"> using</w:t>
      </w:r>
      <w:r w:rsidRPr="00425B5D">
        <w:rPr>
          <w:rFonts w:ascii="Times New Roman" w:eastAsia="Times New Roman" w:hAnsi="Times New Roman" w:cs="Times New Roman"/>
          <w:sz w:val="26"/>
          <w:szCs w:val="26"/>
          <w:lang w:val="en-GB" w:eastAsia="fr-FR"/>
        </w:rPr>
        <w:t xml:space="preserve"> images taken using polarized or phase contrast optics. I measured </w:t>
      </w:r>
      <w:proofErr w:type="spellStart"/>
      <w:r w:rsidRPr="00425B5D">
        <w:rPr>
          <w:rFonts w:ascii="Times New Roman" w:eastAsia="Times New Roman" w:hAnsi="Times New Roman" w:cs="Times New Roman"/>
          <w:sz w:val="26"/>
          <w:szCs w:val="26"/>
          <w:lang w:val="en-GB" w:eastAsia="fr-FR"/>
        </w:rPr>
        <w:t>coccosphere</w:t>
      </w:r>
      <w:proofErr w:type="spellEnd"/>
      <w:r w:rsidRPr="00425B5D">
        <w:rPr>
          <w:rFonts w:ascii="Times New Roman" w:eastAsia="Times New Roman" w:hAnsi="Times New Roman" w:cs="Times New Roman"/>
          <w:sz w:val="26"/>
          <w:szCs w:val="26"/>
          <w:lang w:val="en-GB" w:eastAsia="fr-FR"/>
        </w:rPr>
        <w:t xml:space="preserve"> and cell dimeters from 90 individuals and estimated a cellular volume that is between 17 and 62 % of the total </w:t>
      </w:r>
      <w:proofErr w:type="spellStart"/>
      <w:r w:rsidRPr="00425B5D">
        <w:rPr>
          <w:rFonts w:ascii="Times New Roman" w:eastAsia="Times New Roman" w:hAnsi="Times New Roman" w:cs="Times New Roman"/>
          <w:sz w:val="26"/>
          <w:szCs w:val="26"/>
          <w:lang w:val="en-GB" w:eastAsia="fr-FR"/>
        </w:rPr>
        <w:t>coccosphere</w:t>
      </w:r>
      <w:proofErr w:type="spellEnd"/>
      <w:r w:rsidRPr="00425B5D">
        <w:rPr>
          <w:rFonts w:ascii="Times New Roman" w:eastAsia="Times New Roman" w:hAnsi="Times New Roman" w:cs="Times New Roman"/>
          <w:sz w:val="26"/>
          <w:szCs w:val="26"/>
          <w:lang w:val="en-GB" w:eastAsia="fr-FR"/>
        </w:rPr>
        <w:t xml:space="preserve"> volume, with an average of 31 %. (Cytoplasm data in </w:t>
      </w:r>
      <w:r w:rsidR="005A626E" w:rsidRPr="00425B5D">
        <w:rPr>
          <w:rFonts w:ascii="Times New Roman" w:eastAsia="Times New Roman" w:hAnsi="Times New Roman" w:cs="Times New Roman"/>
          <w:sz w:val="26"/>
          <w:szCs w:val="26"/>
          <w:lang w:val="en-GB" w:eastAsia="fr-FR"/>
        </w:rPr>
        <w:t>excel</w:t>
      </w:r>
      <w:r w:rsidRPr="00425B5D">
        <w:rPr>
          <w:rFonts w:ascii="Times New Roman" w:eastAsia="Times New Roman" w:hAnsi="Times New Roman" w:cs="Times New Roman"/>
          <w:sz w:val="26"/>
          <w:szCs w:val="26"/>
          <w:lang w:val="en-GB" w:eastAsia="fr-FR"/>
        </w:rPr>
        <w:t xml:space="preserve"> sheet “Volume”, columns “d2” and “</w:t>
      </w:r>
      <w:proofErr w:type="spellStart"/>
      <w:r w:rsidRPr="00425B5D">
        <w:rPr>
          <w:rFonts w:ascii="Times New Roman" w:eastAsia="Times New Roman" w:hAnsi="Times New Roman" w:cs="Times New Roman"/>
          <w:sz w:val="26"/>
          <w:szCs w:val="26"/>
          <w:lang w:val="en-GB" w:eastAsia="fr-FR"/>
        </w:rPr>
        <w:t>Ehux</w:t>
      </w:r>
      <w:proofErr w:type="spellEnd"/>
      <w:r w:rsidRPr="00425B5D">
        <w:rPr>
          <w:rFonts w:ascii="Times New Roman" w:eastAsia="Times New Roman" w:hAnsi="Times New Roman" w:cs="Times New Roman"/>
          <w:sz w:val="26"/>
          <w:szCs w:val="26"/>
          <w:lang w:val="en-GB" w:eastAsia="fr-FR"/>
        </w:rPr>
        <w:t xml:space="preserve"> </w:t>
      </w:r>
      <w:proofErr w:type="spellStart"/>
      <w:r w:rsidRPr="00425B5D">
        <w:rPr>
          <w:rFonts w:ascii="Times New Roman" w:eastAsia="Times New Roman" w:hAnsi="Times New Roman" w:cs="Times New Roman"/>
          <w:sz w:val="26"/>
          <w:szCs w:val="26"/>
          <w:lang w:val="en-GB" w:eastAsia="fr-FR"/>
        </w:rPr>
        <w:t>cell_Calculated</w:t>
      </w:r>
      <w:proofErr w:type="spellEnd"/>
      <w:r w:rsidRPr="00425B5D">
        <w:rPr>
          <w:rFonts w:ascii="Times New Roman" w:eastAsia="Times New Roman" w:hAnsi="Times New Roman" w:cs="Times New Roman"/>
          <w:sz w:val="26"/>
          <w:szCs w:val="26"/>
          <w:lang w:val="en-GB" w:eastAsia="fr-FR"/>
        </w:rPr>
        <w:t xml:space="preserve"> volume µm3”. Therefore, for </w:t>
      </w:r>
      <w:r w:rsidRPr="00425B5D">
        <w:rPr>
          <w:rFonts w:ascii="Times New Roman" w:eastAsia="Times New Roman" w:hAnsi="Times New Roman" w:cs="Times New Roman"/>
          <w:i/>
          <w:sz w:val="26"/>
          <w:szCs w:val="26"/>
          <w:lang w:val="en-GB" w:eastAsia="fr-FR"/>
        </w:rPr>
        <w:t xml:space="preserve">E. </w:t>
      </w:r>
      <w:proofErr w:type="spellStart"/>
      <w:r w:rsidRPr="00425B5D">
        <w:rPr>
          <w:rFonts w:ascii="Times New Roman" w:eastAsia="Times New Roman" w:hAnsi="Times New Roman" w:cs="Times New Roman"/>
          <w:i/>
          <w:sz w:val="26"/>
          <w:szCs w:val="26"/>
          <w:lang w:val="en-GB" w:eastAsia="fr-FR"/>
        </w:rPr>
        <w:t>huxleyi</w:t>
      </w:r>
      <w:proofErr w:type="spellEnd"/>
      <w:r w:rsidRPr="00425B5D">
        <w:rPr>
          <w:rFonts w:ascii="Times New Roman" w:eastAsia="Times New Roman" w:hAnsi="Times New Roman" w:cs="Times New Roman"/>
          <w:sz w:val="26"/>
          <w:szCs w:val="26"/>
          <w:lang w:val="en-GB" w:eastAsia="fr-FR"/>
        </w:rPr>
        <w:t xml:space="preserve"> this percentage was used.</w:t>
      </w:r>
    </w:p>
    <w:p w14:paraId="13EA1F7C" w14:textId="17C6883B" w:rsidR="003E214A" w:rsidRPr="00425B5D" w:rsidRDefault="003E214A" w:rsidP="003E214A">
      <w:pPr>
        <w:jc w:val="both"/>
        <w:rPr>
          <w:rFonts w:ascii="Times New Roman" w:eastAsia="Times New Roman" w:hAnsi="Times New Roman" w:cs="Times New Roman"/>
          <w:sz w:val="26"/>
          <w:szCs w:val="26"/>
          <w:lang w:val="en-GB" w:eastAsia="fr-FR"/>
        </w:rPr>
      </w:pPr>
    </w:p>
    <w:p w14:paraId="0BAA1CDD" w14:textId="79EF6AC2" w:rsidR="003E214A" w:rsidRPr="00425B5D" w:rsidRDefault="003E214A" w:rsidP="005A626E">
      <w:pPr>
        <w:jc w:val="both"/>
        <w:rPr>
          <w:rFonts w:ascii="Times New Roman" w:eastAsia="Times New Roman" w:hAnsi="Times New Roman" w:cs="Times New Roman"/>
          <w:sz w:val="26"/>
          <w:szCs w:val="26"/>
          <w:lang w:val="en-GB" w:eastAsia="fr-FR"/>
        </w:rPr>
      </w:pPr>
      <w:r w:rsidRPr="00425B5D">
        <w:rPr>
          <w:rFonts w:ascii="Times New Roman" w:eastAsia="Times New Roman" w:hAnsi="Times New Roman" w:cs="Times New Roman"/>
          <w:sz w:val="26"/>
          <w:szCs w:val="26"/>
          <w:lang w:val="en-GB" w:eastAsia="fr-FR"/>
        </w:rPr>
        <w:t>For nanoplanktonic diatoms, in most cases on</w:t>
      </w:r>
      <w:r w:rsidR="005A626E">
        <w:rPr>
          <w:rFonts w:ascii="Times New Roman" w:eastAsia="Times New Roman" w:hAnsi="Times New Roman" w:cs="Times New Roman"/>
          <w:sz w:val="26"/>
          <w:szCs w:val="26"/>
          <w:lang w:val="en-GB" w:eastAsia="fr-FR"/>
        </w:rPr>
        <w:t>e</w:t>
      </w:r>
      <w:r w:rsidRPr="00425B5D">
        <w:rPr>
          <w:rFonts w:ascii="Times New Roman" w:eastAsia="Times New Roman" w:hAnsi="Times New Roman" w:cs="Times New Roman"/>
          <w:sz w:val="26"/>
          <w:szCs w:val="26"/>
          <w:lang w:val="en-GB" w:eastAsia="fr-FR"/>
        </w:rPr>
        <w:t xml:space="preserve"> of the cellular dimensions was not visible in the recorded images. The hidden dimension was then estimated from other measurements of the same genus in these set of samples or from available data for the genus/species in the HELCOM Biovolume file. For the class “Unidentified diatom (</w:t>
      </w:r>
      <w:proofErr w:type="spellStart"/>
      <w:r w:rsidRPr="00425B5D">
        <w:rPr>
          <w:rFonts w:ascii="Times New Roman" w:eastAsia="Times New Roman" w:hAnsi="Times New Roman" w:cs="Times New Roman"/>
          <w:sz w:val="26"/>
          <w:szCs w:val="26"/>
          <w:lang w:val="en-GB" w:eastAsia="fr-FR"/>
        </w:rPr>
        <w:t>pennales</w:t>
      </w:r>
      <w:proofErr w:type="spellEnd"/>
      <w:r w:rsidRPr="00425B5D">
        <w:rPr>
          <w:rFonts w:ascii="Times New Roman" w:eastAsia="Times New Roman" w:hAnsi="Times New Roman" w:cs="Times New Roman"/>
          <w:sz w:val="26"/>
          <w:szCs w:val="26"/>
          <w:lang w:val="en-GB" w:eastAsia="fr-FR"/>
        </w:rPr>
        <w:t>)”, h was assumed to be 90 percent of w, as calculated from 82 measurements of pennate diatoms with parallelepiped shape available in the HELCOM Biovolume file.</w:t>
      </w:r>
      <w:r w:rsidR="005A626E">
        <w:rPr>
          <w:rFonts w:ascii="Times New Roman" w:eastAsia="Times New Roman" w:hAnsi="Times New Roman" w:cs="Times New Roman"/>
          <w:sz w:val="26"/>
          <w:szCs w:val="26"/>
          <w:lang w:val="en-GB" w:eastAsia="fr-FR"/>
        </w:rPr>
        <w:t xml:space="preserve"> </w:t>
      </w:r>
      <w:r w:rsidRPr="00425B5D">
        <w:rPr>
          <w:rFonts w:ascii="Times New Roman" w:eastAsia="Times New Roman" w:hAnsi="Times New Roman" w:cs="Times New Roman"/>
          <w:sz w:val="26"/>
          <w:szCs w:val="26"/>
          <w:lang w:val="en-GB" w:eastAsia="fr-FR"/>
        </w:rPr>
        <w:t xml:space="preserve">For the class “Unidentified diatom (centric)” h assumed to be 40 percent of d1 (as calculated from the HELCOM Biovolume file 2018 for </w:t>
      </w:r>
      <w:proofErr w:type="spellStart"/>
      <w:r w:rsidRPr="00425B5D">
        <w:rPr>
          <w:rFonts w:ascii="Times New Roman" w:eastAsia="Times New Roman" w:hAnsi="Times New Roman" w:cs="Times New Roman"/>
          <w:sz w:val="26"/>
          <w:szCs w:val="26"/>
          <w:lang w:val="en-GB" w:eastAsia="fr-FR"/>
        </w:rPr>
        <w:t>Thalassiosira</w:t>
      </w:r>
      <w:proofErr w:type="spellEnd"/>
      <w:r w:rsidRPr="00425B5D">
        <w:rPr>
          <w:rFonts w:ascii="Times New Roman" w:eastAsia="Times New Roman" w:hAnsi="Times New Roman" w:cs="Times New Roman"/>
          <w:sz w:val="26"/>
          <w:szCs w:val="26"/>
          <w:lang w:val="en-GB" w:eastAsia="fr-FR"/>
        </w:rPr>
        <w:t xml:space="preserve"> species and small unidentified centric diatoms, n=84).</w:t>
      </w:r>
      <w:r w:rsidR="005A626E" w:rsidRPr="005A626E">
        <w:rPr>
          <w:rFonts w:ascii="Times New Roman" w:eastAsia="Times New Roman" w:hAnsi="Times New Roman" w:cs="Times New Roman"/>
          <w:sz w:val="26"/>
          <w:szCs w:val="26"/>
          <w:lang w:val="en-GB" w:eastAsia="fr-FR"/>
        </w:rPr>
        <w:t xml:space="preserve"> </w:t>
      </w:r>
      <w:r w:rsidR="005A626E">
        <w:rPr>
          <w:rFonts w:ascii="Times New Roman" w:eastAsia="Times New Roman" w:hAnsi="Times New Roman" w:cs="Times New Roman"/>
          <w:sz w:val="26"/>
          <w:szCs w:val="26"/>
          <w:lang w:val="en-GB" w:eastAsia="fr-FR"/>
        </w:rPr>
        <w:t>Details are reported in the “Volume” excel sheet, column “Notes”.</w:t>
      </w:r>
    </w:p>
    <w:p w14:paraId="3664EB0B" w14:textId="77777777" w:rsidR="003E214A" w:rsidRPr="00425B5D" w:rsidRDefault="003E214A" w:rsidP="005A626E">
      <w:pPr>
        <w:jc w:val="both"/>
        <w:rPr>
          <w:rFonts w:ascii="Times New Roman" w:eastAsia="Times New Roman" w:hAnsi="Times New Roman" w:cs="Times New Roman"/>
          <w:sz w:val="26"/>
          <w:szCs w:val="26"/>
          <w:lang w:val="en-GB" w:eastAsia="fr-FR"/>
        </w:rPr>
      </w:pPr>
    </w:p>
    <w:p w14:paraId="239D71A1" w14:textId="6A1CFF02" w:rsidR="00F46002" w:rsidRPr="00F46002" w:rsidRDefault="003E214A" w:rsidP="00F46002">
      <w:pPr>
        <w:jc w:val="both"/>
        <w:rPr>
          <w:rFonts w:ascii="Times New Roman" w:hAnsi="Times New Roman" w:cs="Times New Roman"/>
          <w:sz w:val="26"/>
          <w:szCs w:val="26"/>
          <w:lang w:val="en-GB" w:eastAsia="fr-FR"/>
        </w:rPr>
      </w:pPr>
      <w:r w:rsidRPr="00425B5D">
        <w:rPr>
          <w:rFonts w:ascii="Times New Roman" w:eastAsia="Times New Roman" w:hAnsi="Times New Roman" w:cs="Times New Roman"/>
          <w:sz w:val="26"/>
          <w:szCs w:val="26"/>
          <w:lang w:val="en-GB" w:eastAsia="fr-FR"/>
        </w:rPr>
        <w:t>Cellular volume estimates were then further converted to carbon per cell (</w:t>
      </w:r>
      <w:proofErr w:type="spellStart"/>
      <w:r w:rsidRPr="00425B5D">
        <w:rPr>
          <w:rFonts w:ascii="Times New Roman" w:eastAsia="Times New Roman" w:hAnsi="Times New Roman" w:cs="Times New Roman"/>
          <w:sz w:val="26"/>
          <w:szCs w:val="26"/>
          <w:lang w:val="en-GB" w:eastAsia="fr-FR"/>
        </w:rPr>
        <w:t>pg</w:t>
      </w:r>
      <w:proofErr w:type="spellEnd"/>
      <w:r w:rsidRPr="00425B5D">
        <w:rPr>
          <w:rFonts w:ascii="Times New Roman" w:eastAsia="Times New Roman" w:hAnsi="Times New Roman" w:cs="Times New Roman"/>
          <w:sz w:val="26"/>
          <w:szCs w:val="26"/>
          <w:lang w:val="en-GB" w:eastAsia="fr-FR"/>
        </w:rPr>
        <w:t xml:space="preserve">/c per cell) </w:t>
      </w:r>
      <w:r w:rsidR="0027585A" w:rsidRPr="00425B5D">
        <w:rPr>
          <w:rFonts w:ascii="Times New Roman" w:hAnsi="Times New Roman" w:cs="Times New Roman"/>
          <w:bCs/>
          <w:sz w:val="26"/>
          <w:szCs w:val="26"/>
        </w:rPr>
        <w:t xml:space="preserve">, according to conclusions of </w:t>
      </w:r>
      <w:r w:rsidR="004039CC">
        <w:rPr>
          <w:rFonts w:ascii="Times New Roman" w:hAnsi="Times New Roman" w:cs="Times New Roman"/>
          <w:bCs/>
          <w:sz w:val="26"/>
          <w:szCs w:val="26"/>
        </w:rPr>
        <w:fldChar w:fldCharType="begin"/>
      </w:r>
      <w:r w:rsidR="004039CC">
        <w:rPr>
          <w:rFonts w:ascii="Times New Roman" w:hAnsi="Times New Roman" w:cs="Times New Roman"/>
          <w:bCs/>
          <w:sz w:val="26"/>
          <w:szCs w:val="26"/>
        </w:rPr>
        <w:instrText xml:space="preserve"> ADDIN ZOTERO_ITEM CSL_CITATION {"citationID":"AB0rTEM4","properties":{"formattedCitation":"(Menden-Deuer et Lessard 2000)","plainCitation":"(Menden-Deuer et Lessard 2000)","noteIndex":0},"citationItems":[{"id":9,"uris":["http://zotero.org/users/local/5X5W2PGc/items/ISJVCAUJ"],"uri":["http://zotero.org/users/local/5X5W2PGc/items/ISJVCAUJ"],"itemData":{"id":9,"type":"article-journal","abstract":"Cellular carbon and nitrogen content and cell volume of nutritionally and morphologically diverse dinoﬂagellate species were measured to determine carbon to volume (C : vol) and nitrogen to volume (N : vol) relationships. Cellular C and N content ranged from 48 to 3.0 ϫ 104 pgC cellϪ1 and 11 to 2,656 pgN cellϪ1 for cells ranging in volume from 180 to 2.8 ϫ 105 ␮m3. C and N density in dinoﬂagellates decreased signiﬁcantly with increasing cell volume. C : N ratios ranged from 3.44 to 6.45. C : vol and N : vol in dinoﬂagellates are signiﬁcantly related as expressed by the equations pgC cellϪ1 ϭ 0.760 ϫ volume0.819 and pgN cellϪ1 ϭ 0.118 ϫ volume0.849. Previously published data were combined to compare C : vol relationships in different phylogenetic protist groups, including chlorophytes, chrysophytes, prasinophytes, and prymnesiophytes. Our analysis indicated differences between the C : vol relationships available for ciliates. A new C : vol relationship for diatoms was established (pgC cellϪ1 ϭ 0.288 ϫ volume0.811). Dinoﬂagellates are signiﬁcantly more C dense than diatoms. Except for diatoms, we found few signiﬁcant differences between C : vol relationships of different phylogenetic groups. Consequently, one C : vol relationship for taxonomically diverse protist plankton excluding diatoms was determined (pgC cellϪ1 ϭ 0.216 ϫ volume0.939). In the combined data set, carbon density was not constant but decreased signiﬁcantly with increasing cell volume. Using constant C : vol conversion factors for plankton over large size ranges will cause systematic errors in biomass estimates.","container-title":"Limnology and Oceanography","DOI":"10.4319/lo.2000.45.3.0569","ISSN":"00243590","issue":"3","journalAbbreviation":"Limnol. Oceanogr.","language":"en","page":"569-579","source":"DOI.org (Crossref)","title":"Carbon to volume relationships for dinoflagellates, diatoms, and other protist plankton","volume":"45","author":[{"family":"Menden-Deuer","given":"Susanne"},{"family":"Lessard","given":"Evelyn J."}],"issued":{"date-parts":[["2000",5]]}}}],"schema":"https://github.com/citation-style-language/schema/raw/master/csl-citation.json"} </w:instrText>
      </w:r>
      <w:r w:rsidR="004039CC">
        <w:rPr>
          <w:rFonts w:ascii="Times New Roman" w:hAnsi="Times New Roman" w:cs="Times New Roman"/>
          <w:bCs/>
          <w:sz w:val="26"/>
          <w:szCs w:val="26"/>
        </w:rPr>
        <w:fldChar w:fldCharType="separate"/>
      </w:r>
      <w:r w:rsidR="004039CC" w:rsidRPr="004039CC">
        <w:rPr>
          <w:rFonts w:ascii="Times New Roman" w:hAnsi="Times New Roman" w:cs="Times New Roman"/>
          <w:sz w:val="26"/>
        </w:rPr>
        <w:t xml:space="preserve">Menden-Deuer et Lessard </w:t>
      </w:r>
      <w:r w:rsidR="004039CC">
        <w:rPr>
          <w:rFonts w:ascii="Times New Roman" w:hAnsi="Times New Roman" w:cs="Times New Roman"/>
          <w:sz w:val="26"/>
        </w:rPr>
        <w:t>(</w:t>
      </w:r>
      <w:r w:rsidR="004039CC" w:rsidRPr="004039CC">
        <w:rPr>
          <w:rFonts w:ascii="Times New Roman" w:hAnsi="Times New Roman" w:cs="Times New Roman"/>
          <w:sz w:val="26"/>
        </w:rPr>
        <w:t>2000)</w:t>
      </w:r>
      <w:r w:rsidR="004039CC">
        <w:rPr>
          <w:rFonts w:ascii="Times New Roman" w:hAnsi="Times New Roman" w:cs="Times New Roman"/>
          <w:bCs/>
          <w:sz w:val="26"/>
          <w:szCs w:val="26"/>
        </w:rPr>
        <w:fldChar w:fldCharType="end"/>
      </w:r>
      <w:r w:rsidR="0027585A" w:rsidRPr="00425B5D">
        <w:rPr>
          <w:rFonts w:ascii="Times New Roman" w:eastAsia="Times New Roman" w:hAnsi="Times New Roman" w:cs="Times New Roman"/>
          <w:sz w:val="26"/>
          <w:szCs w:val="26"/>
          <w:lang w:val="en-GB" w:eastAsia="fr-FR"/>
        </w:rPr>
        <w:t>, who proposed a common protist conversion and an</w:t>
      </w:r>
      <w:r w:rsidR="00425B5D" w:rsidRPr="00425B5D">
        <w:rPr>
          <w:rFonts w:ascii="Times New Roman" w:eastAsia="Times New Roman" w:hAnsi="Times New Roman" w:cs="Times New Roman"/>
          <w:sz w:val="26"/>
          <w:szCs w:val="26"/>
          <w:lang w:val="en-GB" w:eastAsia="fr-FR"/>
        </w:rPr>
        <w:t>o</w:t>
      </w:r>
      <w:r w:rsidR="0027585A" w:rsidRPr="00425B5D">
        <w:rPr>
          <w:rFonts w:ascii="Times New Roman" w:eastAsia="Times New Roman" w:hAnsi="Times New Roman" w:cs="Times New Roman"/>
          <w:sz w:val="26"/>
          <w:szCs w:val="26"/>
          <w:lang w:val="en-GB" w:eastAsia="fr-FR"/>
        </w:rPr>
        <w:t>ther</w:t>
      </w:r>
      <w:r w:rsidR="00425B5D" w:rsidRPr="00425B5D">
        <w:rPr>
          <w:rFonts w:ascii="Times New Roman" w:eastAsia="Times New Roman" w:hAnsi="Times New Roman" w:cs="Times New Roman"/>
          <w:sz w:val="26"/>
          <w:szCs w:val="26"/>
          <w:lang w:val="en-GB" w:eastAsia="fr-FR"/>
        </w:rPr>
        <w:t xml:space="preserve"> </w:t>
      </w:r>
      <w:r w:rsidR="0027585A" w:rsidRPr="00425B5D">
        <w:rPr>
          <w:rFonts w:ascii="Times New Roman" w:eastAsia="Times New Roman" w:hAnsi="Times New Roman" w:cs="Times New Roman"/>
          <w:sz w:val="26"/>
          <w:szCs w:val="26"/>
          <w:lang w:val="en-GB" w:eastAsia="fr-FR"/>
        </w:rPr>
        <w:t>specific for diatoms. This is also the approach followed by the HELCOM</w:t>
      </w:r>
      <w:r w:rsidR="00425B5D" w:rsidRPr="00425B5D">
        <w:rPr>
          <w:rFonts w:ascii="Times New Roman" w:eastAsia="Times New Roman" w:hAnsi="Times New Roman" w:cs="Times New Roman"/>
          <w:sz w:val="26"/>
          <w:szCs w:val="26"/>
          <w:lang w:val="en-GB" w:eastAsia="fr-FR"/>
        </w:rPr>
        <w:t>, but could be changed by specific conversions (publish in the same work).</w:t>
      </w:r>
      <w:r w:rsidR="00F46002" w:rsidRPr="00F46002">
        <w:rPr>
          <w:rFonts w:ascii="Times New Roman" w:hAnsi="Times New Roman" w:cs="Times New Roman"/>
          <w:sz w:val="26"/>
          <w:szCs w:val="26"/>
          <w:lang w:val="en-GB" w:eastAsia="fr-FR"/>
        </w:rPr>
        <w:t xml:space="preserve"> </w:t>
      </w:r>
      <w:r w:rsidR="00F46002">
        <w:rPr>
          <w:rFonts w:ascii="Times New Roman" w:hAnsi="Times New Roman" w:cs="Times New Roman"/>
          <w:sz w:val="26"/>
          <w:szCs w:val="26"/>
          <w:lang w:val="en-GB" w:eastAsia="fr-FR"/>
        </w:rPr>
        <w:t>Also n</w:t>
      </w:r>
      <w:r w:rsidR="00F46002" w:rsidRPr="00F46002">
        <w:rPr>
          <w:rFonts w:ascii="Times New Roman" w:hAnsi="Times New Roman" w:cs="Times New Roman"/>
          <w:sz w:val="26"/>
          <w:szCs w:val="26"/>
          <w:lang w:val="en-GB" w:eastAsia="fr-FR"/>
        </w:rPr>
        <w:t xml:space="preserve">ote, that cyst, such as </w:t>
      </w:r>
      <w:proofErr w:type="spellStart"/>
      <w:r w:rsidR="00F46002" w:rsidRPr="00F46002">
        <w:rPr>
          <w:rFonts w:ascii="Times New Roman" w:hAnsi="Times New Roman" w:cs="Times New Roman"/>
          <w:i/>
          <w:sz w:val="26"/>
          <w:szCs w:val="26"/>
          <w:lang w:val="en-GB" w:eastAsia="fr-FR"/>
        </w:rPr>
        <w:t>Chaetoceros</w:t>
      </w:r>
      <w:proofErr w:type="spellEnd"/>
      <w:r w:rsidR="00F46002" w:rsidRPr="00F46002">
        <w:rPr>
          <w:rFonts w:ascii="Times New Roman" w:hAnsi="Times New Roman" w:cs="Times New Roman"/>
          <w:sz w:val="26"/>
          <w:szCs w:val="26"/>
          <w:lang w:val="en-GB" w:eastAsia="fr-FR"/>
        </w:rPr>
        <w:t xml:space="preserve"> cyst found in the analysed samples can have a higher cellular carbon content and other conversions could be used.</w:t>
      </w:r>
    </w:p>
    <w:p w14:paraId="30D98854" w14:textId="083DA24F" w:rsidR="0027585A" w:rsidRPr="00425B5D" w:rsidRDefault="0027585A" w:rsidP="00F46002">
      <w:pPr>
        <w:jc w:val="both"/>
        <w:rPr>
          <w:rFonts w:ascii="Times New Roman" w:eastAsia="Times New Roman" w:hAnsi="Times New Roman" w:cs="Times New Roman"/>
          <w:sz w:val="26"/>
          <w:szCs w:val="26"/>
          <w:lang w:val="en-GB" w:eastAsia="fr-FR"/>
        </w:rPr>
      </w:pPr>
    </w:p>
    <w:tbl>
      <w:tblPr>
        <w:tblW w:w="6236" w:type="dxa"/>
        <w:tblCellMar>
          <w:left w:w="70" w:type="dxa"/>
          <w:right w:w="70" w:type="dxa"/>
        </w:tblCellMar>
        <w:tblLook w:val="04A0" w:firstRow="1" w:lastRow="0" w:firstColumn="1" w:lastColumn="0" w:noHBand="0" w:noVBand="1"/>
      </w:tblPr>
      <w:tblGrid>
        <w:gridCol w:w="6236"/>
      </w:tblGrid>
      <w:tr w:rsidR="007C329A" w:rsidRPr="007C329A" w14:paraId="74FE0ACF" w14:textId="77777777" w:rsidTr="007C329A">
        <w:trPr>
          <w:trHeight w:val="340"/>
        </w:trPr>
        <w:tc>
          <w:tcPr>
            <w:tcW w:w="6236" w:type="dxa"/>
            <w:tcBorders>
              <w:top w:val="nil"/>
              <w:left w:val="nil"/>
              <w:bottom w:val="nil"/>
              <w:right w:val="nil"/>
            </w:tcBorders>
            <w:shd w:val="clear" w:color="auto" w:fill="auto"/>
            <w:noWrap/>
            <w:vAlign w:val="bottom"/>
            <w:hideMark/>
          </w:tcPr>
          <w:p w14:paraId="56CBD9D9" w14:textId="77777777" w:rsidR="0027585A" w:rsidRPr="00FB1C02" w:rsidRDefault="0027585A" w:rsidP="007C329A">
            <w:pPr>
              <w:rPr>
                <w:rFonts w:ascii="Times New Roman" w:eastAsia="Times New Roman" w:hAnsi="Times New Roman" w:cs="Times New Roman"/>
                <w:sz w:val="26"/>
                <w:szCs w:val="26"/>
                <w:lang w:val="en-GB" w:eastAsia="fr-FR"/>
              </w:rPr>
            </w:pPr>
          </w:p>
          <w:p w14:paraId="1C57F27B" w14:textId="339EF1D7" w:rsidR="007C329A" w:rsidRPr="007C329A" w:rsidRDefault="007C329A" w:rsidP="007C329A">
            <w:pPr>
              <w:rPr>
                <w:rFonts w:ascii="Times New Roman" w:eastAsia="Times New Roman" w:hAnsi="Times New Roman" w:cs="Times New Roman"/>
                <w:sz w:val="26"/>
                <w:szCs w:val="26"/>
                <w:lang w:val="fr-FR" w:eastAsia="fr-FR"/>
              </w:rPr>
            </w:pPr>
            <w:proofErr w:type="spellStart"/>
            <w:proofErr w:type="gramStart"/>
            <w:r w:rsidRPr="007C329A">
              <w:rPr>
                <w:rFonts w:ascii="Times New Roman" w:eastAsia="Times New Roman" w:hAnsi="Times New Roman" w:cs="Times New Roman"/>
                <w:sz w:val="26"/>
                <w:szCs w:val="26"/>
                <w:lang w:val="fr-FR" w:eastAsia="fr-FR"/>
              </w:rPr>
              <w:t>Diatoms</w:t>
            </w:r>
            <w:proofErr w:type="spellEnd"/>
            <w:r w:rsidRPr="007C329A">
              <w:rPr>
                <w:rFonts w:ascii="Times New Roman" w:eastAsia="Times New Roman" w:hAnsi="Times New Roman" w:cs="Times New Roman"/>
                <w:sz w:val="26"/>
                <w:szCs w:val="26"/>
                <w:lang w:val="fr-FR" w:eastAsia="fr-FR"/>
              </w:rPr>
              <w:t>:</w:t>
            </w:r>
            <w:proofErr w:type="gramEnd"/>
            <w:r w:rsidRPr="007C329A">
              <w:rPr>
                <w:rFonts w:ascii="Times New Roman" w:eastAsia="Times New Roman" w:hAnsi="Times New Roman" w:cs="Times New Roman"/>
                <w:sz w:val="26"/>
                <w:szCs w:val="26"/>
                <w:lang w:val="fr-FR" w:eastAsia="fr-FR"/>
              </w:rPr>
              <w:t xml:space="preserve"> </w:t>
            </w:r>
            <w:proofErr w:type="spellStart"/>
            <w:r w:rsidRPr="007C329A">
              <w:rPr>
                <w:rFonts w:ascii="Times New Roman" w:eastAsia="Times New Roman" w:hAnsi="Times New Roman" w:cs="Times New Roman"/>
                <w:sz w:val="26"/>
                <w:szCs w:val="26"/>
                <w:lang w:val="fr-FR" w:eastAsia="fr-FR"/>
              </w:rPr>
              <w:t>pgC</w:t>
            </w:r>
            <w:proofErr w:type="spellEnd"/>
            <w:r w:rsidRPr="007C329A">
              <w:rPr>
                <w:rFonts w:ascii="Times New Roman" w:eastAsia="Times New Roman" w:hAnsi="Times New Roman" w:cs="Times New Roman"/>
                <w:sz w:val="26"/>
                <w:szCs w:val="26"/>
                <w:lang w:val="fr-FR" w:eastAsia="fr-FR"/>
              </w:rPr>
              <w:t xml:space="preserve"> cell</w:t>
            </w:r>
            <w:r w:rsidRPr="007C329A">
              <w:rPr>
                <w:rFonts w:ascii="Times New Roman" w:eastAsia="Times New Roman" w:hAnsi="Times New Roman" w:cs="Times New Roman"/>
                <w:sz w:val="26"/>
                <w:szCs w:val="26"/>
                <w:vertAlign w:val="superscript"/>
                <w:lang w:val="fr-FR" w:eastAsia="fr-FR"/>
              </w:rPr>
              <w:t>-1</w:t>
            </w:r>
            <w:r w:rsidRPr="007C329A">
              <w:rPr>
                <w:rFonts w:ascii="Times New Roman" w:eastAsia="Times New Roman" w:hAnsi="Times New Roman" w:cs="Times New Roman"/>
                <w:sz w:val="26"/>
                <w:szCs w:val="26"/>
                <w:lang w:val="fr-FR" w:eastAsia="fr-FR"/>
              </w:rPr>
              <w:t>=0.288 × volume</w:t>
            </w:r>
            <w:r w:rsidRPr="007C329A">
              <w:rPr>
                <w:rFonts w:ascii="Times New Roman" w:eastAsia="Times New Roman" w:hAnsi="Times New Roman" w:cs="Times New Roman"/>
                <w:sz w:val="26"/>
                <w:szCs w:val="26"/>
                <w:vertAlign w:val="superscript"/>
                <w:lang w:val="fr-FR" w:eastAsia="fr-FR"/>
              </w:rPr>
              <w:t>0</w:t>
            </w:r>
            <w:r w:rsidR="005A626E">
              <w:rPr>
                <w:rFonts w:ascii="Times New Roman" w:eastAsia="Times New Roman" w:hAnsi="Times New Roman" w:cs="Times New Roman"/>
                <w:sz w:val="26"/>
                <w:szCs w:val="26"/>
                <w:vertAlign w:val="superscript"/>
                <w:lang w:val="fr-FR" w:eastAsia="fr-FR"/>
              </w:rPr>
              <w:t>.</w:t>
            </w:r>
            <w:r w:rsidRPr="007C329A">
              <w:rPr>
                <w:rFonts w:ascii="Times New Roman" w:eastAsia="Times New Roman" w:hAnsi="Times New Roman" w:cs="Times New Roman"/>
                <w:sz w:val="26"/>
                <w:szCs w:val="26"/>
                <w:vertAlign w:val="superscript"/>
                <w:lang w:val="fr-FR" w:eastAsia="fr-FR"/>
              </w:rPr>
              <w:t>811</w:t>
            </w:r>
          </w:p>
        </w:tc>
      </w:tr>
      <w:tr w:rsidR="007C329A" w:rsidRPr="007C329A" w14:paraId="5EE9EC08" w14:textId="77777777" w:rsidTr="007C329A">
        <w:trPr>
          <w:trHeight w:val="340"/>
        </w:trPr>
        <w:tc>
          <w:tcPr>
            <w:tcW w:w="6236" w:type="dxa"/>
            <w:tcBorders>
              <w:top w:val="nil"/>
              <w:left w:val="nil"/>
              <w:bottom w:val="nil"/>
              <w:right w:val="nil"/>
            </w:tcBorders>
            <w:shd w:val="clear" w:color="auto" w:fill="auto"/>
            <w:noWrap/>
            <w:vAlign w:val="bottom"/>
            <w:hideMark/>
          </w:tcPr>
          <w:p w14:paraId="50F194E5" w14:textId="5595AC36" w:rsidR="007C329A" w:rsidRPr="007C329A" w:rsidRDefault="007C329A" w:rsidP="007C329A">
            <w:pPr>
              <w:rPr>
                <w:rFonts w:ascii="Times New Roman" w:eastAsia="Times New Roman" w:hAnsi="Times New Roman" w:cs="Times New Roman"/>
                <w:sz w:val="26"/>
                <w:szCs w:val="26"/>
                <w:lang w:val="en-GB" w:eastAsia="fr-FR"/>
              </w:rPr>
            </w:pPr>
            <w:r w:rsidRPr="007C329A">
              <w:rPr>
                <w:rFonts w:ascii="Times New Roman" w:eastAsia="Times New Roman" w:hAnsi="Times New Roman" w:cs="Times New Roman"/>
                <w:sz w:val="26"/>
                <w:szCs w:val="26"/>
                <w:lang w:val="en-GB" w:eastAsia="fr-FR"/>
              </w:rPr>
              <w:t xml:space="preserve">All other groups (Protists): </w:t>
            </w:r>
            <w:proofErr w:type="spellStart"/>
            <w:r w:rsidRPr="007C329A">
              <w:rPr>
                <w:rFonts w:ascii="Times New Roman" w:eastAsia="Times New Roman" w:hAnsi="Times New Roman" w:cs="Times New Roman"/>
                <w:sz w:val="26"/>
                <w:szCs w:val="26"/>
                <w:lang w:val="en-GB" w:eastAsia="fr-FR"/>
              </w:rPr>
              <w:t>pgC</w:t>
            </w:r>
            <w:proofErr w:type="spellEnd"/>
            <w:r w:rsidRPr="007C329A">
              <w:rPr>
                <w:rFonts w:ascii="Times New Roman" w:eastAsia="Times New Roman" w:hAnsi="Times New Roman" w:cs="Times New Roman"/>
                <w:sz w:val="26"/>
                <w:szCs w:val="26"/>
                <w:lang w:val="en-GB" w:eastAsia="fr-FR"/>
              </w:rPr>
              <w:t xml:space="preserve"> cell</w:t>
            </w:r>
            <w:r w:rsidRPr="007C329A">
              <w:rPr>
                <w:rFonts w:ascii="Times New Roman" w:eastAsia="Times New Roman" w:hAnsi="Times New Roman" w:cs="Times New Roman"/>
                <w:sz w:val="26"/>
                <w:szCs w:val="26"/>
                <w:vertAlign w:val="superscript"/>
                <w:lang w:val="en-GB" w:eastAsia="fr-FR"/>
              </w:rPr>
              <w:t>-1</w:t>
            </w:r>
            <w:r w:rsidRPr="007C329A">
              <w:rPr>
                <w:rFonts w:ascii="Times New Roman" w:eastAsia="Times New Roman" w:hAnsi="Times New Roman" w:cs="Times New Roman"/>
                <w:sz w:val="26"/>
                <w:szCs w:val="26"/>
                <w:lang w:val="en-GB" w:eastAsia="fr-FR"/>
              </w:rPr>
              <w:t>=0.216 × volume</w:t>
            </w:r>
            <w:r w:rsidRPr="007C329A">
              <w:rPr>
                <w:rFonts w:ascii="Times New Roman" w:eastAsia="Times New Roman" w:hAnsi="Times New Roman" w:cs="Times New Roman"/>
                <w:sz w:val="26"/>
                <w:szCs w:val="26"/>
                <w:vertAlign w:val="superscript"/>
                <w:lang w:val="en-GB" w:eastAsia="fr-FR"/>
              </w:rPr>
              <w:t>0</w:t>
            </w:r>
            <w:r w:rsidR="005A626E">
              <w:rPr>
                <w:rFonts w:ascii="Times New Roman" w:eastAsia="Times New Roman" w:hAnsi="Times New Roman" w:cs="Times New Roman"/>
                <w:sz w:val="26"/>
                <w:szCs w:val="26"/>
                <w:vertAlign w:val="superscript"/>
                <w:lang w:val="en-GB" w:eastAsia="fr-FR"/>
              </w:rPr>
              <w:t>.</w:t>
            </w:r>
            <w:r w:rsidRPr="007C329A">
              <w:rPr>
                <w:rFonts w:ascii="Times New Roman" w:eastAsia="Times New Roman" w:hAnsi="Times New Roman" w:cs="Times New Roman"/>
                <w:sz w:val="26"/>
                <w:szCs w:val="26"/>
                <w:vertAlign w:val="superscript"/>
                <w:lang w:val="en-GB" w:eastAsia="fr-FR"/>
              </w:rPr>
              <w:t>939</w:t>
            </w:r>
          </w:p>
        </w:tc>
      </w:tr>
    </w:tbl>
    <w:p w14:paraId="26CF0C26" w14:textId="77777777" w:rsidR="00856034" w:rsidRDefault="00856034" w:rsidP="003E214A">
      <w:pPr>
        <w:rPr>
          <w:lang w:val="en-GB" w:eastAsia="fr-FR"/>
        </w:rPr>
      </w:pPr>
    </w:p>
    <w:p w14:paraId="7C3CBD23" w14:textId="77777777" w:rsidR="00C17646" w:rsidRDefault="00C17646" w:rsidP="00C17646">
      <w:pPr>
        <w:rPr>
          <w:rFonts w:ascii="Arial" w:hAnsi="Arial" w:cs="Arial"/>
          <w:sz w:val="22"/>
          <w:szCs w:val="22"/>
          <w:lang w:val="en-GB"/>
        </w:rPr>
      </w:pPr>
      <w:bookmarkStart w:id="0" w:name="_GoBack"/>
      <w:bookmarkEnd w:id="0"/>
    </w:p>
    <w:p w14:paraId="78F9C13E" w14:textId="66BDE083" w:rsidR="004039CC" w:rsidRPr="0004661D" w:rsidRDefault="00C17646" w:rsidP="00C17646">
      <w:pPr>
        <w:rPr>
          <w:rFonts w:ascii="Times New Roman" w:hAnsi="Times New Roman" w:cs="Times New Roman"/>
          <w:b/>
          <w:sz w:val="26"/>
          <w:szCs w:val="26"/>
          <w:lang w:val="en-GB"/>
        </w:rPr>
      </w:pPr>
      <w:r w:rsidRPr="0004661D">
        <w:rPr>
          <w:rFonts w:ascii="Times New Roman" w:hAnsi="Times New Roman" w:cs="Times New Roman"/>
          <w:b/>
          <w:sz w:val="26"/>
          <w:szCs w:val="26"/>
          <w:lang w:val="en-GB"/>
        </w:rPr>
        <w:lastRenderedPageBreak/>
        <w:t>References:</w:t>
      </w:r>
    </w:p>
    <w:p w14:paraId="0BED77BE" w14:textId="77777777" w:rsidR="00C17646" w:rsidRDefault="00C17646" w:rsidP="00C17646">
      <w:pPr>
        <w:jc w:val="both"/>
        <w:rPr>
          <w:rFonts w:ascii="Arial" w:hAnsi="Arial" w:cs="Arial"/>
          <w:sz w:val="22"/>
          <w:szCs w:val="22"/>
          <w:lang w:val="en-GB"/>
        </w:rPr>
      </w:pPr>
    </w:p>
    <w:p w14:paraId="4BCC89B3" w14:textId="77777777" w:rsidR="004039CC" w:rsidRPr="004039CC" w:rsidRDefault="00C17646" w:rsidP="004039CC">
      <w:pPr>
        <w:pStyle w:val="Bibliography"/>
        <w:jc w:val="both"/>
        <w:rPr>
          <w:sz w:val="22"/>
        </w:rPr>
      </w:pPr>
      <w:r>
        <w:rPr>
          <w:rFonts w:ascii="Arial" w:hAnsi="Arial" w:cs="Arial"/>
          <w:sz w:val="22"/>
          <w:szCs w:val="22"/>
          <w:lang w:val="en-GB"/>
        </w:rPr>
        <w:fldChar w:fldCharType="begin"/>
      </w:r>
      <w:r>
        <w:rPr>
          <w:rFonts w:ascii="Arial" w:hAnsi="Arial" w:cs="Arial"/>
          <w:sz w:val="22"/>
          <w:szCs w:val="22"/>
          <w:lang w:val="en-GB"/>
        </w:rPr>
        <w:instrText xml:space="preserve"> ADDIN ZOTERO_BIBL {"custom":[]} CSL_BIBLIOGRAPHY </w:instrText>
      </w:r>
      <w:r>
        <w:rPr>
          <w:rFonts w:ascii="Arial" w:hAnsi="Arial" w:cs="Arial"/>
          <w:sz w:val="22"/>
          <w:szCs w:val="22"/>
          <w:lang w:val="en-GB"/>
        </w:rPr>
        <w:fldChar w:fldCharType="separate"/>
      </w:r>
      <w:r w:rsidR="004039CC" w:rsidRPr="004039CC">
        <w:rPr>
          <w:sz w:val="22"/>
        </w:rPr>
        <w:t xml:space="preserve">Bollmann, Jörg, Mara Y. Cortés, Ali T. Haidar, Bernhard Brabec, Anne Close, Robert Hofmann, Sofia Palma, Luis Tupas, et Hans R. Thierstein. 2002. « Techniques for Quantitative Analyses of Calcareous Marine Phytoplankton ». </w:t>
      </w:r>
      <w:r w:rsidR="004039CC" w:rsidRPr="004039CC">
        <w:rPr>
          <w:i/>
          <w:iCs/>
          <w:sz w:val="22"/>
        </w:rPr>
        <w:t>Marine Micropaleontology</w:t>
      </w:r>
      <w:r w:rsidR="004039CC" w:rsidRPr="004039CC">
        <w:rPr>
          <w:sz w:val="22"/>
        </w:rPr>
        <w:t xml:space="preserve"> 44 (3</w:t>
      </w:r>
      <w:r w:rsidR="004039CC" w:rsidRPr="004039CC">
        <w:rPr>
          <w:rFonts w:ascii="Cambria Math" w:hAnsi="Cambria Math" w:cs="Cambria Math"/>
          <w:sz w:val="22"/>
        </w:rPr>
        <w:t>‑</w:t>
      </w:r>
      <w:r w:rsidR="004039CC" w:rsidRPr="004039CC">
        <w:rPr>
          <w:sz w:val="22"/>
        </w:rPr>
        <w:t>4): 163</w:t>
      </w:r>
      <w:r w:rsidR="004039CC" w:rsidRPr="004039CC">
        <w:rPr>
          <w:rFonts w:ascii="Cambria Math" w:hAnsi="Cambria Math" w:cs="Cambria Math"/>
          <w:sz w:val="22"/>
        </w:rPr>
        <w:t>‑</w:t>
      </w:r>
      <w:r w:rsidR="004039CC" w:rsidRPr="004039CC">
        <w:rPr>
          <w:sz w:val="22"/>
        </w:rPr>
        <w:t>85. https://doi.org/10.1016/S0377-8398(01)00040-8.</w:t>
      </w:r>
    </w:p>
    <w:p w14:paraId="00CB6DD3" w14:textId="77777777" w:rsidR="004039CC" w:rsidRPr="004039CC" w:rsidRDefault="004039CC" w:rsidP="004039CC">
      <w:pPr>
        <w:pStyle w:val="Bibliography"/>
        <w:jc w:val="both"/>
        <w:rPr>
          <w:sz w:val="22"/>
        </w:rPr>
      </w:pPr>
      <w:r w:rsidRPr="004039CC">
        <w:rPr>
          <w:sz w:val="22"/>
        </w:rPr>
        <w:t xml:space="preserve">Frada, Miguel, Jeremy Young, Mário Cachão, Sílvia Lino, Ana Martins, Áurea Narciso, Ian Probert, et Colomban de Vargas. 2010. « A guide to extant coccolithophores (Calcihaptophycidae, Haptophyta) using light microscopy ». </w:t>
      </w:r>
      <w:r w:rsidRPr="004039CC">
        <w:rPr>
          <w:i/>
          <w:iCs/>
          <w:sz w:val="22"/>
        </w:rPr>
        <w:t>J. Nannoplankt. Res</w:t>
      </w:r>
      <w:r w:rsidRPr="004039CC">
        <w:rPr>
          <w:sz w:val="22"/>
        </w:rPr>
        <w:t xml:space="preserve"> 31: 58–112.</w:t>
      </w:r>
    </w:p>
    <w:p w14:paraId="1740EA4F" w14:textId="77777777" w:rsidR="004039CC" w:rsidRPr="004039CC" w:rsidRDefault="004039CC" w:rsidP="004039CC">
      <w:pPr>
        <w:pStyle w:val="Bibliography"/>
        <w:jc w:val="both"/>
        <w:rPr>
          <w:sz w:val="22"/>
        </w:rPr>
      </w:pPr>
      <w:r w:rsidRPr="004039CC">
        <w:rPr>
          <w:sz w:val="22"/>
        </w:rPr>
        <w:t xml:space="preserve">Hasle, Grethe R., et Erik E. Syvertsen. 1997. « Chapter 2 - Marine Diatoms ». In </w:t>
      </w:r>
      <w:r w:rsidRPr="004039CC">
        <w:rPr>
          <w:i/>
          <w:iCs/>
          <w:sz w:val="22"/>
        </w:rPr>
        <w:t>Identifying Marine Phytoplankton</w:t>
      </w:r>
      <w:r w:rsidRPr="004039CC">
        <w:rPr>
          <w:sz w:val="22"/>
        </w:rPr>
        <w:t>, édité par Carmelo R. Tomas, 5</w:t>
      </w:r>
      <w:r w:rsidRPr="004039CC">
        <w:rPr>
          <w:rFonts w:ascii="Cambria Math" w:hAnsi="Cambria Math" w:cs="Cambria Math"/>
          <w:sz w:val="22"/>
        </w:rPr>
        <w:t>‑</w:t>
      </w:r>
      <w:r w:rsidRPr="004039CC">
        <w:rPr>
          <w:sz w:val="22"/>
        </w:rPr>
        <w:t>385. San Diego: Academic Press. https://doi.org/10.1016/B978-012693018-4/50004-5.</w:t>
      </w:r>
    </w:p>
    <w:p w14:paraId="30698416" w14:textId="77777777" w:rsidR="004039CC" w:rsidRPr="004039CC" w:rsidRDefault="004039CC" w:rsidP="004039CC">
      <w:pPr>
        <w:pStyle w:val="Bibliography"/>
        <w:jc w:val="both"/>
        <w:rPr>
          <w:sz w:val="22"/>
        </w:rPr>
      </w:pPr>
      <w:r w:rsidRPr="004039CC">
        <w:rPr>
          <w:sz w:val="22"/>
        </w:rPr>
        <w:t xml:space="preserve">Hillebrand, Helmut, Claus-Dieter Dürselen, David Kirschtel, Utsa Pollingher, et Tamar Zohary. 1999. « BIOVOLUME CALCULATION FOR PELAGIC AND BENTHIC MICROALGAE ». </w:t>
      </w:r>
      <w:r w:rsidRPr="004039CC">
        <w:rPr>
          <w:i/>
          <w:iCs/>
          <w:sz w:val="22"/>
        </w:rPr>
        <w:t>Journal of Phycology</w:t>
      </w:r>
      <w:r w:rsidRPr="004039CC">
        <w:rPr>
          <w:sz w:val="22"/>
        </w:rPr>
        <w:t xml:space="preserve"> 35 (2): 403</w:t>
      </w:r>
      <w:r w:rsidRPr="004039CC">
        <w:rPr>
          <w:rFonts w:ascii="Cambria Math" w:hAnsi="Cambria Math" w:cs="Cambria Math"/>
          <w:sz w:val="22"/>
        </w:rPr>
        <w:t>‑</w:t>
      </w:r>
      <w:r w:rsidRPr="004039CC">
        <w:rPr>
          <w:sz w:val="22"/>
        </w:rPr>
        <w:t>24. https://doi.org/10.1046/j.1529-8817.1999.3520403.x.</w:t>
      </w:r>
    </w:p>
    <w:p w14:paraId="5AFD057D" w14:textId="77777777" w:rsidR="004039CC" w:rsidRPr="004039CC" w:rsidRDefault="004039CC" w:rsidP="004039CC">
      <w:pPr>
        <w:pStyle w:val="Bibliography"/>
        <w:jc w:val="both"/>
        <w:rPr>
          <w:sz w:val="22"/>
        </w:rPr>
      </w:pPr>
      <w:r w:rsidRPr="004039CC">
        <w:rPr>
          <w:sz w:val="22"/>
          <w:lang w:val="fr-FR"/>
        </w:rPr>
        <w:t xml:space="preserve">Menden-Deuer, Susanne, et Evelyn J. Lessard. </w:t>
      </w:r>
      <w:r w:rsidRPr="004039CC">
        <w:rPr>
          <w:sz w:val="22"/>
        </w:rPr>
        <w:t xml:space="preserve">2000. « Carbon to Volume Relationships for Dinoflagellates, Diatoms, and Other Protist Plankton ». </w:t>
      </w:r>
      <w:r w:rsidRPr="004039CC">
        <w:rPr>
          <w:i/>
          <w:iCs/>
          <w:sz w:val="22"/>
        </w:rPr>
        <w:t>Limnology and Oceanography</w:t>
      </w:r>
      <w:r w:rsidRPr="004039CC">
        <w:rPr>
          <w:sz w:val="22"/>
        </w:rPr>
        <w:t xml:space="preserve"> 45 (3): 569</w:t>
      </w:r>
      <w:r w:rsidRPr="004039CC">
        <w:rPr>
          <w:rFonts w:ascii="Cambria Math" w:hAnsi="Cambria Math" w:cs="Cambria Math"/>
          <w:sz w:val="22"/>
        </w:rPr>
        <w:t>‑</w:t>
      </w:r>
      <w:r w:rsidRPr="004039CC">
        <w:rPr>
          <w:sz w:val="22"/>
        </w:rPr>
        <w:t>79. https://doi.org/10.4319/lo.2000.45.3.0569.</w:t>
      </w:r>
    </w:p>
    <w:p w14:paraId="37C8652A" w14:textId="77777777" w:rsidR="004039CC" w:rsidRPr="004039CC" w:rsidRDefault="004039CC" w:rsidP="004039CC">
      <w:pPr>
        <w:pStyle w:val="Bibliography"/>
        <w:jc w:val="both"/>
        <w:rPr>
          <w:sz w:val="22"/>
          <w:lang w:val="fr-FR"/>
        </w:rPr>
      </w:pPr>
      <w:r w:rsidRPr="004039CC">
        <w:rPr>
          <w:sz w:val="22"/>
        </w:rPr>
        <w:t xml:space="preserve">O’Brien, C J, J A Peloquin, M Vogt, M Heinle, N Gruber, P Ajani, H Andruleit, et al. 2013. </w:t>
      </w:r>
      <w:r w:rsidRPr="004039CC">
        <w:rPr>
          <w:sz w:val="22"/>
          <w:lang w:val="fr-FR"/>
        </w:rPr>
        <w:t>« Global Marine Plankton Functional Type Biomass Geography Distributions: Coccolithophores », 19.</w:t>
      </w:r>
    </w:p>
    <w:p w14:paraId="1DDDC8D6" w14:textId="77777777" w:rsidR="004039CC" w:rsidRPr="00EE779C" w:rsidRDefault="004039CC" w:rsidP="004039CC">
      <w:pPr>
        <w:pStyle w:val="Bibliography"/>
        <w:jc w:val="both"/>
        <w:rPr>
          <w:sz w:val="22"/>
          <w:lang w:val="en-GB"/>
        </w:rPr>
      </w:pPr>
      <w:r w:rsidRPr="004039CC">
        <w:rPr>
          <w:sz w:val="22"/>
          <w:lang w:val="fr-FR"/>
        </w:rPr>
        <w:t xml:space="preserve">Paulmier (Gérald). 1997. « Atlas des diatomophycées des côtes françaises et des aires océaniques adjacentes ». </w:t>
      </w:r>
      <w:r w:rsidRPr="00EE779C">
        <w:rPr>
          <w:sz w:val="22"/>
          <w:lang w:val="en-GB"/>
        </w:rPr>
        <w:t>IFREMER.</w:t>
      </w:r>
    </w:p>
    <w:p w14:paraId="606E85A5" w14:textId="77777777" w:rsidR="004039CC" w:rsidRPr="004039CC" w:rsidRDefault="004039CC" w:rsidP="004039CC">
      <w:pPr>
        <w:pStyle w:val="Bibliography"/>
        <w:jc w:val="both"/>
        <w:rPr>
          <w:sz w:val="22"/>
        </w:rPr>
      </w:pPr>
      <w:proofErr w:type="spellStart"/>
      <w:r w:rsidRPr="004039CC">
        <w:rPr>
          <w:sz w:val="22"/>
        </w:rPr>
        <w:t>Schindelin</w:t>
      </w:r>
      <w:proofErr w:type="spellEnd"/>
      <w:r w:rsidRPr="004039CC">
        <w:rPr>
          <w:sz w:val="22"/>
        </w:rPr>
        <w:t xml:space="preserve">, Johannes, Ignacio </w:t>
      </w:r>
      <w:proofErr w:type="spellStart"/>
      <w:r w:rsidRPr="004039CC">
        <w:rPr>
          <w:sz w:val="22"/>
        </w:rPr>
        <w:t>Arganda</w:t>
      </w:r>
      <w:proofErr w:type="spellEnd"/>
      <w:r w:rsidRPr="004039CC">
        <w:rPr>
          <w:sz w:val="22"/>
        </w:rPr>
        <w:t xml:space="preserve">-Carreras, Erwin Frise, Verena Kaynig, Mark Longair, Tobias Pietzsch, Stephan Preibisch, et al. 2012. « Fiji: An Open-Source Platform for Biological-Image Analysis ». </w:t>
      </w:r>
      <w:r w:rsidRPr="004039CC">
        <w:rPr>
          <w:i/>
          <w:iCs/>
          <w:sz w:val="22"/>
        </w:rPr>
        <w:t>Nature Methods</w:t>
      </w:r>
      <w:r w:rsidRPr="004039CC">
        <w:rPr>
          <w:sz w:val="22"/>
        </w:rPr>
        <w:t xml:space="preserve"> 9 (7): 676</w:t>
      </w:r>
      <w:r w:rsidRPr="004039CC">
        <w:rPr>
          <w:rFonts w:ascii="Cambria Math" w:hAnsi="Cambria Math" w:cs="Cambria Math"/>
          <w:sz w:val="22"/>
        </w:rPr>
        <w:t>‑</w:t>
      </w:r>
      <w:r w:rsidRPr="004039CC">
        <w:rPr>
          <w:sz w:val="22"/>
        </w:rPr>
        <w:t>82. https://doi.org/10.1038/nmeth.2019.</w:t>
      </w:r>
    </w:p>
    <w:p w14:paraId="0B09E4DC" w14:textId="77777777" w:rsidR="004039CC" w:rsidRPr="004039CC" w:rsidRDefault="004039CC" w:rsidP="004039CC">
      <w:pPr>
        <w:pStyle w:val="Bibliography"/>
        <w:jc w:val="both"/>
        <w:rPr>
          <w:sz w:val="22"/>
        </w:rPr>
      </w:pPr>
      <w:r w:rsidRPr="004039CC">
        <w:rPr>
          <w:sz w:val="22"/>
        </w:rPr>
        <w:t xml:space="preserve">Sun, J. 2003. « Geometric Models for Calculating Cell Biovolume and Surface Area for Phytoplankton ». </w:t>
      </w:r>
      <w:r w:rsidRPr="004039CC">
        <w:rPr>
          <w:i/>
          <w:iCs/>
          <w:sz w:val="22"/>
        </w:rPr>
        <w:t>Journal of Plankton Research</w:t>
      </w:r>
      <w:r w:rsidRPr="004039CC">
        <w:rPr>
          <w:sz w:val="22"/>
        </w:rPr>
        <w:t xml:space="preserve"> 25 (11): 1331</w:t>
      </w:r>
      <w:r w:rsidRPr="004039CC">
        <w:rPr>
          <w:rFonts w:ascii="Cambria Math" w:hAnsi="Cambria Math" w:cs="Cambria Math"/>
          <w:sz w:val="22"/>
        </w:rPr>
        <w:t>‑</w:t>
      </w:r>
      <w:r w:rsidRPr="004039CC">
        <w:rPr>
          <w:sz w:val="22"/>
        </w:rPr>
        <w:t>46. https://doi.org/10.1093/plankt/fbg096.</w:t>
      </w:r>
    </w:p>
    <w:p w14:paraId="765E673E" w14:textId="77777777" w:rsidR="00A87B74" w:rsidRDefault="00C17646" w:rsidP="004039CC">
      <w:pPr>
        <w:widowControl w:val="0"/>
        <w:autoSpaceDE w:val="0"/>
        <w:autoSpaceDN w:val="0"/>
        <w:adjustRightInd w:val="0"/>
        <w:spacing w:after="240" w:line="300" w:lineRule="atLeast"/>
        <w:jc w:val="both"/>
      </w:pPr>
      <w:r>
        <w:rPr>
          <w:rFonts w:ascii="Arial" w:hAnsi="Arial" w:cs="Arial"/>
          <w:sz w:val="22"/>
          <w:szCs w:val="22"/>
          <w:lang w:val="en-GB"/>
        </w:rPr>
        <w:fldChar w:fldCharType="end"/>
      </w:r>
      <w:r w:rsidR="00A87B74" w:rsidRPr="00A87B74">
        <w:t xml:space="preserve"> </w:t>
      </w:r>
    </w:p>
    <w:p w14:paraId="108E9317" w14:textId="0BF538D3" w:rsidR="00C17646" w:rsidRDefault="00A87B74" w:rsidP="004039CC">
      <w:pPr>
        <w:widowControl w:val="0"/>
        <w:autoSpaceDE w:val="0"/>
        <w:autoSpaceDN w:val="0"/>
        <w:adjustRightInd w:val="0"/>
        <w:spacing w:after="240" w:line="300" w:lineRule="atLeast"/>
        <w:jc w:val="both"/>
        <w:rPr>
          <w:rStyle w:val="Hyperlink"/>
          <w:rFonts w:ascii="Arial" w:hAnsi="Arial" w:cs="Arial"/>
          <w:sz w:val="22"/>
          <w:szCs w:val="22"/>
          <w:lang w:val="en-GB"/>
        </w:rPr>
      </w:pPr>
      <w:r>
        <w:t xml:space="preserve">HELCOM PEG Biovolume 2018 can be found at: </w:t>
      </w:r>
      <w:hyperlink r:id="rId8" w:history="1">
        <w:r w:rsidR="009F1014" w:rsidRPr="00874E76">
          <w:rPr>
            <w:rStyle w:val="Hyperlink"/>
            <w:rFonts w:ascii="Arial" w:hAnsi="Arial" w:cs="Arial"/>
            <w:sz w:val="22"/>
            <w:szCs w:val="22"/>
            <w:lang w:val="en-GB"/>
          </w:rPr>
          <w:t>https://helcom.fi/post_type_project/peg/</w:t>
        </w:r>
      </w:hyperlink>
    </w:p>
    <w:p w14:paraId="59919DEA" w14:textId="4263FABE" w:rsidR="00EE779C" w:rsidRDefault="00EE779C" w:rsidP="004039CC">
      <w:pPr>
        <w:widowControl w:val="0"/>
        <w:autoSpaceDE w:val="0"/>
        <w:autoSpaceDN w:val="0"/>
        <w:adjustRightInd w:val="0"/>
        <w:spacing w:after="240" w:line="300" w:lineRule="atLeast"/>
        <w:jc w:val="both"/>
        <w:rPr>
          <w:rFonts w:ascii="Arial" w:hAnsi="Arial" w:cs="Arial"/>
          <w:sz w:val="22"/>
          <w:szCs w:val="22"/>
          <w:lang w:val="en-GB"/>
        </w:rPr>
      </w:pPr>
    </w:p>
    <w:p w14:paraId="67BFEAF6" w14:textId="0F3E2F47" w:rsidR="009F1014" w:rsidRDefault="009F1014" w:rsidP="004039CC">
      <w:pPr>
        <w:widowControl w:val="0"/>
        <w:autoSpaceDE w:val="0"/>
        <w:autoSpaceDN w:val="0"/>
        <w:adjustRightInd w:val="0"/>
        <w:spacing w:after="240" w:line="300" w:lineRule="atLeast"/>
        <w:jc w:val="both"/>
        <w:rPr>
          <w:rFonts w:ascii="Times" w:hAnsi="Times" w:cs="Times"/>
          <w:sz w:val="26"/>
          <w:szCs w:val="26"/>
          <w:lang w:val="en-GB"/>
        </w:rPr>
      </w:pPr>
    </w:p>
    <w:p w14:paraId="605C0783" w14:textId="10267253" w:rsidR="009F1014" w:rsidRPr="009F1014" w:rsidRDefault="009F1014" w:rsidP="004039CC">
      <w:pPr>
        <w:widowControl w:val="0"/>
        <w:autoSpaceDE w:val="0"/>
        <w:autoSpaceDN w:val="0"/>
        <w:adjustRightInd w:val="0"/>
        <w:spacing w:after="240" w:line="300" w:lineRule="atLeast"/>
        <w:jc w:val="both"/>
        <w:rPr>
          <w:rFonts w:ascii="Times" w:hAnsi="Times" w:cs="Times"/>
          <w:sz w:val="26"/>
          <w:szCs w:val="26"/>
          <w:lang w:val="en-GB"/>
        </w:rPr>
      </w:pPr>
    </w:p>
    <w:p w14:paraId="170DCB25" w14:textId="77777777" w:rsidR="00AC2179" w:rsidRDefault="00AC2179" w:rsidP="00AC2179">
      <w:pPr>
        <w:widowControl w:val="0"/>
        <w:autoSpaceDE w:val="0"/>
        <w:autoSpaceDN w:val="0"/>
        <w:adjustRightInd w:val="0"/>
        <w:spacing w:after="240" w:line="260" w:lineRule="atLeast"/>
        <w:rPr>
          <w:rFonts w:ascii="Times" w:hAnsi="Times" w:cs="Times"/>
          <w:sz w:val="22"/>
          <w:szCs w:val="22"/>
        </w:rPr>
      </w:pPr>
    </w:p>
    <w:p w14:paraId="073707E3" w14:textId="77777777" w:rsidR="00AC2179" w:rsidRDefault="00AC2179" w:rsidP="00AC2179">
      <w:pPr>
        <w:widowControl w:val="0"/>
        <w:autoSpaceDE w:val="0"/>
        <w:autoSpaceDN w:val="0"/>
        <w:adjustRightInd w:val="0"/>
        <w:spacing w:after="240" w:line="260" w:lineRule="atLeast"/>
        <w:rPr>
          <w:rFonts w:ascii="Times" w:hAnsi="Times" w:cs="Times"/>
        </w:rPr>
      </w:pPr>
    </w:p>
    <w:p w14:paraId="653640D7" w14:textId="77777777" w:rsidR="00AC2179" w:rsidRDefault="00AC2179" w:rsidP="00AC2179">
      <w:pPr>
        <w:widowControl w:val="0"/>
        <w:autoSpaceDE w:val="0"/>
        <w:autoSpaceDN w:val="0"/>
        <w:adjustRightInd w:val="0"/>
        <w:spacing w:after="240" w:line="300" w:lineRule="atLeast"/>
        <w:rPr>
          <w:rFonts w:ascii="Times" w:hAnsi="Times" w:cs="Times"/>
        </w:rPr>
      </w:pPr>
    </w:p>
    <w:p w14:paraId="6D626CD7" w14:textId="77777777" w:rsidR="00AC2179" w:rsidRDefault="00AC2179" w:rsidP="00AC2179">
      <w:pPr>
        <w:widowControl w:val="0"/>
        <w:autoSpaceDE w:val="0"/>
        <w:autoSpaceDN w:val="0"/>
        <w:adjustRightInd w:val="0"/>
        <w:spacing w:after="240" w:line="300" w:lineRule="atLeast"/>
        <w:rPr>
          <w:rFonts w:ascii="Times" w:hAnsi="Times" w:cs="Times"/>
        </w:rPr>
      </w:pPr>
    </w:p>
    <w:p w14:paraId="73F67428" w14:textId="77777777" w:rsidR="001F6B06" w:rsidRPr="00FB1C02" w:rsidRDefault="001F6B06">
      <w:pPr>
        <w:rPr>
          <w:lang w:val="en-GB"/>
        </w:rPr>
      </w:pPr>
    </w:p>
    <w:sectPr w:rsidR="001F6B06" w:rsidRPr="00FB1C02" w:rsidSect="00CB235F">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ebkit-standar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4179F"/>
    <w:multiLevelType w:val="hybridMultilevel"/>
    <w:tmpl w:val="D69E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9"/>
    <w:rsid w:val="0004661D"/>
    <w:rsid w:val="00050B8B"/>
    <w:rsid w:val="00075A00"/>
    <w:rsid w:val="0009577A"/>
    <w:rsid w:val="000B0FF8"/>
    <w:rsid w:val="0013735D"/>
    <w:rsid w:val="00175DBE"/>
    <w:rsid w:val="001F6B06"/>
    <w:rsid w:val="0027585A"/>
    <w:rsid w:val="0029740E"/>
    <w:rsid w:val="002C730A"/>
    <w:rsid w:val="003502FF"/>
    <w:rsid w:val="003A32F5"/>
    <w:rsid w:val="003E214A"/>
    <w:rsid w:val="004039CC"/>
    <w:rsid w:val="004101F1"/>
    <w:rsid w:val="00425B5D"/>
    <w:rsid w:val="00492BC2"/>
    <w:rsid w:val="004A7088"/>
    <w:rsid w:val="004B7150"/>
    <w:rsid w:val="005469E0"/>
    <w:rsid w:val="00557467"/>
    <w:rsid w:val="00561F26"/>
    <w:rsid w:val="00595021"/>
    <w:rsid w:val="005A626E"/>
    <w:rsid w:val="005B08C9"/>
    <w:rsid w:val="006E78AD"/>
    <w:rsid w:val="00782A70"/>
    <w:rsid w:val="007C329A"/>
    <w:rsid w:val="007D0459"/>
    <w:rsid w:val="007D48C4"/>
    <w:rsid w:val="007D53AF"/>
    <w:rsid w:val="00856034"/>
    <w:rsid w:val="00864945"/>
    <w:rsid w:val="008E4A1B"/>
    <w:rsid w:val="00951C18"/>
    <w:rsid w:val="009F1014"/>
    <w:rsid w:val="00A63875"/>
    <w:rsid w:val="00A87B74"/>
    <w:rsid w:val="00A97D4D"/>
    <w:rsid w:val="00AA0B53"/>
    <w:rsid w:val="00AC2179"/>
    <w:rsid w:val="00B91DA5"/>
    <w:rsid w:val="00BE2F61"/>
    <w:rsid w:val="00C10F62"/>
    <w:rsid w:val="00C17646"/>
    <w:rsid w:val="00C727A6"/>
    <w:rsid w:val="00C731CF"/>
    <w:rsid w:val="00CB235F"/>
    <w:rsid w:val="00EB7D6A"/>
    <w:rsid w:val="00EE779C"/>
    <w:rsid w:val="00F042CF"/>
    <w:rsid w:val="00F46002"/>
    <w:rsid w:val="00FB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B8D6"/>
  <w15:chartTrackingRefBased/>
  <w15:docId w15:val="{8F1F71F8-D88E-4B58-AEA6-490C5314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9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B8B"/>
    <w:rPr>
      <w:color w:val="0000FF"/>
      <w:u w:val="single"/>
    </w:rPr>
  </w:style>
  <w:style w:type="character" w:customStyle="1" w:styleId="apple-converted-space">
    <w:name w:val="apple-converted-space"/>
    <w:basedOn w:val="DefaultParagraphFont"/>
    <w:rsid w:val="00050B8B"/>
  </w:style>
  <w:style w:type="paragraph" w:styleId="NormalWeb">
    <w:name w:val="Normal (Web)"/>
    <w:basedOn w:val="Normal"/>
    <w:uiPriority w:val="99"/>
    <w:semiHidden/>
    <w:unhideWhenUsed/>
    <w:rsid w:val="00C727A6"/>
    <w:pPr>
      <w:spacing w:before="100" w:beforeAutospacing="1" w:after="100" w:afterAutospacing="1"/>
    </w:pPr>
    <w:rPr>
      <w:rFonts w:ascii="Times New Roman" w:hAnsi="Times New Roman" w:cs="Times New Roman"/>
    </w:rPr>
  </w:style>
  <w:style w:type="paragraph" w:styleId="Bibliography">
    <w:name w:val="Bibliography"/>
    <w:basedOn w:val="Normal"/>
    <w:next w:val="Normal"/>
    <w:uiPriority w:val="37"/>
    <w:unhideWhenUsed/>
    <w:rsid w:val="00C17646"/>
    <w:pPr>
      <w:ind w:left="720" w:hanging="720"/>
    </w:pPr>
  </w:style>
  <w:style w:type="paragraph" w:styleId="ListParagraph">
    <w:name w:val="List Paragraph"/>
    <w:basedOn w:val="Normal"/>
    <w:uiPriority w:val="34"/>
    <w:qFormat/>
    <w:rsid w:val="00C17646"/>
    <w:pPr>
      <w:ind w:left="720"/>
      <w:contextualSpacing/>
    </w:pPr>
  </w:style>
  <w:style w:type="character" w:customStyle="1" w:styleId="ff9">
    <w:name w:val="ff9"/>
    <w:basedOn w:val="DefaultParagraphFont"/>
    <w:rsid w:val="00175DBE"/>
  </w:style>
  <w:style w:type="character" w:customStyle="1" w:styleId="ffb">
    <w:name w:val="ffb"/>
    <w:basedOn w:val="DefaultParagraphFont"/>
    <w:rsid w:val="00175DBE"/>
  </w:style>
  <w:style w:type="character" w:customStyle="1" w:styleId="wse">
    <w:name w:val="wse"/>
    <w:basedOn w:val="DefaultParagraphFont"/>
    <w:rsid w:val="00175DBE"/>
  </w:style>
  <w:style w:type="character" w:customStyle="1" w:styleId="fsf">
    <w:name w:val="fsf"/>
    <w:basedOn w:val="DefaultParagraphFont"/>
    <w:rsid w:val="00175DBE"/>
  </w:style>
  <w:style w:type="character" w:customStyle="1" w:styleId="ffc">
    <w:name w:val="ffc"/>
    <w:basedOn w:val="DefaultParagraphFont"/>
    <w:rsid w:val="00175DBE"/>
  </w:style>
  <w:style w:type="character" w:customStyle="1" w:styleId="ls7">
    <w:name w:val="ls7"/>
    <w:basedOn w:val="DefaultParagraphFont"/>
    <w:rsid w:val="00175DBE"/>
  </w:style>
  <w:style w:type="character" w:customStyle="1" w:styleId="ff8">
    <w:name w:val="ff8"/>
    <w:basedOn w:val="DefaultParagraphFont"/>
    <w:rsid w:val="00175DBE"/>
  </w:style>
  <w:style w:type="character" w:customStyle="1" w:styleId="fse">
    <w:name w:val="fse"/>
    <w:basedOn w:val="DefaultParagraphFont"/>
    <w:rsid w:val="00175DBE"/>
  </w:style>
  <w:style w:type="character" w:customStyle="1" w:styleId="v0">
    <w:name w:val="v0"/>
    <w:basedOn w:val="DefaultParagraphFont"/>
    <w:rsid w:val="00175DBE"/>
  </w:style>
  <w:style w:type="character" w:customStyle="1" w:styleId="a">
    <w:name w:val="_"/>
    <w:basedOn w:val="DefaultParagraphFont"/>
    <w:rsid w:val="00175DBE"/>
  </w:style>
  <w:style w:type="character" w:styleId="UnresolvedMention">
    <w:name w:val="Unresolved Mention"/>
    <w:basedOn w:val="DefaultParagraphFont"/>
    <w:uiPriority w:val="99"/>
    <w:rsid w:val="003E214A"/>
    <w:rPr>
      <w:color w:val="605E5C"/>
      <w:shd w:val="clear" w:color="auto" w:fill="E1DFDD"/>
    </w:rPr>
  </w:style>
  <w:style w:type="paragraph" w:customStyle="1" w:styleId="Default">
    <w:name w:val="Default"/>
    <w:rsid w:val="003E214A"/>
    <w:pPr>
      <w:autoSpaceDE w:val="0"/>
      <w:autoSpaceDN w:val="0"/>
      <w:adjustRightInd w:val="0"/>
    </w:pPr>
    <w:rPr>
      <w:rFonts w:ascii="Arial" w:hAnsi="Arial" w:cs="Arial"/>
      <w:color w:val="000000"/>
      <w:lang w:val="fr-FR"/>
    </w:rPr>
  </w:style>
  <w:style w:type="paragraph" w:styleId="NoSpacing">
    <w:name w:val="No Spacing"/>
    <w:uiPriority w:val="1"/>
    <w:qFormat/>
    <w:rsid w:val="00856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8779">
      <w:bodyDiv w:val="1"/>
      <w:marLeft w:val="0"/>
      <w:marRight w:val="0"/>
      <w:marTop w:val="0"/>
      <w:marBottom w:val="0"/>
      <w:divBdr>
        <w:top w:val="none" w:sz="0" w:space="0" w:color="auto"/>
        <w:left w:val="none" w:sz="0" w:space="0" w:color="auto"/>
        <w:bottom w:val="none" w:sz="0" w:space="0" w:color="auto"/>
        <w:right w:val="none" w:sz="0" w:space="0" w:color="auto"/>
      </w:divBdr>
      <w:divsChild>
        <w:div w:id="513498322">
          <w:marLeft w:val="0"/>
          <w:marRight w:val="0"/>
          <w:marTop w:val="0"/>
          <w:marBottom w:val="0"/>
          <w:divBdr>
            <w:top w:val="none" w:sz="0" w:space="0" w:color="auto"/>
            <w:left w:val="none" w:sz="0" w:space="0" w:color="auto"/>
            <w:bottom w:val="none" w:sz="0" w:space="0" w:color="auto"/>
            <w:right w:val="none" w:sz="0" w:space="0" w:color="auto"/>
          </w:divBdr>
          <w:divsChild>
            <w:div w:id="590820677">
              <w:marLeft w:val="0"/>
              <w:marRight w:val="0"/>
              <w:marTop w:val="0"/>
              <w:marBottom w:val="0"/>
              <w:divBdr>
                <w:top w:val="none" w:sz="0" w:space="0" w:color="auto"/>
                <w:left w:val="none" w:sz="0" w:space="0" w:color="auto"/>
                <w:bottom w:val="none" w:sz="0" w:space="0" w:color="auto"/>
                <w:right w:val="none" w:sz="0" w:space="0" w:color="auto"/>
              </w:divBdr>
              <w:divsChild>
                <w:div w:id="1947694599">
                  <w:marLeft w:val="0"/>
                  <w:marRight w:val="0"/>
                  <w:marTop w:val="0"/>
                  <w:marBottom w:val="0"/>
                  <w:divBdr>
                    <w:top w:val="none" w:sz="0" w:space="0" w:color="auto"/>
                    <w:left w:val="none" w:sz="0" w:space="0" w:color="auto"/>
                    <w:bottom w:val="none" w:sz="0" w:space="0" w:color="auto"/>
                    <w:right w:val="none" w:sz="0" w:space="0" w:color="auto"/>
                  </w:divBdr>
                  <w:divsChild>
                    <w:div w:id="15043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222">
      <w:bodyDiv w:val="1"/>
      <w:marLeft w:val="0"/>
      <w:marRight w:val="0"/>
      <w:marTop w:val="0"/>
      <w:marBottom w:val="0"/>
      <w:divBdr>
        <w:top w:val="none" w:sz="0" w:space="0" w:color="auto"/>
        <w:left w:val="none" w:sz="0" w:space="0" w:color="auto"/>
        <w:bottom w:val="none" w:sz="0" w:space="0" w:color="auto"/>
        <w:right w:val="none" w:sz="0" w:space="0" w:color="auto"/>
      </w:divBdr>
    </w:div>
    <w:div w:id="150760779">
      <w:bodyDiv w:val="1"/>
      <w:marLeft w:val="0"/>
      <w:marRight w:val="0"/>
      <w:marTop w:val="0"/>
      <w:marBottom w:val="0"/>
      <w:divBdr>
        <w:top w:val="none" w:sz="0" w:space="0" w:color="auto"/>
        <w:left w:val="none" w:sz="0" w:space="0" w:color="auto"/>
        <w:bottom w:val="none" w:sz="0" w:space="0" w:color="auto"/>
        <w:right w:val="none" w:sz="0" w:space="0" w:color="auto"/>
      </w:divBdr>
      <w:divsChild>
        <w:div w:id="1903026">
          <w:marLeft w:val="0"/>
          <w:marRight w:val="0"/>
          <w:marTop w:val="0"/>
          <w:marBottom w:val="0"/>
          <w:divBdr>
            <w:top w:val="none" w:sz="0" w:space="0" w:color="auto"/>
            <w:left w:val="none" w:sz="0" w:space="0" w:color="auto"/>
            <w:bottom w:val="none" w:sz="0" w:space="0" w:color="auto"/>
            <w:right w:val="none" w:sz="0" w:space="0" w:color="auto"/>
          </w:divBdr>
        </w:div>
        <w:div w:id="8258117">
          <w:marLeft w:val="0"/>
          <w:marRight w:val="0"/>
          <w:marTop w:val="0"/>
          <w:marBottom w:val="0"/>
          <w:divBdr>
            <w:top w:val="none" w:sz="0" w:space="0" w:color="auto"/>
            <w:left w:val="none" w:sz="0" w:space="0" w:color="auto"/>
            <w:bottom w:val="none" w:sz="0" w:space="0" w:color="auto"/>
            <w:right w:val="none" w:sz="0" w:space="0" w:color="auto"/>
          </w:divBdr>
        </w:div>
        <w:div w:id="12342265">
          <w:marLeft w:val="0"/>
          <w:marRight w:val="0"/>
          <w:marTop w:val="0"/>
          <w:marBottom w:val="0"/>
          <w:divBdr>
            <w:top w:val="none" w:sz="0" w:space="0" w:color="auto"/>
            <w:left w:val="none" w:sz="0" w:space="0" w:color="auto"/>
            <w:bottom w:val="none" w:sz="0" w:space="0" w:color="auto"/>
            <w:right w:val="none" w:sz="0" w:space="0" w:color="auto"/>
          </w:divBdr>
        </w:div>
        <w:div w:id="142282578">
          <w:marLeft w:val="0"/>
          <w:marRight w:val="0"/>
          <w:marTop w:val="0"/>
          <w:marBottom w:val="0"/>
          <w:divBdr>
            <w:top w:val="none" w:sz="0" w:space="0" w:color="auto"/>
            <w:left w:val="none" w:sz="0" w:space="0" w:color="auto"/>
            <w:bottom w:val="none" w:sz="0" w:space="0" w:color="auto"/>
            <w:right w:val="none" w:sz="0" w:space="0" w:color="auto"/>
          </w:divBdr>
        </w:div>
        <w:div w:id="169221134">
          <w:marLeft w:val="0"/>
          <w:marRight w:val="0"/>
          <w:marTop w:val="0"/>
          <w:marBottom w:val="0"/>
          <w:divBdr>
            <w:top w:val="none" w:sz="0" w:space="0" w:color="auto"/>
            <w:left w:val="none" w:sz="0" w:space="0" w:color="auto"/>
            <w:bottom w:val="none" w:sz="0" w:space="0" w:color="auto"/>
            <w:right w:val="none" w:sz="0" w:space="0" w:color="auto"/>
          </w:divBdr>
        </w:div>
        <w:div w:id="221403445">
          <w:marLeft w:val="0"/>
          <w:marRight w:val="0"/>
          <w:marTop w:val="0"/>
          <w:marBottom w:val="0"/>
          <w:divBdr>
            <w:top w:val="none" w:sz="0" w:space="0" w:color="auto"/>
            <w:left w:val="none" w:sz="0" w:space="0" w:color="auto"/>
            <w:bottom w:val="none" w:sz="0" w:space="0" w:color="auto"/>
            <w:right w:val="none" w:sz="0" w:space="0" w:color="auto"/>
          </w:divBdr>
        </w:div>
        <w:div w:id="266350816">
          <w:marLeft w:val="0"/>
          <w:marRight w:val="0"/>
          <w:marTop w:val="0"/>
          <w:marBottom w:val="0"/>
          <w:divBdr>
            <w:top w:val="none" w:sz="0" w:space="0" w:color="auto"/>
            <w:left w:val="none" w:sz="0" w:space="0" w:color="auto"/>
            <w:bottom w:val="none" w:sz="0" w:space="0" w:color="auto"/>
            <w:right w:val="none" w:sz="0" w:space="0" w:color="auto"/>
          </w:divBdr>
        </w:div>
        <w:div w:id="315258087">
          <w:marLeft w:val="0"/>
          <w:marRight w:val="0"/>
          <w:marTop w:val="0"/>
          <w:marBottom w:val="0"/>
          <w:divBdr>
            <w:top w:val="none" w:sz="0" w:space="0" w:color="auto"/>
            <w:left w:val="none" w:sz="0" w:space="0" w:color="auto"/>
            <w:bottom w:val="none" w:sz="0" w:space="0" w:color="auto"/>
            <w:right w:val="none" w:sz="0" w:space="0" w:color="auto"/>
          </w:divBdr>
        </w:div>
        <w:div w:id="355421816">
          <w:marLeft w:val="0"/>
          <w:marRight w:val="0"/>
          <w:marTop w:val="0"/>
          <w:marBottom w:val="0"/>
          <w:divBdr>
            <w:top w:val="none" w:sz="0" w:space="0" w:color="auto"/>
            <w:left w:val="none" w:sz="0" w:space="0" w:color="auto"/>
            <w:bottom w:val="none" w:sz="0" w:space="0" w:color="auto"/>
            <w:right w:val="none" w:sz="0" w:space="0" w:color="auto"/>
          </w:divBdr>
        </w:div>
        <w:div w:id="392312816">
          <w:marLeft w:val="0"/>
          <w:marRight w:val="0"/>
          <w:marTop w:val="0"/>
          <w:marBottom w:val="0"/>
          <w:divBdr>
            <w:top w:val="none" w:sz="0" w:space="0" w:color="auto"/>
            <w:left w:val="none" w:sz="0" w:space="0" w:color="auto"/>
            <w:bottom w:val="none" w:sz="0" w:space="0" w:color="auto"/>
            <w:right w:val="none" w:sz="0" w:space="0" w:color="auto"/>
          </w:divBdr>
        </w:div>
        <w:div w:id="429393018">
          <w:marLeft w:val="0"/>
          <w:marRight w:val="0"/>
          <w:marTop w:val="0"/>
          <w:marBottom w:val="0"/>
          <w:divBdr>
            <w:top w:val="none" w:sz="0" w:space="0" w:color="auto"/>
            <w:left w:val="none" w:sz="0" w:space="0" w:color="auto"/>
            <w:bottom w:val="none" w:sz="0" w:space="0" w:color="auto"/>
            <w:right w:val="none" w:sz="0" w:space="0" w:color="auto"/>
          </w:divBdr>
        </w:div>
        <w:div w:id="456340007">
          <w:marLeft w:val="0"/>
          <w:marRight w:val="0"/>
          <w:marTop w:val="0"/>
          <w:marBottom w:val="0"/>
          <w:divBdr>
            <w:top w:val="none" w:sz="0" w:space="0" w:color="auto"/>
            <w:left w:val="none" w:sz="0" w:space="0" w:color="auto"/>
            <w:bottom w:val="none" w:sz="0" w:space="0" w:color="auto"/>
            <w:right w:val="none" w:sz="0" w:space="0" w:color="auto"/>
          </w:divBdr>
        </w:div>
        <w:div w:id="538905671">
          <w:marLeft w:val="0"/>
          <w:marRight w:val="0"/>
          <w:marTop w:val="0"/>
          <w:marBottom w:val="0"/>
          <w:divBdr>
            <w:top w:val="none" w:sz="0" w:space="0" w:color="auto"/>
            <w:left w:val="none" w:sz="0" w:space="0" w:color="auto"/>
            <w:bottom w:val="none" w:sz="0" w:space="0" w:color="auto"/>
            <w:right w:val="none" w:sz="0" w:space="0" w:color="auto"/>
          </w:divBdr>
        </w:div>
        <w:div w:id="616647094">
          <w:marLeft w:val="0"/>
          <w:marRight w:val="0"/>
          <w:marTop w:val="0"/>
          <w:marBottom w:val="0"/>
          <w:divBdr>
            <w:top w:val="none" w:sz="0" w:space="0" w:color="auto"/>
            <w:left w:val="none" w:sz="0" w:space="0" w:color="auto"/>
            <w:bottom w:val="none" w:sz="0" w:space="0" w:color="auto"/>
            <w:right w:val="none" w:sz="0" w:space="0" w:color="auto"/>
          </w:divBdr>
        </w:div>
        <w:div w:id="662054452">
          <w:marLeft w:val="0"/>
          <w:marRight w:val="0"/>
          <w:marTop w:val="0"/>
          <w:marBottom w:val="0"/>
          <w:divBdr>
            <w:top w:val="none" w:sz="0" w:space="0" w:color="auto"/>
            <w:left w:val="none" w:sz="0" w:space="0" w:color="auto"/>
            <w:bottom w:val="none" w:sz="0" w:space="0" w:color="auto"/>
            <w:right w:val="none" w:sz="0" w:space="0" w:color="auto"/>
          </w:divBdr>
        </w:div>
        <w:div w:id="662315698">
          <w:marLeft w:val="0"/>
          <w:marRight w:val="0"/>
          <w:marTop w:val="0"/>
          <w:marBottom w:val="0"/>
          <w:divBdr>
            <w:top w:val="none" w:sz="0" w:space="0" w:color="auto"/>
            <w:left w:val="none" w:sz="0" w:space="0" w:color="auto"/>
            <w:bottom w:val="none" w:sz="0" w:space="0" w:color="auto"/>
            <w:right w:val="none" w:sz="0" w:space="0" w:color="auto"/>
          </w:divBdr>
        </w:div>
        <w:div w:id="718823519">
          <w:marLeft w:val="0"/>
          <w:marRight w:val="0"/>
          <w:marTop w:val="0"/>
          <w:marBottom w:val="0"/>
          <w:divBdr>
            <w:top w:val="none" w:sz="0" w:space="0" w:color="auto"/>
            <w:left w:val="none" w:sz="0" w:space="0" w:color="auto"/>
            <w:bottom w:val="none" w:sz="0" w:space="0" w:color="auto"/>
            <w:right w:val="none" w:sz="0" w:space="0" w:color="auto"/>
          </w:divBdr>
        </w:div>
        <w:div w:id="840394939">
          <w:marLeft w:val="0"/>
          <w:marRight w:val="0"/>
          <w:marTop w:val="0"/>
          <w:marBottom w:val="0"/>
          <w:divBdr>
            <w:top w:val="none" w:sz="0" w:space="0" w:color="auto"/>
            <w:left w:val="none" w:sz="0" w:space="0" w:color="auto"/>
            <w:bottom w:val="none" w:sz="0" w:space="0" w:color="auto"/>
            <w:right w:val="none" w:sz="0" w:space="0" w:color="auto"/>
          </w:divBdr>
        </w:div>
        <w:div w:id="896475607">
          <w:marLeft w:val="0"/>
          <w:marRight w:val="0"/>
          <w:marTop w:val="0"/>
          <w:marBottom w:val="0"/>
          <w:divBdr>
            <w:top w:val="none" w:sz="0" w:space="0" w:color="auto"/>
            <w:left w:val="none" w:sz="0" w:space="0" w:color="auto"/>
            <w:bottom w:val="none" w:sz="0" w:space="0" w:color="auto"/>
            <w:right w:val="none" w:sz="0" w:space="0" w:color="auto"/>
          </w:divBdr>
        </w:div>
        <w:div w:id="900484067">
          <w:marLeft w:val="0"/>
          <w:marRight w:val="0"/>
          <w:marTop w:val="0"/>
          <w:marBottom w:val="0"/>
          <w:divBdr>
            <w:top w:val="none" w:sz="0" w:space="0" w:color="auto"/>
            <w:left w:val="none" w:sz="0" w:space="0" w:color="auto"/>
            <w:bottom w:val="none" w:sz="0" w:space="0" w:color="auto"/>
            <w:right w:val="none" w:sz="0" w:space="0" w:color="auto"/>
          </w:divBdr>
        </w:div>
        <w:div w:id="917860950">
          <w:marLeft w:val="0"/>
          <w:marRight w:val="0"/>
          <w:marTop w:val="0"/>
          <w:marBottom w:val="0"/>
          <w:divBdr>
            <w:top w:val="none" w:sz="0" w:space="0" w:color="auto"/>
            <w:left w:val="none" w:sz="0" w:space="0" w:color="auto"/>
            <w:bottom w:val="none" w:sz="0" w:space="0" w:color="auto"/>
            <w:right w:val="none" w:sz="0" w:space="0" w:color="auto"/>
          </w:divBdr>
        </w:div>
        <w:div w:id="976377481">
          <w:marLeft w:val="0"/>
          <w:marRight w:val="0"/>
          <w:marTop w:val="0"/>
          <w:marBottom w:val="0"/>
          <w:divBdr>
            <w:top w:val="none" w:sz="0" w:space="0" w:color="auto"/>
            <w:left w:val="none" w:sz="0" w:space="0" w:color="auto"/>
            <w:bottom w:val="none" w:sz="0" w:space="0" w:color="auto"/>
            <w:right w:val="none" w:sz="0" w:space="0" w:color="auto"/>
          </w:divBdr>
        </w:div>
        <w:div w:id="980496233">
          <w:marLeft w:val="0"/>
          <w:marRight w:val="0"/>
          <w:marTop w:val="0"/>
          <w:marBottom w:val="0"/>
          <w:divBdr>
            <w:top w:val="none" w:sz="0" w:space="0" w:color="auto"/>
            <w:left w:val="none" w:sz="0" w:space="0" w:color="auto"/>
            <w:bottom w:val="none" w:sz="0" w:space="0" w:color="auto"/>
            <w:right w:val="none" w:sz="0" w:space="0" w:color="auto"/>
          </w:divBdr>
        </w:div>
        <w:div w:id="1060905602">
          <w:marLeft w:val="0"/>
          <w:marRight w:val="0"/>
          <w:marTop w:val="0"/>
          <w:marBottom w:val="0"/>
          <w:divBdr>
            <w:top w:val="none" w:sz="0" w:space="0" w:color="auto"/>
            <w:left w:val="none" w:sz="0" w:space="0" w:color="auto"/>
            <w:bottom w:val="none" w:sz="0" w:space="0" w:color="auto"/>
            <w:right w:val="none" w:sz="0" w:space="0" w:color="auto"/>
          </w:divBdr>
        </w:div>
        <w:div w:id="1191264842">
          <w:marLeft w:val="0"/>
          <w:marRight w:val="0"/>
          <w:marTop w:val="0"/>
          <w:marBottom w:val="0"/>
          <w:divBdr>
            <w:top w:val="none" w:sz="0" w:space="0" w:color="auto"/>
            <w:left w:val="none" w:sz="0" w:space="0" w:color="auto"/>
            <w:bottom w:val="none" w:sz="0" w:space="0" w:color="auto"/>
            <w:right w:val="none" w:sz="0" w:space="0" w:color="auto"/>
          </w:divBdr>
        </w:div>
        <w:div w:id="1213465163">
          <w:marLeft w:val="0"/>
          <w:marRight w:val="0"/>
          <w:marTop w:val="0"/>
          <w:marBottom w:val="0"/>
          <w:divBdr>
            <w:top w:val="none" w:sz="0" w:space="0" w:color="auto"/>
            <w:left w:val="none" w:sz="0" w:space="0" w:color="auto"/>
            <w:bottom w:val="none" w:sz="0" w:space="0" w:color="auto"/>
            <w:right w:val="none" w:sz="0" w:space="0" w:color="auto"/>
          </w:divBdr>
        </w:div>
        <w:div w:id="1292174698">
          <w:marLeft w:val="0"/>
          <w:marRight w:val="0"/>
          <w:marTop w:val="0"/>
          <w:marBottom w:val="0"/>
          <w:divBdr>
            <w:top w:val="none" w:sz="0" w:space="0" w:color="auto"/>
            <w:left w:val="none" w:sz="0" w:space="0" w:color="auto"/>
            <w:bottom w:val="none" w:sz="0" w:space="0" w:color="auto"/>
            <w:right w:val="none" w:sz="0" w:space="0" w:color="auto"/>
          </w:divBdr>
        </w:div>
        <w:div w:id="1301764890">
          <w:marLeft w:val="0"/>
          <w:marRight w:val="0"/>
          <w:marTop w:val="0"/>
          <w:marBottom w:val="0"/>
          <w:divBdr>
            <w:top w:val="none" w:sz="0" w:space="0" w:color="auto"/>
            <w:left w:val="none" w:sz="0" w:space="0" w:color="auto"/>
            <w:bottom w:val="none" w:sz="0" w:space="0" w:color="auto"/>
            <w:right w:val="none" w:sz="0" w:space="0" w:color="auto"/>
          </w:divBdr>
        </w:div>
        <w:div w:id="1321932253">
          <w:marLeft w:val="0"/>
          <w:marRight w:val="0"/>
          <w:marTop w:val="0"/>
          <w:marBottom w:val="0"/>
          <w:divBdr>
            <w:top w:val="none" w:sz="0" w:space="0" w:color="auto"/>
            <w:left w:val="none" w:sz="0" w:space="0" w:color="auto"/>
            <w:bottom w:val="none" w:sz="0" w:space="0" w:color="auto"/>
            <w:right w:val="none" w:sz="0" w:space="0" w:color="auto"/>
          </w:divBdr>
        </w:div>
        <w:div w:id="1342929757">
          <w:marLeft w:val="0"/>
          <w:marRight w:val="0"/>
          <w:marTop w:val="0"/>
          <w:marBottom w:val="0"/>
          <w:divBdr>
            <w:top w:val="none" w:sz="0" w:space="0" w:color="auto"/>
            <w:left w:val="none" w:sz="0" w:space="0" w:color="auto"/>
            <w:bottom w:val="none" w:sz="0" w:space="0" w:color="auto"/>
            <w:right w:val="none" w:sz="0" w:space="0" w:color="auto"/>
          </w:divBdr>
        </w:div>
        <w:div w:id="1421758274">
          <w:marLeft w:val="0"/>
          <w:marRight w:val="0"/>
          <w:marTop w:val="0"/>
          <w:marBottom w:val="0"/>
          <w:divBdr>
            <w:top w:val="none" w:sz="0" w:space="0" w:color="auto"/>
            <w:left w:val="none" w:sz="0" w:space="0" w:color="auto"/>
            <w:bottom w:val="none" w:sz="0" w:space="0" w:color="auto"/>
            <w:right w:val="none" w:sz="0" w:space="0" w:color="auto"/>
          </w:divBdr>
        </w:div>
        <w:div w:id="1481924028">
          <w:marLeft w:val="0"/>
          <w:marRight w:val="0"/>
          <w:marTop w:val="0"/>
          <w:marBottom w:val="0"/>
          <w:divBdr>
            <w:top w:val="none" w:sz="0" w:space="0" w:color="auto"/>
            <w:left w:val="none" w:sz="0" w:space="0" w:color="auto"/>
            <w:bottom w:val="none" w:sz="0" w:space="0" w:color="auto"/>
            <w:right w:val="none" w:sz="0" w:space="0" w:color="auto"/>
          </w:divBdr>
        </w:div>
        <w:div w:id="1539317853">
          <w:marLeft w:val="0"/>
          <w:marRight w:val="0"/>
          <w:marTop w:val="0"/>
          <w:marBottom w:val="0"/>
          <w:divBdr>
            <w:top w:val="none" w:sz="0" w:space="0" w:color="auto"/>
            <w:left w:val="none" w:sz="0" w:space="0" w:color="auto"/>
            <w:bottom w:val="none" w:sz="0" w:space="0" w:color="auto"/>
            <w:right w:val="none" w:sz="0" w:space="0" w:color="auto"/>
          </w:divBdr>
        </w:div>
        <w:div w:id="1551453489">
          <w:marLeft w:val="0"/>
          <w:marRight w:val="0"/>
          <w:marTop w:val="0"/>
          <w:marBottom w:val="0"/>
          <w:divBdr>
            <w:top w:val="none" w:sz="0" w:space="0" w:color="auto"/>
            <w:left w:val="none" w:sz="0" w:space="0" w:color="auto"/>
            <w:bottom w:val="none" w:sz="0" w:space="0" w:color="auto"/>
            <w:right w:val="none" w:sz="0" w:space="0" w:color="auto"/>
          </w:divBdr>
        </w:div>
        <w:div w:id="1583369932">
          <w:marLeft w:val="0"/>
          <w:marRight w:val="0"/>
          <w:marTop w:val="0"/>
          <w:marBottom w:val="0"/>
          <w:divBdr>
            <w:top w:val="none" w:sz="0" w:space="0" w:color="auto"/>
            <w:left w:val="none" w:sz="0" w:space="0" w:color="auto"/>
            <w:bottom w:val="none" w:sz="0" w:space="0" w:color="auto"/>
            <w:right w:val="none" w:sz="0" w:space="0" w:color="auto"/>
          </w:divBdr>
        </w:div>
        <w:div w:id="1586382003">
          <w:marLeft w:val="0"/>
          <w:marRight w:val="0"/>
          <w:marTop w:val="0"/>
          <w:marBottom w:val="0"/>
          <w:divBdr>
            <w:top w:val="none" w:sz="0" w:space="0" w:color="auto"/>
            <w:left w:val="none" w:sz="0" w:space="0" w:color="auto"/>
            <w:bottom w:val="none" w:sz="0" w:space="0" w:color="auto"/>
            <w:right w:val="none" w:sz="0" w:space="0" w:color="auto"/>
          </w:divBdr>
        </w:div>
        <w:div w:id="1650596978">
          <w:marLeft w:val="0"/>
          <w:marRight w:val="0"/>
          <w:marTop w:val="0"/>
          <w:marBottom w:val="0"/>
          <w:divBdr>
            <w:top w:val="none" w:sz="0" w:space="0" w:color="auto"/>
            <w:left w:val="none" w:sz="0" w:space="0" w:color="auto"/>
            <w:bottom w:val="none" w:sz="0" w:space="0" w:color="auto"/>
            <w:right w:val="none" w:sz="0" w:space="0" w:color="auto"/>
          </w:divBdr>
        </w:div>
        <w:div w:id="1653827561">
          <w:marLeft w:val="0"/>
          <w:marRight w:val="0"/>
          <w:marTop w:val="0"/>
          <w:marBottom w:val="0"/>
          <w:divBdr>
            <w:top w:val="none" w:sz="0" w:space="0" w:color="auto"/>
            <w:left w:val="none" w:sz="0" w:space="0" w:color="auto"/>
            <w:bottom w:val="none" w:sz="0" w:space="0" w:color="auto"/>
            <w:right w:val="none" w:sz="0" w:space="0" w:color="auto"/>
          </w:divBdr>
        </w:div>
        <w:div w:id="1677460092">
          <w:marLeft w:val="0"/>
          <w:marRight w:val="0"/>
          <w:marTop w:val="0"/>
          <w:marBottom w:val="0"/>
          <w:divBdr>
            <w:top w:val="none" w:sz="0" w:space="0" w:color="auto"/>
            <w:left w:val="none" w:sz="0" w:space="0" w:color="auto"/>
            <w:bottom w:val="none" w:sz="0" w:space="0" w:color="auto"/>
            <w:right w:val="none" w:sz="0" w:space="0" w:color="auto"/>
          </w:divBdr>
        </w:div>
        <w:div w:id="1689522788">
          <w:marLeft w:val="0"/>
          <w:marRight w:val="0"/>
          <w:marTop w:val="0"/>
          <w:marBottom w:val="0"/>
          <w:divBdr>
            <w:top w:val="none" w:sz="0" w:space="0" w:color="auto"/>
            <w:left w:val="none" w:sz="0" w:space="0" w:color="auto"/>
            <w:bottom w:val="none" w:sz="0" w:space="0" w:color="auto"/>
            <w:right w:val="none" w:sz="0" w:space="0" w:color="auto"/>
          </w:divBdr>
        </w:div>
        <w:div w:id="1759209359">
          <w:marLeft w:val="0"/>
          <w:marRight w:val="0"/>
          <w:marTop w:val="0"/>
          <w:marBottom w:val="0"/>
          <w:divBdr>
            <w:top w:val="none" w:sz="0" w:space="0" w:color="auto"/>
            <w:left w:val="none" w:sz="0" w:space="0" w:color="auto"/>
            <w:bottom w:val="none" w:sz="0" w:space="0" w:color="auto"/>
            <w:right w:val="none" w:sz="0" w:space="0" w:color="auto"/>
          </w:divBdr>
        </w:div>
        <w:div w:id="1770809481">
          <w:marLeft w:val="0"/>
          <w:marRight w:val="0"/>
          <w:marTop w:val="0"/>
          <w:marBottom w:val="0"/>
          <w:divBdr>
            <w:top w:val="none" w:sz="0" w:space="0" w:color="auto"/>
            <w:left w:val="none" w:sz="0" w:space="0" w:color="auto"/>
            <w:bottom w:val="none" w:sz="0" w:space="0" w:color="auto"/>
            <w:right w:val="none" w:sz="0" w:space="0" w:color="auto"/>
          </w:divBdr>
        </w:div>
        <w:div w:id="1810902189">
          <w:marLeft w:val="0"/>
          <w:marRight w:val="0"/>
          <w:marTop w:val="0"/>
          <w:marBottom w:val="0"/>
          <w:divBdr>
            <w:top w:val="none" w:sz="0" w:space="0" w:color="auto"/>
            <w:left w:val="none" w:sz="0" w:space="0" w:color="auto"/>
            <w:bottom w:val="none" w:sz="0" w:space="0" w:color="auto"/>
            <w:right w:val="none" w:sz="0" w:space="0" w:color="auto"/>
          </w:divBdr>
        </w:div>
        <w:div w:id="1811053596">
          <w:marLeft w:val="0"/>
          <w:marRight w:val="0"/>
          <w:marTop w:val="0"/>
          <w:marBottom w:val="0"/>
          <w:divBdr>
            <w:top w:val="none" w:sz="0" w:space="0" w:color="auto"/>
            <w:left w:val="none" w:sz="0" w:space="0" w:color="auto"/>
            <w:bottom w:val="none" w:sz="0" w:space="0" w:color="auto"/>
            <w:right w:val="none" w:sz="0" w:space="0" w:color="auto"/>
          </w:divBdr>
        </w:div>
        <w:div w:id="1816868390">
          <w:marLeft w:val="0"/>
          <w:marRight w:val="0"/>
          <w:marTop w:val="0"/>
          <w:marBottom w:val="0"/>
          <w:divBdr>
            <w:top w:val="none" w:sz="0" w:space="0" w:color="auto"/>
            <w:left w:val="none" w:sz="0" w:space="0" w:color="auto"/>
            <w:bottom w:val="none" w:sz="0" w:space="0" w:color="auto"/>
            <w:right w:val="none" w:sz="0" w:space="0" w:color="auto"/>
          </w:divBdr>
        </w:div>
        <w:div w:id="1884709507">
          <w:marLeft w:val="0"/>
          <w:marRight w:val="0"/>
          <w:marTop w:val="0"/>
          <w:marBottom w:val="0"/>
          <w:divBdr>
            <w:top w:val="none" w:sz="0" w:space="0" w:color="auto"/>
            <w:left w:val="none" w:sz="0" w:space="0" w:color="auto"/>
            <w:bottom w:val="none" w:sz="0" w:space="0" w:color="auto"/>
            <w:right w:val="none" w:sz="0" w:space="0" w:color="auto"/>
          </w:divBdr>
        </w:div>
        <w:div w:id="1901133998">
          <w:marLeft w:val="0"/>
          <w:marRight w:val="0"/>
          <w:marTop w:val="0"/>
          <w:marBottom w:val="0"/>
          <w:divBdr>
            <w:top w:val="none" w:sz="0" w:space="0" w:color="auto"/>
            <w:left w:val="none" w:sz="0" w:space="0" w:color="auto"/>
            <w:bottom w:val="none" w:sz="0" w:space="0" w:color="auto"/>
            <w:right w:val="none" w:sz="0" w:space="0" w:color="auto"/>
          </w:divBdr>
        </w:div>
        <w:div w:id="1913810845">
          <w:marLeft w:val="0"/>
          <w:marRight w:val="0"/>
          <w:marTop w:val="0"/>
          <w:marBottom w:val="0"/>
          <w:divBdr>
            <w:top w:val="none" w:sz="0" w:space="0" w:color="auto"/>
            <w:left w:val="none" w:sz="0" w:space="0" w:color="auto"/>
            <w:bottom w:val="none" w:sz="0" w:space="0" w:color="auto"/>
            <w:right w:val="none" w:sz="0" w:space="0" w:color="auto"/>
          </w:divBdr>
        </w:div>
        <w:div w:id="1938977546">
          <w:marLeft w:val="0"/>
          <w:marRight w:val="0"/>
          <w:marTop w:val="0"/>
          <w:marBottom w:val="0"/>
          <w:divBdr>
            <w:top w:val="none" w:sz="0" w:space="0" w:color="auto"/>
            <w:left w:val="none" w:sz="0" w:space="0" w:color="auto"/>
            <w:bottom w:val="none" w:sz="0" w:space="0" w:color="auto"/>
            <w:right w:val="none" w:sz="0" w:space="0" w:color="auto"/>
          </w:divBdr>
        </w:div>
        <w:div w:id="1963727330">
          <w:marLeft w:val="0"/>
          <w:marRight w:val="0"/>
          <w:marTop w:val="0"/>
          <w:marBottom w:val="0"/>
          <w:divBdr>
            <w:top w:val="none" w:sz="0" w:space="0" w:color="auto"/>
            <w:left w:val="none" w:sz="0" w:space="0" w:color="auto"/>
            <w:bottom w:val="none" w:sz="0" w:space="0" w:color="auto"/>
            <w:right w:val="none" w:sz="0" w:space="0" w:color="auto"/>
          </w:divBdr>
        </w:div>
        <w:div w:id="1974283693">
          <w:marLeft w:val="0"/>
          <w:marRight w:val="0"/>
          <w:marTop w:val="0"/>
          <w:marBottom w:val="0"/>
          <w:divBdr>
            <w:top w:val="none" w:sz="0" w:space="0" w:color="auto"/>
            <w:left w:val="none" w:sz="0" w:space="0" w:color="auto"/>
            <w:bottom w:val="none" w:sz="0" w:space="0" w:color="auto"/>
            <w:right w:val="none" w:sz="0" w:space="0" w:color="auto"/>
          </w:divBdr>
        </w:div>
        <w:div w:id="2004971083">
          <w:marLeft w:val="0"/>
          <w:marRight w:val="0"/>
          <w:marTop w:val="0"/>
          <w:marBottom w:val="0"/>
          <w:divBdr>
            <w:top w:val="none" w:sz="0" w:space="0" w:color="auto"/>
            <w:left w:val="none" w:sz="0" w:space="0" w:color="auto"/>
            <w:bottom w:val="none" w:sz="0" w:space="0" w:color="auto"/>
            <w:right w:val="none" w:sz="0" w:space="0" w:color="auto"/>
          </w:divBdr>
        </w:div>
        <w:div w:id="2081979848">
          <w:marLeft w:val="0"/>
          <w:marRight w:val="0"/>
          <w:marTop w:val="0"/>
          <w:marBottom w:val="0"/>
          <w:divBdr>
            <w:top w:val="none" w:sz="0" w:space="0" w:color="auto"/>
            <w:left w:val="none" w:sz="0" w:space="0" w:color="auto"/>
            <w:bottom w:val="none" w:sz="0" w:space="0" w:color="auto"/>
            <w:right w:val="none" w:sz="0" w:space="0" w:color="auto"/>
          </w:divBdr>
        </w:div>
        <w:div w:id="2082554588">
          <w:marLeft w:val="0"/>
          <w:marRight w:val="0"/>
          <w:marTop w:val="0"/>
          <w:marBottom w:val="0"/>
          <w:divBdr>
            <w:top w:val="none" w:sz="0" w:space="0" w:color="auto"/>
            <w:left w:val="none" w:sz="0" w:space="0" w:color="auto"/>
            <w:bottom w:val="none" w:sz="0" w:space="0" w:color="auto"/>
            <w:right w:val="none" w:sz="0" w:space="0" w:color="auto"/>
          </w:divBdr>
        </w:div>
        <w:div w:id="2086413383">
          <w:marLeft w:val="0"/>
          <w:marRight w:val="0"/>
          <w:marTop w:val="0"/>
          <w:marBottom w:val="0"/>
          <w:divBdr>
            <w:top w:val="none" w:sz="0" w:space="0" w:color="auto"/>
            <w:left w:val="none" w:sz="0" w:space="0" w:color="auto"/>
            <w:bottom w:val="none" w:sz="0" w:space="0" w:color="auto"/>
            <w:right w:val="none" w:sz="0" w:space="0" w:color="auto"/>
          </w:divBdr>
        </w:div>
        <w:div w:id="2109612767">
          <w:marLeft w:val="0"/>
          <w:marRight w:val="0"/>
          <w:marTop w:val="0"/>
          <w:marBottom w:val="0"/>
          <w:divBdr>
            <w:top w:val="none" w:sz="0" w:space="0" w:color="auto"/>
            <w:left w:val="none" w:sz="0" w:space="0" w:color="auto"/>
            <w:bottom w:val="none" w:sz="0" w:space="0" w:color="auto"/>
            <w:right w:val="none" w:sz="0" w:space="0" w:color="auto"/>
          </w:divBdr>
        </w:div>
        <w:div w:id="2131971908">
          <w:marLeft w:val="0"/>
          <w:marRight w:val="0"/>
          <w:marTop w:val="0"/>
          <w:marBottom w:val="0"/>
          <w:divBdr>
            <w:top w:val="none" w:sz="0" w:space="0" w:color="auto"/>
            <w:left w:val="none" w:sz="0" w:space="0" w:color="auto"/>
            <w:bottom w:val="none" w:sz="0" w:space="0" w:color="auto"/>
            <w:right w:val="none" w:sz="0" w:space="0" w:color="auto"/>
          </w:divBdr>
        </w:div>
      </w:divsChild>
    </w:div>
    <w:div w:id="587351222">
      <w:bodyDiv w:val="1"/>
      <w:marLeft w:val="0"/>
      <w:marRight w:val="0"/>
      <w:marTop w:val="0"/>
      <w:marBottom w:val="0"/>
      <w:divBdr>
        <w:top w:val="none" w:sz="0" w:space="0" w:color="auto"/>
        <w:left w:val="none" w:sz="0" w:space="0" w:color="auto"/>
        <w:bottom w:val="none" w:sz="0" w:space="0" w:color="auto"/>
        <w:right w:val="none" w:sz="0" w:space="0" w:color="auto"/>
      </w:divBdr>
    </w:div>
    <w:div w:id="612900847">
      <w:bodyDiv w:val="1"/>
      <w:marLeft w:val="0"/>
      <w:marRight w:val="0"/>
      <w:marTop w:val="0"/>
      <w:marBottom w:val="0"/>
      <w:divBdr>
        <w:top w:val="none" w:sz="0" w:space="0" w:color="auto"/>
        <w:left w:val="none" w:sz="0" w:space="0" w:color="auto"/>
        <w:bottom w:val="none" w:sz="0" w:space="0" w:color="auto"/>
        <w:right w:val="none" w:sz="0" w:space="0" w:color="auto"/>
      </w:divBdr>
    </w:div>
    <w:div w:id="833380500">
      <w:bodyDiv w:val="1"/>
      <w:marLeft w:val="0"/>
      <w:marRight w:val="0"/>
      <w:marTop w:val="0"/>
      <w:marBottom w:val="0"/>
      <w:divBdr>
        <w:top w:val="none" w:sz="0" w:space="0" w:color="auto"/>
        <w:left w:val="none" w:sz="0" w:space="0" w:color="auto"/>
        <w:bottom w:val="none" w:sz="0" w:space="0" w:color="auto"/>
        <w:right w:val="none" w:sz="0" w:space="0" w:color="auto"/>
      </w:divBdr>
    </w:div>
    <w:div w:id="1245214694">
      <w:bodyDiv w:val="1"/>
      <w:marLeft w:val="0"/>
      <w:marRight w:val="0"/>
      <w:marTop w:val="0"/>
      <w:marBottom w:val="0"/>
      <w:divBdr>
        <w:top w:val="none" w:sz="0" w:space="0" w:color="auto"/>
        <w:left w:val="none" w:sz="0" w:space="0" w:color="auto"/>
        <w:bottom w:val="none" w:sz="0" w:space="0" w:color="auto"/>
        <w:right w:val="none" w:sz="0" w:space="0" w:color="auto"/>
      </w:divBdr>
    </w:div>
    <w:div w:id="1519854438">
      <w:bodyDiv w:val="1"/>
      <w:marLeft w:val="0"/>
      <w:marRight w:val="0"/>
      <w:marTop w:val="0"/>
      <w:marBottom w:val="0"/>
      <w:divBdr>
        <w:top w:val="none" w:sz="0" w:space="0" w:color="auto"/>
        <w:left w:val="none" w:sz="0" w:space="0" w:color="auto"/>
        <w:bottom w:val="none" w:sz="0" w:space="0" w:color="auto"/>
        <w:right w:val="none" w:sz="0" w:space="0" w:color="auto"/>
      </w:divBdr>
    </w:div>
    <w:div w:id="1563710985">
      <w:bodyDiv w:val="1"/>
      <w:marLeft w:val="0"/>
      <w:marRight w:val="0"/>
      <w:marTop w:val="0"/>
      <w:marBottom w:val="0"/>
      <w:divBdr>
        <w:top w:val="none" w:sz="0" w:space="0" w:color="auto"/>
        <w:left w:val="none" w:sz="0" w:space="0" w:color="auto"/>
        <w:bottom w:val="none" w:sz="0" w:space="0" w:color="auto"/>
        <w:right w:val="none" w:sz="0" w:space="0" w:color="auto"/>
      </w:divBdr>
    </w:div>
    <w:div w:id="1708293832">
      <w:bodyDiv w:val="1"/>
      <w:marLeft w:val="0"/>
      <w:marRight w:val="0"/>
      <w:marTop w:val="0"/>
      <w:marBottom w:val="0"/>
      <w:divBdr>
        <w:top w:val="none" w:sz="0" w:space="0" w:color="auto"/>
        <w:left w:val="none" w:sz="0" w:space="0" w:color="auto"/>
        <w:bottom w:val="none" w:sz="0" w:space="0" w:color="auto"/>
        <w:right w:val="none" w:sz="0" w:space="0" w:color="auto"/>
      </w:divBdr>
    </w:div>
    <w:div w:id="1771926422">
      <w:bodyDiv w:val="1"/>
      <w:marLeft w:val="0"/>
      <w:marRight w:val="0"/>
      <w:marTop w:val="0"/>
      <w:marBottom w:val="0"/>
      <w:divBdr>
        <w:top w:val="none" w:sz="0" w:space="0" w:color="auto"/>
        <w:left w:val="none" w:sz="0" w:space="0" w:color="auto"/>
        <w:bottom w:val="none" w:sz="0" w:space="0" w:color="auto"/>
        <w:right w:val="none" w:sz="0" w:space="0" w:color="auto"/>
      </w:divBdr>
    </w:div>
    <w:div w:id="1888837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com.fi/post_type_project/peg/" TargetMode="External"/><Relationship Id="rId3" Type="http://schemas.openxmlformats.org/officeDocument/2006/relationships/styles" Target="styles.xml"/><Relationship Id="rId7" Type="http://schemas.openxmlformats.org/officeDocument/2006/relationships/hyperlink" Target="http://www.nordicmicroalga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70A00-E41D-4872-9A76-9350B40DE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23964</TotalTime>
  <Pages>5</Pages>
  <Words>3989</Words>
  <Characters>21943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Oviedo</dc:creator>
  <cp:keywords/>
  <dc:description/>
  <cp:lastModifiedBy>Taillandier</cp:lastModifiedBy>
  <cp:revision>8</cp:revision>
  <dcterms:created xsi:type="dcterms:W3CDTF">2018-01-01T00:23:00Z</dcterms:created>
  <dcterms:modified xsi:type="dcterms:W3CDTF">2020-01-13T11:05:00Z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id="FJmRnTw9"/&gt;&lt;style id="http://www.zotero.org/styles/chicago-author-date" locale="fr-FR"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