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07 – O DER dos filmes da Sakila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07 · Modelo entidade-relacionamento, cardinalidade e DER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Esta prática foi proposta para você transformar regras escritas em um Diagrama Entidade-Relacionamento (DER), como o técnico faz antes de criar as tabelas de um banco. Ao final, espera-se que você construa um DER com entidades, atributos, relacionamentos e cardinalidades corretas e que justifique cada cardinalidade a partir das regras.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de acordo com o plano de aula, você vai elaborar no draw.io, com a biblioteca Entity Relation e a notação de Peter Chen, o DER de uma parte do banco Sakila e justificar as cardinalidades escolhidas.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Instruções da atividade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A Sakila é o banco de exemplo oficial do MySQL, que você vai usar nas aulas de SQL. Ela guarda os dados de uma rede de locadoras de filmes. Antes de usar um banco, o técnico precisa entender o modelo dele. A sua tarefa é desenhar o DER conceitual da parte de filmes a partir das regras abaixo, tiradas da documentação oficial.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8928"/>
      </w:tblGrid>
      <w:tr>
        <w:trPr>
          <w:cantSplit/>
          <w:tblHeader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Regra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que a documentação da Sakila diz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filme tem um código, um título e um ano de lançamento.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ator tem um código, um nome e um sobrenome.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idioma tem um código e um nome. A base tem 6 idiomas.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Cada filme é falado em um idioma. Na base, os 1.000 filmes estão em inglês, e os outros 5 idiomas ainda não têm filme.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89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Um filme pode ter vários atores, e um ator pode atuar em vários filmes. Na base, 3 filmes ainda não têm ator cadastrado, e todos os 200 atores têm pelo menos um filme.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No draw.io, desenhe as entidades, os atributos (com o identificador sublinhado), os relacionamentos com um verbo no losango e a cardinalidade (mínima, máxima) ao lado de cada entidade, como no livro. Salve como pratica-07.drawio. Depois, preencha neste documento o quadro de leitura: leia cada relacionamento nos dois sentidos e indique a regra que justifica a cardinalidade.</w:t>
      </w:r>
    </w:p>
    <w:p>
      <w:pPr>
        <w:keepNext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Quadro de leitura dos relacionamentos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60"/>
        <w:gridCol w:w="6048"/>
        <w:gridCol w:w="1872"/>
      </w:tblGrid>
      <w:tr>
        <w:trPr>
          <w:cantSplit/>
          <w:tblHeader/>
        </w:trPr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Relacionamento</w:t>
            </w:r>
          </w:p>
        </w:tc>
        <w:tc>
          <w:tcPr>
            <w:tcW w:type="dxa" w:w="60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Leitura nos dois sentidos, com a cardinalidade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Regra que justifica</w:t>
            </w:r>
          </w:p>
        </w:tc>
      </w:tr>
      <w:tr>
        <w:trPr>
          <w:cantSplit/>
          <w:trHeight w:val="1584"/>
        </w:trPr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Filme e Idioma</w:t>
            </w:r>
          </w:p>
        </w:tc>
        <w:tc>
          <w:tcPr>
            <w:tcW w:type="dxa" w:w="60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1584"/>
        </w:trPr>
        <w:tc>
          <w:tcPr>
            <w:tcW w:type="dxa" w:w="216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Filme e Ator</w:t>
            </w:r>
          </w:p>
        </w:tc>
        <w:tc>
          <w:tcPr>
            <w:tcW w:type="dxa" w:w="604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Depois de preencher o quadro, salve este documento com o nome pratica-07.docx.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Abra no VS Code a pasta do seu repositório UC03_Banco_de_Dados. Se a pasta Banco ainda não existir, crie a pasta Banco. Dentro de Banco, crie a pasta pratica-07.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Coloque pratica-07.docx e pratica-07.drawio dentro da pasta Banco/pratica-07.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 do VS Code, digite um comando por vez: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"docs: adiciona pratica 07"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abra a pasta Banco e depois a pasta pratica-07. Copie o link da barra de endereço do navegador.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6.</w:t>
        <w:tab/>
      </w:r>
      <w:r>
        <w:rPr>
          <w:rFonts w:ascii="Arial" w:hAnsi="Arial" w:cs="Arial" w:eastAsia="Arial"/>
          <w:b w:val="0"/>
          <w:color w:val="303030"/>
          <w:sz w:val="24"/>
        </w:rPr>
        <w:t>No Google Sala de Aula, abra a atividade da aula 07, clique em Adicionar ou criar, escolha Link, cole o link e clique em Entregar.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O link da pasta Banco/pratica-07 foi entregue no Google Sala de Aula dentro do prazo, com os arquivos pratica-07.drawio e pratica-07.docx.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O DER tem as três entidades e os atributos das regras, com o identificador de cada entidade sublinhado.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Os dois relacionamentos estão em losangos, cada um com um verbo, ligando as entidades certas.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A cardinalidade (mínima, máxima) está correta ao lado de cada entidade e o quadro de leitura justifica cada uma com a regra.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O commit segue o padrão Conventional Commits, por exemplo: docs: adiciona pratica 07.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