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EA281" w14:textId="4E5A573C" w:rsidR="00AD29C5" w:rsidRDefault="004803EE">
      <w:r>
        <w:t>Prova paulista 2025</w:t>
      </w:r>
    </w:p>
    <w:p w14:paraId="4E7E3C07" w14:textId="3469D091" w:rsidR="004803EE" w:rsidRDefault="004803EE">
      <w:r>
        <w:t>Redação IA:</w:t>
      </w:r>
    </w:p>
    <w:p w14:paraId="3D3935E0" w14:textId="77777777" w:rsidR="004803EE" w:rsidRPr="004803EE" w:rsidRDefault="004803EE" w:rsidP="004803EE">
      <w:pPr>
        <w:rPr>
          <w:i/>
          <w:iCs/>
          <w:sz w:val="16"/>
          <w:szCs w:val="16"/>
        </w:rPr>
      </w:pPr>
      <w:r w:rsidRPr="004803EE">
        <w:rPr>
          <w:i/>
          <w:iCs/>
          <w:sz w:val="16"/>
          <w:szCs w:val="16"/>
        </w:rPr>
        <w:t>A crescente presença das redes sociais no cotidiano dos adolescentes configura um dos fenômenos mais marcantes da contemporaneidade. Embora essas plataformas possibilitem interação, acesso à informação e expressão individual, seu uso descontrolado pode acarretar prejuízos significativos à saúde mental. Nesse contexto, torna-se essencial compreender como os jovens podem utilizar esses meios de forma equilibrada, preservando seu bem-estar psicológico e emocional.</w:t>
      </w:r>
    </w:p>
    <w:p w14:paraId="56D4AF5C" w14:textId="77777777" w:rsidR="004803EE" w:rsidRPr="004803EE" w:rsidRDefault="004803EE" w:rsidP="004803EE">
      <w:pPr>
        <w:rPr>
          <w:i/>
          <w:iCs/>
          <w:sz w:val="16"/>
          <w:szCs w:val="16"/>
        </w:rPr>
      </w:pPr>
      <w:r w:rsidRPr="004803EE">
        <w:rPr>
          <w:i/>
          <w:iCs/>
          <w:sz w:val="16"/>
          <w:szCs w:val="16"/>
        </w:rPr>
        <w:t>Em primeiro lugar, é importante destacar que o uso excessivo das redes sociais pode intensificar sentimentos de ansiedade, baixa autoestima e comparação social. Isso ocorre, em grande parte, devido à exposição constante a padrões idealizados de vida, corpo e sucesso, frequentemente irreais. Sob essa lógica, a teoria da “sociedade do espetáculo”, proposta por Guy Debord, evidencia como a valorização da aparência em detrimento da essência contribui para a alienação dos indivíduos. Assim, adolescentes, ainda em fase de formação identitária, tornam-se mais vulneráveis a esses impactos, o que reforça a necessidade de um uso consciente e crítico dessas plataformas.</w:t>
      </w:r>
    </w:p>
    <w:p w14:paraId="38584639" w14:textId="77777777" w:rsidR="004803EE" w:rsidRPr="004803EE" w:rsidRDefault="004803EE" w:rsidP="004803EE">
      <w:pPr>
        <w:rPr>
          <w:i/>
          <w:iCs/>
          <w:sz w:val="16"/>
          <w:szCs w:val="16"/>
        </w:rPr>
      </w:pPr>
      <w:r w:rsidRPr="004803EE">
        <w:rPr>
          <w:i/>
          <w:iCs/>
          <w:sz w:val="16"/>
          <w:szCs w:val="16"/>
        </w:rPr>
        <w:t>Além disso, a falta de limites no tempo de uso agrava problemas relacionados ao sono, à concentração e ao convívio social. Estudos na área da psicologia apontam que a exposição prolongada a telas, especialmente antes de dormir, interfere na qualidade do descanso, o que impacta diretamente o equilíbrio emocional. Dessa forma, torna-se evidente que a moderação no uso das redes sociais não é apenas recomendável, mas fundamental para a manutenção da saúde mental dos jovens.</w:t>
      </w:r>
    </w:p>
    <w:p w14:paraId="2D8ABE77" w14:textId="77777777" w:rsidR="004803EE" w:rsidRPr="004803EE" w:rsidRDefault="004803EE" w:rsidP="004803EE">
      <w:pPr>
        <w:rPr>
          <w:i/>
          <w:iCs/>
          <w:sz w:val="16"/>
          <w:szCs w:val="16"/>
        </w:rPr>
      </w:pPr>
      <w:r w:rsidRPr="004803EE">
        <w:rPr>
          <w:i/>
          <w:iCs/>
          <w:sz w:val="16"/>
          <w:szCs w:val="16"/>
        </w:rPr>
        <w:t>Por outro lado, é possível utilizar as redes sociais de maneira positiva e benéfica. Quando usadas com propósito, essas ferramentas podem servir como espaços de aprendizado, apoio emocional e mobilização social. Comunidades virtuais voltadas ao bem-estar, por exemplo, oferecem acolhimento e informação, contribuindo para a construção de uma relação mais saudável com o ambiente digital. Portanto, o problema não reside nas redes em si, mas na forma como são utilizadas.</w:t>
      </w:r>
    </w:p>
    <w:p w14:paraId="3EB9B931" w14:textId="77777777" w:rsidR="004803EE" w:rsidRPr="004803EE" w:rsidRDefault="004803EE" w:rsidP="004803EE">
      <w:pPr>
        <w:rPr>
          <w:i/>
          <w:iCs/>
          <w:sz w:val="16"/>
          <w:szCs w:val="16"/>
        </w:rPr>
      </w:pPr>
      <w:r w:rsidRPr="004803EE">
        <w:rPr>
          <w:i/>
          <w:iCs/>
          <w:sz w:val="16"/>
          <w:szCs w:val="16"/>
        </w:rPr>
        <w:t>Diante disso, faz-se necessária a implementação de medidas que promovam o uso consciente das redes sociais entre adolescentes. Cabe às instituições escolares, em parceria com as famílias, desenvolver programas de educação digital que orientem sobre os riscos e benefícios dessas plataformas. Essa ação pode ser realizada por meio de palestras, oficinas e inclusão do tema no currículo escolar, com o objetivo de conscientizar os jovens sobre hábitos saudáveis no ambiente virtual. Como efeito esperado, haverá a formação de indivíduos mais críticos, capazes de estabelecer limites e preservar sua saúde mental.</w:t>
      </w:r>
    </w:p>
    <w:p w14:paraId="76025E18" w14:textId="77777777" w:rsidR="004803EE" w:rsidRPr="004803EE" w:rsidRDefault="004803EE" w:rsidP="004803EE">
      <w:pPr>
        <w:rPr>
          <w:i/>
          <w:iCs/>
          <w:sz w:val="16"/>
          <w:szCs w:val="16"/>
        </w:rPr>
      </w:pPr>
      <w:r w:rsidRPr="004803EE">
        <w:rPr>
          <w:i/>
          <w:iCs/>
          <w:sz w:val="16"/>
          <w:szCs w:val="16"/>
        </w:rPr>
        <w:t>Em suma, o uso equilibrado das redes sociais é essencial para evitar prejuízos psicológicos entre adolescentes. Por meio da conscientização, da educação digital e da adoção de hábitos saudáveis, é possível transformar essas ferramentas em aliadas, e não em fontes de sofrimento.</w:t>
      </w:r>
    </w:p>
    <w:p w14:paraId="543D86D3" w14:textId="56B07496" w:rsidR="004803EE" w:rsidRDefault="004803EE" w:rsidP="004803EE">
      <w:r>
        <w:t>Prova paulista 202</w:t>
      </w:r>
      <w:r>
        <w:t>4</w:t>
      </w:r>
    </w:p>
    <w:p w14:paraId="576A20F2" w14:textId="77777777" w:rsidR="004803EE" w:rsidRDefault="004803EE" w:rsidP="004803EE">
      <w:r>
        <w:t>Redação IA:</w:t>
      </w:r>
    </w:p>
    <w:p w14:paraId="5FB78EBF" w14:textId="77777777" w:rsidR="00B81E4A" w:rsidRPr="00B81E4A" w:rsidRDefault="00B81E4A" w:rsidP="00B81E4A">
      <w:pPr>
        <w:rPr>
          <w:i/>
          <w:iCs/>
          <w:sz w:val="16"/>
          <w:szCs w:val="16"/>
        </w:rPr>
      </w:pPr>
      <w:r w:rsidRPr="00B81E4A">
        <w:rPr>
          <w:i/>
          <w:iCs/>
          <w:sz w:val="16"/>
          <w:szCs w:val="16"/>
        </w:rPr>
        <w:t>A intensificação da urbanização nas grandes cidades tem evidenciado transformações significativas no espaço urbano, entre elas a gentrificação. Esse processo, caracterizado pela valorização de áreas antes ocupadas por populações de baixa renda e sua consequente substituição por grupos com maior poder aquisitivo, revela contradições profundas no desenvolvimento urbano contemporâneo. Nesse contexto, torna-se imprescindível analisar os impactos da gentrificação e discutir formas de mitigar seus efeitos sociais negativos.</w:t>
      </w:r>
    </w:p>
    <w:p w14:paraId="1FEC2EC6" w14:textId="77777777" w:rsidR="00B81E4A" w:rsidRPr="00B81E4A" w:rsidRDefault="00B81E4A" w:rsidP="00B81E4A">
      <w:pPr>
        <w:rPr>
          <w:i/>
          <w:iCs/>
          <w:sz w:val="16"/>
          <w:szCs w:val="16"/>
        </w:rPr>
      </w:pPr>
      <w:r w:rsidRPr="00B81E4A">
        <w:rPr>
          <w:i/>
          <w:iCs/>
          <w:sz w:val="16"/>
          <w:szCs w:val="16"/>
        </w:rPr>
        <w:t xml:space="preserve">Em primeira análise, a gentrificação está diretamente relacionada à lógica capitalista de valorização do espaço urbano. A partir de investimentos públicos e privados em infraestrutura, cultura e serviços, regiões antes marginalizadas passam a atrair novos moradores e </w:t>
      </w:r>
      <w:proofErr w:type="spellStart"/>
      <w:r w:rsidRPr="00B81E4A">
        <w:rPr>
          <w:i/>
          <w:iCs/>
          <w:sz w:val="16"/>
          <w:szCs w:val="16"/>
        </w:rPr>
        <w:t>empreendimentos</w:t>
      </w:r>
      <w:proofErr w:type="spellEnd"/>
      <w:r w:rsidRPr="00B81E4A">
        <w:rPr>
          <w:i/>
          <w:iCs/>
          <w:sz w:val="16"/>
          <w:szCs w:val="16"/>
        </w:rPr>
        <w:t>. Contudo, esse processo frequentemente resulta no aumento do custo de vida local, inviabilizando a permanência dos antigos residentes. Tal dinâmica pode ser compreendida à luz do pensamento do geógrafo David Harvey, que aponta como o capital molda o espaço urbano de acordo com interesses econômicos, muitas vezes em detrimento do direito à cidade das populações mais vulneráveis.</w:t>
      </w:r>
    </w:p>
    <w:p w14:paraId="42CB1F4C" w14:textId="77777777" w:rsidR="00B81E4A" w:rsidRPr="00B81E4A" w:rsidRDefault="00B81E4A" w:rsidP="00B81E4A">
      <w:pPr>
        <w:rPr>
          <w:i/>
          <w:iCs/>
          <w:sz w:val="16"/>
          <w:szCs w:val="16"/>
        </w:rPr>
      </w:pPr>
      <w:r w:rsidRPr="00B81E4A">
        <w:rPr>
          <w:i/>
          <w:iCs/>
          <w:sz w:val="16"/>
          <w:szCs w:val="16"/>
        </w:rPr>
        <w:t xml:space="preserve">Além disso, a substituição da população original acarreta a perda de identidades culturais e laços comunitários historicamente construídos. Bairros que antes possuíam características próprias passam a ser padronizados para atender às demandas de novos moradores e turistas, o que enfraquece a diversidade sociocultural. Esse fenômeno pode ser associado ao conceito de “modernidade líquida”, de Zygmunt </w:t>
      </w:r>
      <w:proofErr w:type="spellStart"/>
      <w:r w:rsidRPr="00B81E4A">
        <w:rPr>
          <w:i/>
          <w:iCs/>
          <w:sz w:val="16"/>
          <w:szCs w:val="16"/>
        </w:rPr>
        <w:t>Bauman</w:t>
      </w:r>
      <w:proofErr w:type="spellEnd"/>
      <w:r w:rsidRPr="00B81E4A">
        <w:rPr>
          <w:i/>
          <w:iCs/>
          <w:sz w:val="16"/>
          <w:szCs w:val="16"/>
        </w:rPr>
        <w:t>, no qual relações e tradições tornam-se cada vez mais frágeis e descartáveis diante das transformações rápidas da sociedade contemporânea.</w:t>
      </w:r>
    </w:p>
    <w:p w14:paraId="057C7763" w14:textId="77777777" w:rsidR="00B81E4A" w:rsidRPr="00B81E4A" w:rsidRDefault="00B81E4A" w:rsidP="00B81E4A">
      <w:pPr>
        <w:rPr>
          <w:i/>
          <w:iCs/>
          <w:sz w:val="16"/>
          <w:szCs w:val="16"/>
        </w:rPr>
      </w:pPr>
      <w:r w:rsidRPr="00B81E4A">
        <w:rPr>
          <w:i/>
          <w:iCs/>
          <w:sz w:val="16"/>
          <w:szCs w:val="16"/>
        </w:rPr>
        <w:t xml:space="preserve">Por outro lado, é necessário reconhecer que a requalificação urbana pode trazer benefícios, como melhoria na infraestrutura, aumento da segurança e maior oferta de serviços. Entretanto, tais avanços não devem ocorrer à custa da </w:t>
      </w:r>
      <w:r w:rsidRPr="00B81E4A">
        <w:rPr>
          <w:i/>
          <w:iCs/>
          <w:sz w:val="16"/>
          <w:szCs w:val="16"/>
        </w:rPr>
        <w:lastRenderedPageBreak/>
        <w:t>exclusão social. A ausência de políticas públicas eficazes agrava esse cenário, permitindo que o desenvolvimento urbano seja conduzido de forma desigual e excludente.</w:t>
      </w:r>
    </w:p>
    <w:p w14:paraId="12FCBD1A" w14:textId="77777777" w:rsidR="00B81E4A" w:rsidRPr="00B81E4A" w:rsidRDefault="00B81E4A" w:rsidP="00B81E4A">
      <w:pPr>
        <w:rPr>
          <w:i/>
          <w:iCs/>
          <w:sz w:val="16"/>
          <w:szCs w:val="16"/>
        </w:rPr>
      </w:pPr>
      <w:r w:rsidRPr="00B81E4A">
        <w:rPr>
          <w:i/>
          <w:iCs/>
          <w:sz w:val="16"/>
          <w:szCs w:val="16"/>
        </w:rPr>
        <w:t>Diante disso, é fundamental a implementação de medidas que promovam um desenvolvimento urbano mais justo e inclusivo. O poder público, em parceria com organizações sociais, deve estabelecer políticas de habitação acessível, como o controle de aluguéis e a criação de zonas de interesse social, garantindo a permanência das populações originárias nas áreas valorizadas. Essa ação pode ser executada por meio de legislação específica e fiscalização contínua, com o objetivo de equilibrar os interesses econômicos e sociais. Como efeito esperado, haverá a redução da segregação urbana e a preservação das identidades culturais locais.</w:t>
      </w:r>
    </w:p>
    <w:p w14:paraId="04EF4167" w14:textId="77777777" w:rsidR="00B81E4A" w:rsidRPr="00B81E4A" w:rsidRDefault="00B81E4A" w:rsidP="00B81E4A">
      <w:pPr>
        <w:rPr>
          <w:i/>
          <w:iCs/>
          <w:sz w:val="16"/>
          <w:szCs w:val="16"/>
        </w:rPr>
      </w:pPr>
      <w:r w:rsidRPr="00B81E4A">
        <w:rPr>
          <w:i/>
          <w:iCs/>
          <w:sz w:val="16"/>
          <w:szCs w:val="16"/>
        </w:rPr>
        <w:t>Em suma, a gentrificação urbana evidencia os desafios de conciliar desenvolvimento e justiça social nas cidades contemporâneas. A adoção de políticas inclusivas e a valorização das comunidades locais são caminhos essenciais para garantir que o progresso urbano beneficie a todos, e não apenas uma parcela privilegiada da população.</w:t>
      </w:r>
    </w:p>
    <w:p w14:paraId="0A925891" w14:textId="77777777" w:rsidR="004803EE" w:rsidRDefault="004803EE"/>
    <w:p w14:paraId="271D3D0F" w14:textId="197630F5" w:rsidR="004803EE" w:rsidRDefault="004803EE" w:rsidP="004803EE">
      <w:r>
        <w:t>Prova paulista 202</w:t>
      </w:r>
      <w:r>
        <w:t>3</w:t>
      </w:r>
    </w:p>
    <w:p w14:paraId="27BC2C43" w14:textId="77777777" w:rsidR="004803EE" w:rsidRDefault="004803EE" w:rsidP="004803EE">
      <w:r>
        <w:t>Redação IA:</w:t>
      </w:r>
    </w:p>
    <w:p w14:paraId="25934D18" w14:textId="77777777" w:rsidR="00B81E4A" w:rsidRPr="00B81E4A" w:rsidRDefault="00B81E4A" w:rsidP="00B81E4A">
      <w:pPr>
        <w:rPr>
          <w:i/>
          <w:iCs/>
          <w:sz w:val="16"/>
          <w:szCs w:val="16"/>
        </w:rPr>
      </w:pPr>
      <w:r w:rsidRPr="00B81E4A">
        <w:rPr>
          <w:i/>
          <w:iCs/>
          <w:sz w:val="16"/>
          <w:szCs w:val="16"/>
        </w:rPr>
        <w:t>A persistência da fome no Brasil evidencia uma contradição estrutural em um país marcado por vasta produção agrícola e profundas desigualdades sociais. Embora avanços tenham sido registrados em determinados períodos, o problema voltou a ganhar destaque nos últimos anos, revelando fragilidades nas políticas públicas e nas redes de proteção social. Nesse contexto, o combate à fome exige uma análise que considere tanto a responsabilidade do Estado quanto o papel complementar da sociedade civil.</w:t>
      </w:r>
    </w:p>
    <w:p w14:paraId="1F016B1C" w14:textId="77777777" w:rsidR="00B81E4A" w:rsidRPr="00B81E4A" w:rsidRDefault="00B81E4A" w:rsidP="00B81E4A">
      <w:pPr>
        <w:rPr>
          <w:i/>
          <w:iCs/>
          <w:sz w:val="16"/>
          <w:szCs w:val="16"/>
        </w:rPr>
      </w:pPr>
      <w:r w:rsidRPr="00B81E4A">
        <w:rPr>
          <w:i/>
          <w:iCs/>
          <w:sz w:val="16"/>
          <w:szCs w:val="16"/>
        </w:rPr>
        <w:t xml:space="preserve">Em primeira análise, é inegável que o Estado possui a responsabilidade central na garantia do direito à alimentação, previsto na Constituição Federal. Programas de transferência de renda, como o Bolsa Família, historicamente contribuíram para a redução da insegurança alimentar, ao assegurar recursos mínimos para famílias em situação de vulnerabilidade. Além disso, políticas públicas voltadas à agricultura familiar e ao abastecimento interno são fundamentais para promover o acesso a alimentos de qualidade. Nesse sentido, a teoria do economista Amartya </w:t>
      </w:r>
      <w:proofErr w:type="spellStart"/>
      <w:r w:rsidRPr="00B81E4A">
        <w:rPr>
          <w:i/>
          <w:iCs/>
          <w:sz w:val="16"/>
          <w:szCs w:val="16"/>
        </w:rPr>
        <w:t>Sen</w:t>
      </w:r>
      <w:proofErr w:type="spellEnd"/>
      <w:r w:rsidRPr="00B81E4A">
        <w:rPr>
          <w:i/>
          <w:iCs/>
          <w:sz w:val="16"/>
          <w:szCs w:val="16"/>
        </w:rPr>
        <w:t xml:space="preserve"> destaca que a fome não decorre apenas da escassez de alimentos, mas principalmente da falta de acesso a eles, o que reforça a importância de ações estatais eficazes.</w:t>
      </w:r>
    </w:p>
    <w:p w14:paraId="1476DF66" w14:textId="77777777" w:rsidR="00B81E4A" w:rsidRPr="00B81E4A" w:rsidRDefault="00B81E4A" w:rsidP="00B81E4A">
      <w:pPr>
        <w:rPr>
          <w:i/>
          <w:iCs/>
          <w:sz w:val="16"/>
          <w:szCs w:val="16"/>
        </w:rPr>
      </w:pPr>
      <w:r w:rsidRPr="00B81E4A">
        <w:rPr>
          <w:i/>
          <w:iCs/>
          <w:sz w:val="16"/>
          <w:szCs w:val="16"/>
        </w:rPr>
        <w:t>Ademais, a ausência ou descontinuidade dessas políticas agrava o problema, ampliando as desigualdades sociais. Em cenários de crise econômica, o aumento do desemprego e da informalidade compromete a capacidade das famílias de garantir sua subsistência. Dessa forma, a atuação estatal deve ser contínua, estruturada e baseada em dados concretos, a fim de assegurar segurança alimentar de forma duradoura.</w:t>
      </w:r>
    </w:p>
    <w:p w14:paraId="2F6517CF" w14:textId="77777777" w:rsidR="00B81E4A" w:rsidRPr="00B81E4A" w:rsidRDefault="00B81E4A" w:rsidP="00B81E4A">
      <w:pPr>
        <w:rPr>
          <w:i/>
          <w:iCs/>
          <w:sz w:val="16"/>
          <w:szCs w:val="16"/>
        </w:rPr>
      </w:pPr>
      <w:r w:rsidRPr="00B81E4A">
        <w:rPr>
          <w:i/>
          <w:iCs/>
          <w:sz w:val="16"/>
          <w:szCs w:val="16"/>
        </w:rPr>
        <w:t>Por outro lado, a sociedade civil desempenha um papel relevante no enfrentamento imediato da fome. Organizações não governamentais, projetos comunitários e iniciativas voluntárias atuam na distribuição de alimentos e na assistência a populações vulneráveis, especialmente em contextos emergenciais. Tais ações, embora essenciais, não substituem o dever do Estado, mas funcionam como mecanismos de apoio e mobilização social. Além disso, a participação da sociedade contribui para a fiscalização das políticas públicas e para a construção de soluções mais democráticas e inclusivas.</w:t>
      </w:r>
    </w:p>
    <w:p w14:paraId="544F2C2D" w14:textId="77777777" w:rsidR="00B81E4A" w:rsidRPr="00B81E4A" w:rsidRDefault="00B81E4A" w:rsidP="00B81E4A">
      <w:pPr>
        <w:rPr>
          <w:i/>
          <w:iCs/>
          <w:sz w:val="16"/>
          <w:szCs w:val="16"/>
        </w:rPr>
      </w:pPr>
      <w:r w:rsidRPr="00B81E4A">
        <w:rPr>
          <w:i/>
          <w:iCs/>
          <w:sz w:val="16"/>
          <w:szCs w:val="16"/>
        </w:rPr>
        <w:t>Diante disso, faz-se necessária a articulação entre Estado e sociedade civil para o combate efetivo à fome no Brasil. Cabe ao governo federal, em parceria com estados e municípios, ampliar e fortalecer programas de transferência de renda e segurança alimentar. Essa ação pode ser executada por meio do aumento de investimentos públicos, da criação de políticas permanentes de abastecimento e da valorização da agricultura familiar, com fiscalização rigorosa e transparência na gestão. Paralelamente, organizações da sociedade civil devem ser incentivadas por meio de parcerias e apoio institucional, ampliando sua capacidade de atuação. Como efeito esperado, haverá a redução significativa da insegurança alimentar e a promoção de maior justiça social.</w:t>
      </w:r>
    </w:p>
    <w:p w14:paraId="7C5E9B3A" w14:textId="77777777" w:rsidR="00B81E4A" w:rsidRPr="00B81E4A" w:rsidRDefault="00B81E4A" w:rsidP="00B81E4A">
      <w:pPr>
        <w:rPr>
          <w:i/>
          <w:iCs/>
          <w:sz w:val="16"/>
          <w:szCs w:val="16"/>
        </w:rPr>
      </w:pPr>
      <w:r w:rsidRPr="00B81E4A">
        <w:rPr>
          <w:i/>
          <w:iCs/>
          <w:sz w:val="16"/>
          <w:szCs w:val="16"/>
        </w:rPr>
        <w:t>Em suma, o combate à fome no Brasil depende de uma atuação integrada, em que o Estado assume seu papel central e a sociedade civil contribui de forma complementar. Somente por meio de políticas públicas consistentes e do engajamento coletivo será possível garantir o direito fundamental à alimentação para toda a população.</w:t>
      </w:r>
    </w:p>
    <w:p w14:paraId="243F2FE5" w14:textId="77777777" w:rsidR="004803EE" w:rsidRDefault="004803EE"/>
    <w:p w14:paraId="14FB5B45" w14:textId="77777777" w:rsidR="004803EE" w:rsidRDefault="004803EE"/>
    <w:sectPr w:rsidR="004803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3EE"/>
    <w:rsid w:val="00360F87"/>
    <w:rsid w:val="004803EE"/>
    <w:rsid w:val="00AD29C5"/>
    <w:rsid w:val="00B03348"/>
    <w:rsid w:val="00B81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99EC0"/>
  <w15:chartTrackingRefBased/>
  <w15:docId w15:val="{BDBF0049-BB27-4182-8EBA-CC4466DDC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80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80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803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80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03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80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80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80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80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803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803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803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803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803E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803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803E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803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803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80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80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80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80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80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803E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803E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803E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803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803E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803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491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0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42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30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770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194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41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76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8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07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67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426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235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0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9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228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71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83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42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02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84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85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15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095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328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1476</Words>
  <Characters>7976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Android Studio</dc:creator>
  <cp:keywords/>
  <dc:description/>
  <cp:lastModifiedBy>Android Studio</cp:lastModifiedBy>
  <cp:revision>1</cp:revision>
  <dcterms:created xsi:type="dcterms:W3CDTF">2026-04-29T22:07:00Z</dcterms:created>
  <dcterms:modified xsi:type="dcterms:W3CDTF">2026-04-29T22:28:00Z</dcterms:modified>
</cp:coreProperties>
</file>