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Unidade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Questão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Polimorfismo significa “várias formas”, que é um termo designado a objetos de classes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distintas, que podem reagir de uma maneira diferente ao fazerem o uso de um mesmo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método. Na OO você pode enviar uma mesma mensagem para diferentes objetos e fazê-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responder da maneira correta. Portanto o polimorfismo é um dos responsáveis pela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especialização de classes em uma aplicação OO, pois comportamentos definidos, mas não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implementados nas classes mais genéricas, serão implementados nas novas subclasses.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Encapsulamento é um mecanismo que trata de dar segurança aos objetos, mantendo-os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controlados em relação ao seu nível de acesso. É o processo de ocultar ou esconder 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membros de uma classe do acesso exterior usando modificadores de acesso. Desta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maneira, o encapsulamento contribui fundamentalmente para diminuir os malefícios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causados pela interferência externa sobre os dados, pois isola partes do código. Isso reduz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acoplamento, que mede o quanto um elemento depende e conhece o outro.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Herança é um termo que se refere a uma classe nova, que pode ser criada a partir de outra existente. Ela pode “herdar atributos e comportamentos da classe a ser estendida.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Abstração nada mais é que a habilidade de modelar características do mundo real, de um denominado problema em questão que o programador esteja tentando resolver, e determinar como estas características irão atuar ao receber informações.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Questão 02: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Associação – A Associação representa a relação existente entre objetos. Ela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descreve o vínculo entre duas classes e geralmente determina que as instâncias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uma classe estão de alguma forma ligadas às instâncias da outra classe. 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diagrama, sua sintaxe é uma linha que liga as duas classes que representam 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objetos relacionados.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Agregação – Representa uma relação todo-parte entre o agregado e suas partes.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Demonstra que as informações de um objeto precisam ser complementadas por 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objeto de outras classes. Nessa relação, a perda do todo não resulta,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obrigatoriamente, na perda das partes. Sua sintaxe é uma linha com um losango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branco na classe que corresponde ao todo.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Composição – Também representa uma relação todo-parte entre o agregado 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suas partes. Representa um vínculo mais forte entre objetos-todo e objetos-parte.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Objetos-parte têm que pertencer ao objeto-todo. A composição representa um forte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relacionamento, em que as partes não sobrevivem sem o todo. Sua sintaxe é a 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uma linha com um losango preto na classe que corresponde ao todo.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Generalização / Especialização – representa a relação existente entre classes.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Este relacionamento também é conhecido na orientação a objetos como herança. 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identificar super-classe (geral) e sub-classes (especializadas). É quando existe 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necessidade de criar uma classe que herde as propriedades de outra classe, isto é,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 atributos, métodos e também relacionamentos (associações) da classe superior.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Os atributos e métodos definidos na classe-mãe são herdados pelas classes filhas.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