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pct" w:w="98%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<w:gridSpan w:val="5">
                        </w:gridSpan>
          </w:tcPr>
          <w:p>
            <w:pPr>
                        </w:pPr>
            <w:r>
              <w:rPr>
                            </w:rPr>
              <w:t xml:space="preserve">Florida Board of Optometry (partial credit not allowed by this Board)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PROFESSION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PROFESSION CODE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SUBJECT AREA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SUBJECT AREA CODE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Certified Optometris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OPC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HA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HIV/AIDS</w:t>
            </w: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ME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Medical Error</w:t>
            </w: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GN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General</w:t>
            </w: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JP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General (Practice Management)</w:t>
            </w: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CP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General (CPR)</w:t>
            </w: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LB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Laws and Rules of the Board</w:t>
            </w: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PCSFL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Prescribing Controlled Substances</w:t>
            </w:r>
          </w:p>
        </w:tc>
      </w:tr>
    </w:tbl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2019-06-13T17:28:22Z</dcterms:created>
  <dcterms:modified xsi:type="dcterms:W3CDTF">2019-06-13T17:28:22Z</dcterms:modified>
</cp:coreProperties>
</file>