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<w:rFonts w:ascii="Arial" w:cs="Arial" w:eastAsia="Arial" w:hAnsi="Arial">
                    </w:rFonts>
          <w:sz w:val="22">
                    </w:sz>
          <w:szCs w:val="22">
                    </w:szCs>
          <w:b w:val="true">
                    </w:b>
          <w:bCs w:val="true">
                    </w:bCs>
        </w:rPr>
        <w:t xml:space="preserve">Florida State</w:t>
      </w:r>
    </w:p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SUBJECT AREA CODE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Certified Optometris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HIV/AIDS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Medical Error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General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General (Practice Management)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General (CPR)</w:t>
            </w:r>
          </w:p>
        </w:tc>
      </w:tr>
    </w:tbl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SUBJECT AREA CODE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Certified Optometris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HIV/AIDS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Medical Error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General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General (Practice Management)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General (CPR)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LB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Laws and Rules of the Board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PCSFL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</w:rPr>
              <w:t xml:space="preserve">Prescribing Controlled Substances</w:t>
            </w:r>
          </w:p>
        </w:tc>
      </w:tr>
    </w:tbl>
    <w:p>
      <w:pPr>
            </w:pPr>
      <w:r>
        <w:rPr>
                </w:rPr>
        <w:t xml:space="preserve">
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2019-06-13T23:18:40Z</dcterms:created>
  <dcterms:modified xsi:type="dcterms:W3CDTF">2019-06-13T23:18:40Z</dcterms:modified>
</cp:coreProperties>
</file>