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<w:rFonts w:ascii="Arial" w:cs="Arial" w:eastAsia="Arial" w:hAnsi="Arial">
                    </w:rFonts>
          <w:sz w:val="28">
                    </w:sz>
          <w:szCs w:val="28">
                    </w:szCs>
          <w:color w:val="000">
                    </w:color>
          <w:b w:val="true">
                    </w:b>
          <w:bCs w:val="true">
                    </w:bCs>
        </w:rPr>
        <w:t xml:space="preserve">Florida State</w:t>
      </w:r>
    </w:p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Laws and Rules of the Board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Prescribing Controlled Substances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Laws and Rules of the Board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Prescribing Controlled Substances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Certified Optometrist</w:t>
            </w: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HIV/AIDS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Medical Error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(Practice Management)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General (CPR)</w:t>
            </w:r>
          </w:p>
        </w:tc>
      </w:tr>
      <w:tr>
        <w:trPr>
                </w:trPr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 w:val="none" w:sz="0" w:color="white">
                            </w:bottom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Laws and Rules of the Board</w:t>
            </w:r>
          </w:p>
        </w:tc>
      </w:tr>
      <w:tr>
        <w:trPr>
                </w:trPr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<w:tcBorders>
              <w:bottom>
                            </w:bottom>
              <w:end>
                            </w:end>
              <w:top w:val="none" w:sz="0" w:color="white">
                            </w:top>
            </w:tcBorders>
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</w:rPr>
              <w:t xml:space="preserve">Prescribing Controlled Substances</w:t>
            </w:r>
          </w:p>
        </w:tc>
      </w:tr>
    </w:tbl>
    <w:p>
      <w:pPr>
            </w:pPr>
      <w:r>
        <w:rPr>
                </w:rPr>
        <w:t xml:space="preserve">
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
        <w:r>
          <w:rPr>
            <w:rFonts w:ascii="Arial" w:cs="Arial" w:eastAsia="Arial" w:hAnsi="Arial"/>
            <w:sz w:val="20"/>
            <w:szCs w:val="20"/>
            <w:color w:val="6b0b20"/>
            <w:b w:val="true"/>
            <w:bCs w:val="true"/>
          </w:rPr>
          <w:t xml:space="preserve"> © 2012 Information Systems of Florida</w:t>
        </w:r>
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/>
    <w:r>
      <w:rPr/>
      <w:t xml:space="preserve">
        <w:r>
          <w:rPr>
            <w:rFonts w:ascii="Arial" w:cs="Arial" w:eastAsia="Arial" w:hAnsi="Arial"/>
            <w:sz w:val="28"/>
            <w:szCs w:val="28"/>
            <w:color w:val="6b0b20"/>
            <w:b w:val="true"/>
            <w:bCs w:val="true"/>
            <w:u w:val="single" w:color="6b0b20"/>
          </w:rPr>
          <w:t xml:space="preserve">CE Broker: Profession and Subject Area Codes rev. 2.0</w:t>
        </w:r>
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2019-06-14T10:11:44Z</dcterms:created>
  <dcterms:modified xsi:type="dcterms:W3CDTF">2019-06-14T10:11:44Z</dcterms:modified>
</cp:coreProperties>
</file>