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00"/>
        <w:jc w:val="left"/>
      </w:pPr>
      <w:r>
        <w:rPr>
          <w:rFonts w:ascii="Aptos" w:hAnsi="Aptos"/>
          <w:b/>
          <w:color w:val="59636E"/>
          <w:sz w:val="20"/>
        </w:rPr>
        <w:t>DOCUMENTAÇÃO TÉCNICA</w:t>
      </w:r>
    </w:p>
    <w:p>
      <w:pPr>
        <w:pStyle w:val="Title"/>
      </w:pPr>
      <w:r>
        <w:t>Landing Page de Veículos Seminovos</w:t>
      </w:r>
    </w:p>
    <w:p>
      <w:pPr>
        <w:spacing w:after="720"/>
      </w:pPr>
      <w:r>
        <w:rPr>
          <w:rFonts w:ascii="Aptos" w:hAnsi="Aptos"/>
          <w:b w:val="0"/>
          <w:color w:val="59636E"/>
          <w:sz w:val="32"/>
        </w:rPr>
        <w:t>Arquitetura código e infraestrutura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Manual de referência para desenvolvimento, implantação, operação e evolução da aplicação Flask que publica o estoque de seminovos a partir do Google Sheets.</w:t>
      </w:r>
    </w:p>
    <w:p>
      <w:pPr>
        <w:spacing w:before="1080" w:after="0"/>
      </w:pPr>
      <w:r>
        <w:rPr>
          <w:rFonts w:ascii="Aptos" w:hAnsi="Aptos"/>
          <w:b w:val="0"/>
          <w:color w:val="59636E"/>
          <w:sz w:val="20"/>
        </w:rPr>
        <w:t>Versão 1.0</w:t>
        <w:br/>
        <w:t>16 de setembro de 2026</w:t>
        <w:br/>
        <w:t>Status operacional em produção</w:t>
      </w:r>
    </w:p>
    <w:p>
      <w:r>
        <w:br w:type="page"/>
      </w:r>
    </w:p>
    <w:p>
      <w:pPr>
        <w:pStyle w:val="Heading1"/>
        <w:keepNext/>
      </w:pPr>
      <w:r>
        <w:t>Objetivo e escopo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Este documento registra a solução implementada para consultar a aba SEMINOVOS de uma planilha Google Sheets e publicar um catálogo web simples. Ele separa as decisões de arquitetura, a organização do código e a infraestrutura de execução para que a aplicação possa ser mantida, diagnosticada e transferida entre ambientes sem depender do histórico do projeto.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aplicação publica somente Modelo, Ano, KM e Valor de venda. Identificadores de planilha, URL pública e caminho de credenciais são configurações externas. O arquivo da conta de serviço não integra a imagem Docker nem o repositório.</w:t>
      </w:r>
    </w:p>
    <w:p>
      <w:pPr>
        <w:pStyle w:val="Heading2"/>
        <w:keepNext/>
      </w:pPr>
      <w:r>
        <w:t>Conteúdo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1.  Arquitetura e fluxo de dados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2.  Organização do código e comportamento da aplicação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3.  Infraestrutura Docker e implantação no LXC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4.  Operação monitoramento e diagnóstico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5.  Segurança e evolução da solução</w:t>
      </w:r>
    </w:p>
    <w:p>
      <w:pPr>
        <w:pStyle w:val="Heading2"/>
        <w:keepNext/>
      </w:pPr>
      <w:r>
        <w:t>Resumo da 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494"/>
        <w:gridCol w:w="6746"/>
      </w:tblGrid>
      <w:tr>
        <w:trPr>
          <w:tblHeader w:val="true"/>
        </w:trPr>
        <w:tc>
          <w:tcPr>
            <w:tcW w:type="dxa" w:w="2494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746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Implementação atual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Origem dos dados</w:t>
            </w:r>
          </w:p>
        </w:tc>
        <w:tc>
          <w:tcPr>
            <w:tcW w:type="dxa" w:w="67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Google Sheets com autenticação por conta de serviço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Aplicação</w:t>
            </w:r>
          </w:p>
        </w:tc>
        <w:tc>
          <w:tcPr>
            <w:tcW w:type="dxa" w:w="6746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Flask com Waitress em produção e servidor Flask em homologação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Cache</w:t>
            </w:r>
          </w:p>
        </w:tc>
        <w:tc>
          <w:tcPr>
            <w:tcW w:type="dxa" w:w="67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Memória local com validade padrão de 300 segundos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Apresentação</w:t>
            </w:r>
          </w:p>
        </w:tc>
        <w:tc>
          <w:tcPr>
            <w:tcW w:type="dxa" w:w="6746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Tabela HTML responsiva com quatro campos autorizados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Execução</w:t>
            </w:r>
          </w:p>
        </w:tc>
        <w:tc>
          <w:tcPr>
            <w:tcW w:type="dxa" w:w="674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Contêiner Docker sem privilégios gerenciado por Docker Compose</w:t>
            </w:r>
          </w:p>
        </w:tc>
      </w:tr>
      <w:tr>
        <w:trPr>
          <w:cantSplit/>
        </w:trPr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Observabilidade</w:t>
            </w:r>
          </w:p>
        </w:tc>
        <w:tc>
          <w:tcPr>
            <w:tcW w:type="dxa" w:w="6746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Logs em console e arquivo rotativo mais health check HTTP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Arquitetura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arquitetura mantém a aplicação sem banco de dados próprio. O Google Sheets é a fonte de verdade e o cache em memória reduz chamadas repetidas. O proxy reverso recebe o tráfego público, encaminha a requisição para a porta publicada no LXC e o Waitress entrega a aplicação Flask.</w:t>
      </w:r>
    </w:p>
    <w:p>
      <w:pPr>
        <w:pStyle w:val="Heading2"/>
        <w:keepNext/>
      </w:pPr>
      <w:r>
        <w:t>Fluxo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850"/>
        <w:gridCol w:w="2381"/>
        <w:gridCol w:w="6009"/>
      </w:tblGrid>
      <w:tr>
        <w:trPr>
          <w:tblHeader w:val="true"/>
        </w:trPr>
        <w:tc>
          <w:tcPr>
            <w:tcW w:type="dxa" w:w="850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381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009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1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Navegador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Solicita a página pública pelo domínio configurado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2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Proxy reverso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Termina TLS e encaminha HTTP para o IP e a porta do LXC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3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Docker no LXC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Publica a porta e direciona o tráfego para o contêiner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4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Waitress e Flask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Processam a rota e solicitam um snapshot ao serviço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5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Cache em memória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Responde imediatamente quando ainda está válido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6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Google Sheets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Fornece os dados quando o cache precisa ser atualizado</w:t>
            </w:r>
          </w:p>
        </w:tc>
      </w:tr>
      <w:tr>
        <w:trPr>
          <w:cantSplit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7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Template HTML</w:t>
            </w:r>
          </w:p>
        </w:tc>
        <w:tc>
          <w:tcPr>
            <w:tcW w:type="dxa" w:w="60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Renderiza somente os quatro campos autorizados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268"/>
        <w:gridCol w:w="3402"/>
        <w:gridCol w:w="3572"/>
      </w:tblGrid>
      <w:tr>
        <w:trPr>
          <w:tblHeader w:val="true"/>
        </w:trPr>
        <w:tc>
          <w:tcPr>
            <w:tcW w:type="dxa" w:w="226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402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572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Interface principal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Proxy reverso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Publicação externa e TLS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HTTP para a porta publicada do LXC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Waitress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Servidor WSGI de produção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Escuta em 0.0.0.0:5000 dentro do contêiner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Flask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Rotas e renderização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HTML, JSON, robots e sitemap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SeminovosService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Consulta, filtragem e cache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get_snapshot e force_refresh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gspread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Cliente da API Google Sheets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Conta de serviço e ID da planilha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</w:t>
            </w:r>
          </w:p>
        </w:tc>
        <w:tc>
          <w:tcPr>
            <w:tcW w:type="dxa" w:w="340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Ciclo de vida do contêiner</w:t>
            </w:r>
          </w:p>
        </w:tc>
        <w:tc>
          <w:tcPr>
            <w:tcW w:type="dxa" w:w="357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Build, rede, secret, volume e health 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Comportamento do cache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cache é atualizado sob demanda. Uma requisição à página, à API de cache ou ao health check verifica a validade do conteúdo. Se o período definido por CACHE_TIMEOUT_SECONDS expirou, o serviço consulta novamente a planilha. O valor padrão é 300 segundos.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Cache válido: a requisição usa os dados em memória sem acessar o Google Sheets.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Cache expirado: a primeira requisição seguinte executa a atualização.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Falha com cache anterior: o conteúdo antigo continua disponível e o estado passa para degradado.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Falha sem cache anterior: a aplicação informa indisponibilidade e o health check responde HTTP 503.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Após uma falha, uma nova tentativa pode ocorrer em até 30 segundos, mesmo quando o TTL configurado é maior.</w:t>
      </w:r>
    </w:p>
    <w:p>
      <w:pPr>
        <w:pStyle w:val="Heading1"/>
        <w:keepNext/>
      </w:pPr>
      <w:r>
        <w:t>Código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código separa inicialização, configuração, rotas, acesso aos dados, apresentação e logs. Essa divisão permite testar o serviço de planilha com dependências simuladas e criar a aplicação Flask com um serviço substituto durante os testes.</w:t>
      </w:r>
    </w:p>
    <w:p>
      <w:pPr>
        <w:pStyle w:val="Heading2"/>
        <w:keepNext/>
      </w:pPr>
      <w:r>
        <w:t>Estrutura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948"/>
        <w:gridCol w:w="6293"/>
      </w:tblGrid>
      <w:tr>
        <w:trPr>
          <w:tblHeader w:val="true"/>
        </w:trPr>
        <w:tc>
          <w:tcPr>
            <w:tcW w:type="dxa" w:w="294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Arquivo ou diretório</w:t>
            </w:r>
          </w:p>
        </w:tc>
        <w:tc>
          <w:tcPr>
            <w:tcW w:type="dxa" w:w="6293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app.py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Cria a aplicação, registra logs de acesso e seleciona produção ou homologação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config.py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Carrega variáveis, normaliza o ambiente e valida configurações de produção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routes/web.py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Define página, API, health check, robots e sitemap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services/seminovos_service.py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Autentica, consulta a planilha, filtra campos e mantém o cache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templates/index.html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Exibe o estoque em tabela HTML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static/css/style.css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Define a apresentação simples e responsiva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utils/logger.py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Configura console e arquivo com rotação diária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tests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Testa cache, filtragem, rotas, logs e configuração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Dockerfile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Constrói a imagem de produção em dois estágios</w:t>
            </w:r>
          </w:p>
        </w:tc>
      </w:tr>
      <w:tr>
        <w:trPr>
          <w:cantSplit/>
        </w:trPr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compose.yaml</w:t>
            </w:r>
          </w:p>
        </w:tc>
        <w:tc>
          <w:tcPr>
            <w:tcW w:type="dxa" w:w="629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Declara execução, secret, volume, health check e porta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Inicialização e ambientes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função create_app usa o padrão application factory. Em produção, validate_production_settings interrompe a inicialização se o ID da planilha, a credencial ou a URL pública não estiverem configurados. O script aceita os ambientes production e homologation, além dos aliases em português definidos na configuração.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1814"/>
        <w:gridCol w:w="2835"/>
        <w:gridCol w:w="1417"/>
        <w:gridCol w:w="3175"/>
      </w:tblGrid>
      <w:tr>
        <w:trPr>
          <w:tblHeader w:val="true"/>
        </w:trPr>
        <w:tc>
          <w:tcPr>
            <w:tcW w:type="dxa" w:w="1814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Modo</w:t>
            </w:r>
          </w:p>
        </w:tc>
        <w:tc>
          <w:tcPr>
            <w:tcW w:type="dxa" w:w="283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Servidor</w:t>
            </w:r>
          </w:p>
        </w:tc>
        <w:tc>
          <w:tcPr>
            <w:tcW w:type="dxa" w:w="1417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Debug</w:t>
            </w:r>
          </w:p>
        </w:tc>
        <w:tc>
          <w:tcPr>
            <w:tcW w:type="dxa" w:w="317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homologation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Flask development server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Ativo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Desenvolvimento e validação controlada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production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Waitress</w:t>
            </w:r>
          </w:p>
        </w:tc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20272E"/>
                <w:sz w:val="17"/>
              </w:rPr>
              <w:t>Inativo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0272E"/>
                <w:sz w:val="17"/>
              </w:rPr>
              <w:t>Execução estável no contêiner ou no host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Campos publicados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leitura usa get_all_values para preservar a representação exibida na planilha. Os cabeçalhos são normalizados para minúsculas, sem acentos e sem pontuação. Somente os campos abaixo entram no cache público; qualquer coluna adicional, como identificadores internos ou chassi, é descartada.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608"/>
        <w:gridCol w:w="6633"/>
      </w:tblGrid>
      <w:tr>
        <w:trPr>
          <w:tblHeader w:val="true"/>
        </w:trPr>
        <w:tc>
          <w:tcPr>
            <w:tcW w:type="dxa" w:w="260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Campo público</w:t>
            </w:r>
          </w:p>
        </w:tc>
        <w:tc>
          <w:tcPr>
            <w:tcW w:type="dxa" w:w="6633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Cabeçalhos aceitos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Modelo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Modelo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Ano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Ano, Ano modelo ou Ano fabricação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KM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KM, Quilometragem ou Kilometragem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Valor de venda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Valor, Valor de venda, Preço ou Preço de venda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Configuração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As configurações são recebidas pelo ambiente. O arquivo .env é útil para execução local e pelo Compose, mas permanece fora do versionamento. O repositório contém somente .env_example com valores neutros.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3515"/>
        <w:gridCol w:w="3458"/>
        <w:gridCol w:w="2268"/>
      </w:tblGrid>
      <w:tr>
        <w:trPr>
          <w:tblHeader w:val="true"/>
        </w:trPr>
        <w:tc>
          <w:tcPr>
            <w:tcW w:type="dxa" w:w="351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Variável</w:t>
            </w:r>
          </w:p>
        </w:tc>
        <w:tc>
          <w:tcPr>
            <w:tcW w:type="dxa" w:w="345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226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Padrão ou requisito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APP_ENV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Seleciona production ou homologation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homologation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APP_HOST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Endereço interno do servidor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0.0.0.0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APP_PORT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Porta interna do processo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5000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APP_BIND_ADDRESS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Interface do LXC usada na publicação Docker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127.0.0.1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APP_PUBLISHED_PORT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Porta acessível no LXC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5000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GOOGLE_SHEETS_SPREADSHEET_ID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Identifica a planilha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Obrigatória em produção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GOOGLE_SHEETS_TAB_NAME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Seleciona a aba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SEMINOVOS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GOOGLE_SERVICE_ACCOUNT_FILE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Localiza a credencial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Obrigatória em produção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CACHE_TIMEOUT_SECONDS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Define a validade do cache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PUBLIC_BASE_URL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Forma canonical, robots e sitemap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Obrigatória em produção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LOG_DIR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Diretório dos arquivos de log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logs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LOG_LEVEL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Nível mínimo registrado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INFO</w:t>
            </w:r>
          </w:p>
        </w:tc>
      </w:tr>
      <w:tr>
        <w:trPr>
          <w:cantSplit/>
        </w:trPr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LOG_RETENTION_DAYS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Arquivos diários mantidos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30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Endpoints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1871"/>
        <w:gridCol w:w="2835"/>
        <w:gridCol w:w="4535"/>
      </w:tblGrid>
      <w:tr>
        <w:trPr>
          <w:tblHeader w:val="true"/>
        </w:trPr>
        <w:tc>
          <w:tcPr>
            <w:tcW w:type="dxa" w:w="1871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Rota</w:t>
            </w:r>
          </w:p>
        </w:tc>
        <w:tc>
          <w:tcPr>
            <w:tcW w:type="dxa" w:w="283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Resposta</w:t>
            </w:r>
          </w:p>
        </w:tc>
        <w:tc>
          <w:tcPr>
            <w:tcW w:type="dxa" w:w="453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/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HTML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Tabela pública de veículos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/api/cache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JSON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Estado do cache e os quatro campos permitidos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/health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JSON e HTTP 200 ou 503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Monitoramento de disponibilidade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/robots.txt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Texto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Orientação para indexadores</w:t>
            </w:r>
          </w:p>
        </w:tc>
      </w:tr>
      <w:tr>
        <w:trPr>
          <w:cantSplit/>
        </w:trPr>
        <w:tc>
          <w:tcPr>
            <w:tcW w:type="dxa" w:w="187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/sitemap.xml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XML</w:t>
            </w:r>
          </w:p>
        </w:tc>
        <w:tc>
          <w:tcPr>
            <w:tcW w:type="dxa" w:w="45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Indexação da página pública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Estados e diagnóstico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1928"/>
        <w:gridCol w:w="4592"/>
        <w:gridCol w:w="2721"/>
      </w:tblGrid>
      <w:tr>
        <w:trPr>
          <w:tblHeader w:val="true"/>
        </w:trPr>
        <w:tc>
          <w:tcPr>
            <w:tcW w:type="dxa" w:w="192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92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2721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Health check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online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Última consulta foi concluída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ok e HTTP 200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degradado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 consulta falhou, mas existe cache anterior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degraded e HTTP 200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indisponivel</w:t>
            </w:r>
          </w:p>
        </w:tc>
        <w:tc>
          <w:tcPr>
            <w:tcW w:type="dxa" w:w="459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Não existe cache válido</w:t>
            </w:r>
          </w:p>
        </w:tc>
        <w:tc>
          <w:tcPr>
            <w:tcW w:type="dxa" w:w="272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error e HTTP 503</w:t>
            </w:r>
          </w:p>
        </w:tc>
      </w:tr>
    </w:tbl>
    <w:p>
      <w:pPr>
        <w:spacing w:after="0"/>
      </w:pP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Os códigos de erro diferenciam configuração de credencial, autenticação, falta de permissão na planilha, aba ausente, erro da API, falha de conexão, coluna obrigatória e erro inesperado. As mensagens evitam registrar o conteúdo ou o caminho completo da chave privada.</w:t>
      </w:r>
    </w:p>
    <w:p>
      <w:pPr>
        <w:pStyle w:val="Heading1"/>
        <w:keepNext/>
      </w:pPr>
      <w:r>
        <w:t>Logs e testes</w:t>
      </w:r>
    </w:p>
    <w:p>
      <w:pPr>
        <w:pStyle w:val="Heading2"/>
        <w:keepNext/>
      </w:pPr>
      <w:r>
        <w:t>Registro de eventos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logger Seminovos escreve simultaneamente no console e em seminovos.log. O arquivo gira à meia-noite e mantém a quantidade de históricos definida por LOG_RETENTION_DAYS. No contêiner, o diretório /app/logs está em um volume nomeado, portanto docker compose down não apaga os registros.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Inicialização e ambiente selecionado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Início e conclusão de cada acesso com request ID, método, rota, IP, status e duração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Carregamento da conta de serviço e acesso à planilha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Quantidade de linhas lidas e veículos armazenados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Falhas classificadas por código de diagnóstico</w:t>
      </w:r>
    </w:p>
    <w:p>
      <w:pPr>
        <w:pStyle w:val="Heading2"/>
        <w:keepNext/>
      </w:pPr>
      <w:r>
        <w:t>Cobertura automatizada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suíte possui 15 testes. Ela usa clientes simulados para não acessar a conta de serviço durante a validação local. Os cenários cobrem filtragem das colunas, TTL, reaproveitamento do cache após falha, planilha incompleta, mensagens de log, rotas, health check, arquivo rotativo e validação do modo de produção.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python -m pytest -q</w:t>
      </w:r>
    </w:p>
    <w:p>
      <w:pPr>
        <w:spacing w:after="0"/>
      </w:pPr>
    </w:p>
    <w:p>
      <w:pPr>
        <w:pStyle w:val="Heading2"/>
        <w:keepNext/>
      </w:pPr>
      <w:r>
        <w:t>Dados que não devem aparecer em logs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Conteúdo do arquivo JSON da conta de serviço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Chave privada, token ou segredo de autenticação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Conteúdo integral do arquivo .env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Parâmetros de query potencialmente sensíveis</w:t>
      </w:r>
    </w:p>
    <w:p>
      <w:pPr>
        <w:pStyle w:val="Heading1"/>
        <w:keepNext/>
      </w:pPr>
      <w:r>
        <w:t>Infraestrutura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aplicação roda em um contêiner Docker dentro de um LXC do Proxmox. O proxy reverso está em outro LXC e encaminha as requisições pela rede entre os contêineres de sistema. O upstream do proxy deve usar o IP do LXC da aplicação e APP_PUBLISHED_PORT.</w:t>
      </w:r>
    </w:p>
    <w:p>
      <w:pPr>
        <w:pStyle w:val="Heading2"/>
        <w:keepNext/>
      </w:pPr>
      <w:r>
        <w:t>Imagem Docker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551"/>
        <w:gridCol w:w="6690"/>
      </w:tblGrid>
      <w:tr>
        <w:trPr>
          <w:tblHeader w:val="true"/>
        </w:trPr>
        <w:tc>
          <w:tcPr>
            <w:tcW w:type="dxa" w:w="2551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Decisão</w:t>
            </w:r>
          </w:p>
        </w:tc>
        <w:tc>
          <w:tcPr>
            <w:tcW w:type="dxa" w:w="6690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Implementação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Imagem base</w:t>
            </w:r>
          </w:p>
        </w:tc>
        <w:tc>
          <w:tcPr>
            <w:tcW w:type="dxa" w:w="66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python 3.14.7 slim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Build</w:t>
            </w:r>
          </w:p>
        </w:tc>
        <w:tc>
          <w:tcPr>
            <w:tcW w:type="dxa" w:w="6690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Dois estágios para separar instalação e runtime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Usuário</w:t>
            </w:r>
          </w:p>
        </w:tc>
        <w:tc>
          <w:tcPr>
            <w:tcW w:type="dxa" w:w="66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UID e GID 10001 sem shell de login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Aplicação</w:t>
            </w:r>
          </w:p>
        </w:tc>
        <w:tc>
          <w:tcPr>
            <w:tcW w:type="dxa" w:w="6690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Somente arquivos necessários são copiados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Servidor</w:t>
            </w:r>
          </w:p>
        </w:tc>
        <w:tc>
          <w:tcPr>
            <w:tcW w:type="dxa" w:w="669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Waitress na porta interna 5000</w:t>
            </w:r>
          </w:p>
        </w:tc>
      </w:tr>
      <w:tr>
        <w:trPr>
          <w:cantSplit/>
        </w:trPr>
        <w:tc>
          <w:tcPr>
            <w:tcW w:type="dxa" w:w="2551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Python</w:t>
            </w:r>
          </w:p>
        </w:tc>
        <w:tc>
          <w:tcPr>
            <w:tcW w:type="dxa" w:w="6690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Sem bytecode em disco e saída sem buffer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Serviço Docker Compose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Política de reinício unless-stopped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Filesystem principal somente leitura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Diretório temporário em tmpfs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Todas as capabilities Linux removidas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Elevação de privilégios desabilitada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Conta de serviço montada em /run/secrets/google_service_account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Volume nomeado seminovos_logs para persistência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Health check a cada 30 segundos com três tentativas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Rotação do driver json-file em cinco arquivos de 10 MB</w:t>
      </w:r>
    </w:p>
    <w:p>
      <w:pPr>
        <w:pStyle w:val="Heading2"/>
        <w:keepNext/>
      </w:pPr>
      <w:r>
        <w:t>Mapeamento de portas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A expressão APP_BIND_ADDRESS:APP_PUBLISHED_PORT:5000 separa três conceitos. A porta 5000 à direita pertence ao contêiner. APP_PUBLISHED_PORT é a porta do LXC. APP_BIND_ADDRESS define em qual interface do LXC o Docker escuta.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835"/>
        <w:gridCol w:w="2948"/>
        <w:gridCol w:w="3458"/>
      </w:tblGrid>
      <w:tr>
        <w:trPr>
          <w:tblHeader w:val="true"/>
        </w:trPr>
        <w:tc>
          <w:tcPr>
            <w:tcW w:type="dxa" w:w="283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Topologia do proxy</w:t>
            </w:r>
          </w:p>
        </w:tc>
        <w:tc>
          <w:tcPr>
            <w:tcW w:type="dxa" w:w="294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APP_BIND_ADDRESS recomendado</w:t>
            </w:r>
          </w:p>
        </w:tc>
        <w:tc>
          <w:tcPr>
            <w:tcW w:type="dxa" w:w="345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Observação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Proxy no mesmo LXC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127.0.0.1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Não expõe a porta na rede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Proxy em outro LXC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IP do LXC da aplicação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Opção mais restritiva quando o Docker aceita o bind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Múltiplas interfaces necessárias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0.0.0.0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Exige regra de firewall limitando a origem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Implantação</w:t>
      </w:r>
    </w:p>
    <w:p>
      <w:pPr>
        <w:pStyle w:val="Heading2"/>
        <w:keepNext/>
      </w:pPr>
      <w:r>
        <w:t>Preparação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1.  Disponibilizar o projeto no LXC com Docker Engine e Docker Compose instalados.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2.  Criar o arquivo .env com as variáveis reais sem adicioná-lo ao Git.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3.  Salvar a credencial da conta de serviço no caminho indicado por SERVICE_ACCOUNT_SECRET_FILE.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4.  Compartilhar a planilha com o e-mail da conta de serviço.</w:t>
      </w:r>
    </w:p>
    <w:p>
      <w:pPr>
        <w:spacing w:after="80"/>
        <w:ind w:left="369" w:hanging="369"/>
      </w:pPr>
      <w:r>
        <w:rPr>
          <w:rFonts w:ascii="Aptos" w:hAnsi="Aptos"/>
          <w:b w:val="0"/>
          <w:color w:val="20272E"/>
          <w:sz w:val="21"/>
        </w:rPr>
        <w:t>5.  Liberar no firewall apenas o IP do proxy para a porta publicada, quando os serviços estiverem em LXCs diferentes.</w:t>
      </w:r>
    </w:p>
    <w:p>
      <w:pPr>
        <w:pStyle w:val="Heading2"/>
        <w:keepNext/>
      </w:pPr>
      <w:r>
        <w:t>Primeira publicação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config --quiet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up -d --build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ps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logs -f app</w:t>
      </w:r>
    </w:p>
    <w:p>
      <w:pPr>
        <w:spacing w:after="0"/>
      </w:pP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Em instalações antigas que oferecem apenas Compose v1, os mesmos comandos usam docker-compose com hífen. O arquivo usa o formato 3.8 para manter essa compatibilidade. O Compose v2 continua sendo a opção recomendada.</w:t>
      </w:r>
    </w:p>
    <w:p>
      <w:pPr>
        <w:pStyle w:val="Heading2"/>
        <w:keepNext/>
      </w:pPr>
      <w:r>
        <w:t>Validação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port app 5000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curl -fsS http://127.0.0.1:5000/health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curl -fsS http://IP_DO_LXC:PORTA_PUBLICADA/health</w:t>
      </w:r>
    </w:p>
    <w:p>
      <w:pPr>
        <w:spacing w:after="0"/>
      </w:pP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primeiro teste confirma o mapeamento de porta. O segundo confirma o acesso local. O terceiro deve ser repetido no LXC do proxy para validar roteamento e firewall. O proxy aponta para HTTP no IP do LXC da aplicação e termina o TLS na borda.</w:t>
      </w:r>
    </w:p>
    <w:p>
      <w:pPr>
        <w:pStyle w:val="Heading2"/>
        <w:keepNext/>
      </w:pPr>
      <w:r>
        <w:t>Atualização e parada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up -d --build --remove-orphans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logs --tail=100 app</w:t>
      </w:r>
    </w:p>
    <w:p>
      <w:pPr>
        <w:spacing w:after="0" w:line="240" w:lineRule="auto"/>
        <w:ind w:left="283" w:right="283"/>
        <w:shd w:fill="F2F2F2"/>
      </w:pPr>
      <w:r>
        <w:rPr>
          <w:rFonts w:ascii="Consolas" w:hAnsi="Consolas"/>
          <w:b w:val="0"/>
          <w:color w:val="242A30"/>
          <w:sz w:val="17"/>
        </w:rPr>
        <w:t>docker compose down</w:t>
      </w:r>
    </w:p>
    <w:p>
      <w:pPr>
        <w:spacing w:after="0"/>
      </w:pP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docker compose down remove os contêineres e a rede, mas preserva o volume nomeado. O parâmetro -v também remove o volume e deve ser evitado quando os logs precisam ser mantidos.</w:t>
      </w:r>
    </w:p>
    <w:p>
      <w:pPr>
        <w:pStyle w:val="Heading1"/>
        <w:keepNext/>
      </w:pPr>
      <w:r>
        <w:t>Operação e diagnóstico</w:t>
      </w:r>
    </w:p>
    <w:p>
      <w:pPr>
        <w:pStyle w:val="Heading2"/>
        <w:keepNext/>
      </w:pPr>
      <w:r>
        <w:t>Verificações rotineiras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835"/>
        <w:gridCol w:w="6406"/>
      </w:tblGrid>
      <w:tr>
        <w:trPr>
          <w:tblHeader w:val="true"/>
        </w:trPr>
        <w:tc>
          <w:tcPr>
            <w:tcW w:type="dxa" w:w="283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6406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Comando ou endpoint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Estado dos contêineres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ps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Logs em tempo real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logs -f app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Últimos eventos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logs --tail=100 app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Integridade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GET /health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Porta publicada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port app 5000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Uso local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curl http://127.0.0.1:PORTA/health</w:t>
            </w:r>
          </w:p>
        </w:tc>
      </w:tr>
      <w:tr>
        <w:trPr>
          <w:cantSplit/>
        </w:trPr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Uso pelo proxy</w:t>
            </w:r>
          </w:p>
        </w:tc>
        <w:tc>
          <w:tcPr>
            <w:tcW w:type="dxa" w:w="640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curl http://IP_DO_LXC:PORTA/health a partir do LXC do proxy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Matriz de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324"/>
        <w:gridCol w:w="3118"/>
        <w:gridCol w:w="3798"/>
      </w:tblGrid>
      <w:tr>
        <w:trPr>
          <w:tblHeader w:val="true"/>
        </w:trPr>
        <w:tc>
          <w:tcPr>
            <w:tcW w:type="dxa" w:w="2324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Sintoma</w:t>
            </w:r>
          </w:p>
        </w:tc>
        <w:tc>
          <w:tcPr>
            <w:tcW w:type="dxa" w:w="311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Causa provável</w:t>
            </w:r>
          </w:p>
        </w:tc>
        <w:tc>
          <w:tcPr>
            <w:tcW w:type="dxa" w:w="379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Contêiner reiniciando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Configuração obrigatória ausente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Ler os logs e conferir as variáveis de produção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Health HTTP 503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Sem cache válido ou falha no Sheets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Usar o código erro do health e os logs de diagnóstico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planilha_sem_acesso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ID incorreto ou falta de compartilhamento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Compartilhar a planilha com a conta de serviço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aba_nao_encontrada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Nome da aba diferente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Conferir GOOGLE_SHEETS_TAB_NAME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Acesso local funciona e proxy falha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Bind, firewall ou rota entre LXCs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Conferir porta, IP e regra de origem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Porta mostra 127.0.0.1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APP_BIND_ADDRESS não aplicado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Ajustar .env e recriar o contêiner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Dados antigos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Cache ainda válido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Aguardar o TTL ou reduzir CACHE_TIMEOUT_SECONDS</w:t>
            </w:r>
          </w:p>
        </w:tc>
      </w:tr>
      <w:tr>
        <w:trPr>
          <w:cantSplit/>
        </w:trP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Logs ausentes após recriação</w:t>
            </w:r>
          </w:p>
        </w:tc>
        <w:tc>
          <w:tcPr>
            <w:tcW w:type="dxa" w:w="311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Volume removido ou LOG_DIR incorreto</w:t>
            </w:r>
          </w:p>
        </w:tc>
        <w:tc>
          <w:tcPr>
            <w:tcW w:type="dxa" w:w="379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Inspecionar volume e variáveis do serviço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Atualização dos dados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Com CACHE_TIMEOUT_SECONDS igual a 300, a validade é de cinco minutos. O refresh não usa um agendador permanente: a primeira requisição após a expiração realiza a consulta. Como o health check roda a cada 30 segundos, uma atualização tende a ocorrer em até aproximadamente cinco minutos e trinta segundos, desde que o contêiner esteja saudável e consiga acessar o Google.</w:t>
      </w:r>
    </w:p>
    <w:p>
      <w:pPr>
        <w:pStyle w:val="Heading1"/>
        <w:keepNext/>
      </w:pPr>
      <w:r>
        <w:t>Segurança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ID da planilha não é uma credencial, mas foi mantido fora do código para reduzir exposição de metadados e permitir ambientes diferentes. A URL pública não é secreta, porém também é externa ao código para separar homologação e produção. A chave privada da conta de serviço é o segredo crítico.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Manter .env e secrets fora do Git e fora do contexto de build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Montar a credencial como Docker secret e nunca copiá-la para a imagem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Conceder à conta de serviço apenas acesso de leitura à planilha necessária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Restringir a porta publicada ao proxy reverso por bind e firewall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Executar o processo como usuário não-root com capabilities removidas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Não registrar chaves, tokens ou o conteúdo da credencial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Atualizar periodicamente a imagem base e as dependências Python</w:t>
      </w:r>
    </w:p>
    <w:p>
      <w:pPr>
        <w:pStyle w:val="Heading2"/>
        <w:keepNext/>
      </w:pPr>
      <w:r>
        <w:t>Arquivos excluídos da imagem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.dockerignore exclui Git, arquivos de ambiente, secrets, logs, ambientes virtuais, caches, cobertura e testes. O Dockerfile também usa cópias explícitas, o que reduz o risco de incluir um arquivo local por engano.</w:t>
      </w:r>
    </w:p>
    <w:p>
      <w:pPr>
        <w:pStyle w:val="Heading2"/>
        <w:keepNext/>
      </w:pPr>
      <w:r>
        <w:t>Recuperação e retenção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Os dados publicados podem ser reconstruídos a partir da planilha. O volume de logs é o único estado persistente mantido pelo Compose atual. Caso os registros sejam necessários para auditoria, o volume deve integrar a rotina de backup do host ou ser substituído por uma plataforma central de logs.</w:t>
      </w:r>
    </w:p>
    <w:p>
      <w:pPr>
        <w:pStyle w:val="Heading1"/>
        <w:keepNext/>
      </w:pPr>
      <w:r>
        <w:t>Escalabilidade</w:t>
      </w:r>
    </w:p>
    <w:p>
      <w:pPr>
        <w:pStyle w:val="BodyText"/>
      </w:pPr>
      <w:r>
        <w:rPr>
          <w:rFonts w:ascii="Aptos" w:hAnsi="Aptos"/>
          <w:b w:val="0"/>
          <w:color w:val="20272E"/>
          <w:sz w:val="21"/>
        </w:rPr>
        <w:t>O contêiner não define container_name, o que facilita criar réplicas. A configuração atual, porém, foi desenhada para uma única instância. A publicação fixa de porta, o cache em memória e o arquivo de log compartilhado precisam ser revistos antes de escalar.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268"/>
        <w:gridCol w:w="4025"/>
        <w:gridCol w:w="2948"/>
      </w:tblGrid>
      <w:tr>
        <w:trPr>
          <w:tblHeader w:val="true"/>
        </w:trPr>
        <w:tc>
          <w:tcPr>
            <w:tcW w:type="dxa" w:w="226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 de evolução</w:t>
            </w:r>
          </w:p>
        </w:tc>
        <w:tc>
          <w:tcPr>
            <w:tcW w:type="dxa" w:w="4025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Mudança recomendada</w:t>
            </w:r>
          </w:p>
        </w:tc>
        <w:tc>
          <w:tcPr>
            <w:tcW w:type="dxa" w:w="294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Duas ou mais réplicas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Balanceador na rede Docker sem porta fixa por réplica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Evita conflito de portas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Cache compartilhado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Redis ou serviço equivalente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Evita uma consulta ao Sheets por réplica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Logs distribuídos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Coleta pelo stdout com agregador central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Evita rotação concorrente no mesmo volume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Mais de um host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Orquestrador e registro de imagens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Compose opera melhor em servidor único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Disponibilidade elevada</w:t>
            </w:r>
          </w:p>
        </w:tc>
        <w:tc>
          <w:tcPr>
            <w:tcW w:type="dxa" w:w="402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Múltiplos nós, health checks e proxy com failover</w:t>
            </w:r>
          </w:p>
        </w:tc>
        <w:tc>
          <w:tcPr>
            <w:tcW w:type="dxa" w:w="29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Remove o LXC único como ponto de falha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Checklist de produção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Variáveis obrigatórias definidas fora do repositório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Conta de serviço com permissão somente na planilha necessária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Secret montado e ausente da imagem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APP_BIND_ADDRESS adequado à topologia do proxy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Firewall aceitando somente a origem esperada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Health check respondendo HTTP 200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Contêiner com estado healthy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Logs gravados no volume e visíveis pelo Docker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Página exibindo apenas Modelo, Ano, KM e Valor de venda</w:t>
      </w:r>
    </w:p>
    <w:p>
      <w:pPr>
        <w:pStyle w:val="ListBullet"/>
      </w:pPr>
      <w:r>
        <w:rPr>
          <w:rFonts w:ascii="Aptos" w:hAnsi="Aptos"/>
          <w:b w:val="0"/>
          <w:color w:val="20272E"/>
          <w:sz w:val="21"/>
        </w:rPr>
        <w:t>Procedimento de atualização e backup conhecido pela equipe responsável</w:t>
      </w:r>
    </w:p>
    <w:p>
      <w:pPr>
        <w:pStyle w:val="Heading1"/>
        <w:keepNext/>
      </w:pPr>
      <w:r>
        <w:t>Referência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0E7"/>
          <w:left w:val="single" w:sz="6" w:color="D9E0E7"/>
          <w:bottom w:val="single" w:sz="6" w:color="D9E0E7"/>
          <w:right w:val="single" w:sz="6" w:color="D9E0E7"/>
          <w:insideH w:val="single" w:sz="6" w:color="D9E0E7"/>
          <w:insideV w:val="single" w:sz="6" w:color="D9E0E7"/>
        </w:tblBorders>
      </w:tblPr>
      <w:tblGrid>
        <w:gridCol w:w="2608"/>
        <w:gridCol w:w="6633"/>
      </w:tblGrid>
      <w:tr>
        <w:trPr>
          <w:tblHeader w:val="true"/>
        </w:trPr>
        <w:tc>
          <w:tcPr>
            <w:tcW w:type="dxa" w:w="2608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Tarefa</w:t>
            </w:r>
          </w:p>
        </w:tc>
        <w:tc>
          <w:tcPr>
            <w:tcW w:type="dxa" w:w="6633"/>
            <w:shd w:fill="123B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Comando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Publicar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up -d --build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Atualizar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up -d --build --remove-orphans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Ver estado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ps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Ver logs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logs -f app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Ver porta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port app 5000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Parar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docker compose down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Testar aplicação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python -m pytest -q</w:t>
            </w:r>
          </w:p>
        </w:tc>
      </w:tr>
      <w:tr>
        <w:trPr>
          <w:cantSplit/>
        </w:trP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Verificar saúde</w:t>
            </w:r>
          </w:p>
        </w:tc>
        <w:tc>
          <w:tcPr>
            <w:tcW w:type="dxa" w:w="6633"/>
            <w:tcMar>
              <w:top w:w="110" w:type="dxa"/>
              <w:start w:w="120" w:type="dxa"/>
              <w:bottom w:w="110" w:type="dxa"/>
              <w:end w:w="120" w:type="dxa"/>
            </w:tcMar>
            <w:shd w:fill="F4F7FA"/>
            <w:vAlign w:val="center"/>
          </w:tcPr>
          <w:p>
            <w:r>
              <w:rPr>
                <w:rFonts w:ascii="Aptos" w:hAnsi="Aptos"/>
                <w:b w:val="0"/>
                <w:color w:val="20272E"/>
                <w:sz w:val="17"/>
              </w:rPr>
              <w:t>curl http://IP:PORTA/health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91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59636E"/>
        <w:sz w:val="16"/>
      </w:rPr>
      <w:t xml:space="preserve">Documentação técnica da landing page de veículos seminovos   |   </w:t>
    </w:r>
    <w:r>
      <w:rPr>
        <w:sz w:val="16"/>
      </w:rPr>
      <w:t xml:space="preserve">Página </w:t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da Landing Page de Veículos Seminovos</dc:title>
  <dc:subject>Arquitetura código e infraestrutura</dc:subject>
  <dc:creator>python-docx</dc:creator>
  <cp:keywords>Flask, Google Sheets, Docker, LXC, Waitress, Seminovos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