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2E75B6" w:sz="6" w:space="12"/>
        </w:pBdr>
        <w:spacing w:after="240"/>
        <w:jc w:val="center"/>
      </w:pPr>
      <w:r>
        <w:rPr>
          <w:rFonts w:ascii="Arial" w:cs="Arial" w:eastAsia="Arial" w:hAnsi="Arial"/>
          <w:b/>
          <w:bCs/>
          <w:caps/>
          <w:color w:val="2E75B6"/>
          <w:sz w:val="22"/>
          <w:szCs w:val="22"/>
        </w:rPr>
        <w:t xml:space="preserve">DICIONÁRIO DE DADOS</w:t>
      </w:r>
    </w:p>
    <w:p>
      <w:pPr>
        <w:spacing w:after="200"/>
        <w:jc w:val="center"/>
      </w:pPr>
      <w:r>
        <w:rPr>
          <w:rFonts w:ascii="Arial" w:cs="Arial" w:eastAsia="Arial" w:hAnsi="Arial"/>
          <w:b/>
          <w:bCs/>
          <w:color w:val="1F3864"/>
          <w:sz w:val="56"/>
          <w:szCs w:val="56"/>
        </w:rPr>
        <w:t xml:space="preserve">Câmara dos Deputados</w:t>
      </w:r>
    </w:p>
    <w:p>
      <w:pPr>
        <w:spacing w:after="600"/>
        <w:jc w:val="center"/>
      </w:pPr>
      <w:r>
        <w:rPr>
          <w:rFonts w:ascii="Arial" w:cs="Arial" w:eastAsia="Arial" w:hAnsi="Arial"/>
          <w:color w:val="595959"/>
          <w:sz w:val="28"/>
          <w:szCs w:val="28"/>
        </w:rPr>
        <w:t xml:space="preserve">Dados Abertos — 57ª Legislatura (2023–2026)</w:t>
      </w:r>
    </w:p>
    <w:p>
      <w:pPr>
        <w:spacing w:before="1600"/>
        <w:jc w:val="center"/>
      </w:pPr>
      <w:r>
        <w:rPr>
          <w:rFonts w:ascii="Arial" w:cs="Arial" w:eastAsia="Arial" w:hAnsi="Arial"/>
          <w:i/>
          <w:iCs/>
          <w:color w:val="595959"/>
          <w:sz w:val="21"/>
          <w:szCs w:val="21"/>
        </w:rPr>
        <w:t xml:space="preserve">Glossário de campos das bases de Cotas Parlamentares (CEAP), Proposições, Temas e Autoria utilizadas no modelo de dados do painel analítico.</w:t>
      </w:r>
    </w:p>
    <w:p>
      <w:pPr>
        <w:spacing w:before="2000"/>
        <w:jc w:val="center"/>
      </w:pPr>
      <w:hyperlink w:history="1" r:id="rIdhl4llacronfrwxcwxpsyr">
        <w:r>
          <w:rPr>
            <w:rFonts w:ascii="Arial" w:cs="Arial" w:eastAsia="Arial" w:hAnsi="Arial"/>
            <w:color w:val="2E75B6"/>
            <w:sz w:val="20"/>
            <w:szCs w:val="20"/>
            <w:u w:val="single"/>
          </w:rPr>
          <w:t xml:space="preserve">dadosabertos.camara.leg.br</w:t>
        </w:r>
      </w:hyperlink>
    </w:p>
    <w:p>
      <w:r>
        <w:br w:type="page"/>
      </w:r>
    </w:p>
    <w:p>
      <w:pPr>
        <w:pStyle w:val="Heading1"/>
      </w:pPr>
      <w:r>
        <w:t xml:space="preserve">Sobre este documento</w:t>
      </w:r>
    </w:p>
    <w:p>
      <w:pPr>
        <w:spacing w:after="160"/>
      </w:pPr>
      <w:r>
        <w:rPr>
          <w:rFonts w:ascii="Arial" w:cs="Arial" w:eastAsia="Arial" w:hAnsi="Arial"/>
          <w:color w:val="262626"/>
          <w:sz w:val="21"/>
          <w:szCs w:val="21"/>
        </w:rPr>
        <w:t xml:space="preserve">Este glossário descreve os campos das bases de dados abertos da Câmara dos Deputados utilizadas na construção do modelo de dados do painel analítico da 57ª Legislatura (2023–2026). As informações têm como fonte oficial o Portal de Dados Abertos da Câmara dos Deputados.</w:t>
      </w:r>
    </w:p>
    <w:p>
      <w:pPr>
        <w:pBdr>
          <w:left w:val="single" w:color="2E75B6" w:sz="18" w:space="8"/>
        </w:pBdr>
        <w:spacing w:after="160" w:before="80"/>
        <w:ind w:left="160"/>
      </w:pPr>
      <w:r>
        <w:rPr>
          <w:rFonts w:ascii="Arial" w:cs="Arial" w:eastAsia="Arial" w:hAnsi="Arial"/>
          <w:i/>
          <w:iCs/>
          <w:color w:val="595959"/>
          <w:sz w:val="19"/>
          <w:szCs w:val="19"/>
        </w:rPr>
        <w:t xml:space="preserve">Fonte oficial: https://dadosabertos.camara.leg.br/</w:t>
      </w:r>
    </w:p>
    <w:p>
      <w:pPr>
        <w:spacing w:after="200"/>
      </w:pPr>
    </w:p>
    <w:p>
      <w:pPr>
        <w:pStyle w:val="Heading1"/>
      </w:pPr>
      <w:r>
        <w:t xml:space="preserve">Tabela Gastos_Legislatura57</w:t>
      </w:r>
    </w:p>
    <w:p>
      <w:pPr>
        <w:spacing w:after="160"/>
      </w:pPr>
      <w:r>
        <w:rPr>
          <w:rFonts w:ascii="Arial" w:cs="Arial" w:eastAsia="Arial" w:hAnsi="Arial"/>
          <w:color w:val="262626"/>
          <w:sz w:val="21"/>
          <w:szCs w:val="21"/>
        </w:rPr>
        <w:t xml:space="preserve">Arquivos Ano-{ano}.formato — despesas da Cota para Exercício da Atividade Parlamentar (CEAP).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DE" w:sz="4"/>
              <w:left w:val="single" w:color="D0D7DE" w:sz="4"/>
              <w:bottom w:val="single" w:color="D0D7DE" w:sz="4"/>
              <w:right w:val="single" w:color="D0D7DE"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Campo</w:t>
            </w:r>
          </w:p>
        </w:tc>
        <w:tc>
          <w:tcPr>
            <w:tcW w:type="dxa" w:w="6960"/>
            <w:tcBorders>
              <w:top w:val="single" w:color="D0D7DE" w:sz="4"/>
              <w:left w:val="single" w:color="D0D7DE" w:sz="4"/>
              <w:bottom w:val="single" w:color="D0D7DE" w:sz="4"/>
              <w:right w:val="single" w:color="D0D7DE"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Descrição</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txNomeParlamentar</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Nome adotado pelo parlamentar no início do mandato na legislatura. Nos dados da CEAP pode não refletir as mesmas variações registradas pela API e demais arquivos do Dados Abertos. Também pode trazer o identificador de uma liderança partidária.</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cpf</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CPF do parlamentar beneficiário ao qual o registro de despesa está vinculado.</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ideCadastro</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Identificador numérico exclusivo de cada parlamentar — mesmo ID usado na API e nos demais arquivos do Dados Abertos. Chave de relacionamento com a tabela de Deputados.</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nuCarteiraParlamentar</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Número do documento que identifica o parlamentar em alguns sistemas da Câmara. Válido apenas para a legislatura corrente.</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nuLegislatura</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Ano de início da legislatura à qual o registro pertence (apesar do nome, não é um número sequencial de legislatura).</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sgUF</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Sigla da UF pela qual o parlamentar foi eleito. Afeta o valor de cota disponível.</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sgPartido</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Sigla do partido ao qual o parlamentar está/esteve filiado no ano de competência. Pode divergir de outros endpoints por refletir a filiação mais recente do ano.</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codLegislatura</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Número identificador da legislatura na qual ocorreu a despesa.</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numSubCota</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Código numérico da categoria de despesa.</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txtDescricao</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Título da categoria de despesa referida por numSubCota.</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numEspecificacaoSubcota</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Código da subcategoria de despesa, quando aplicável. Usado em par com txtDescricaoEspecificacao.</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txtDescricaoEspecificacao</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Título descritivo da subcategoria referida por numEspecificacaoSubcota.</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txtFornecedor</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Nome da pessoa física ou empresa fornecedora do produto/serviço, conforme documento fiscal.</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txtCNPJCPF</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CPF ou CNPJ do fornecedor. Fornecido em formato texto. CNPJs na faixa 00.000.000/0000-01 a 00.000.000/0000-07 são inválidos e usados apenas para agrupamento de despesas no Portal.</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txtNumero</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Número de face do documento fiscal ou de outro documento (ex.: contrato) que originou a despesa.</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indTipoDocumento</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sz w:val="19"/>
                <w:szCs w:val="19"/>
              </w:rPr>
              <w:t xml:space="preserve">Indicador do tipo de documento fiscal:</w:t>
            </w:r>
          </w:p>
          <w:p>
            <w:r>
              <w:rPr>
                <w:rFonts w:ascii="Arial" w:cs="Arial" w:eastAsia="Arial" w:hAnsi="Arial"/>
                <w:color w:val="595959"/>
                <w:sz w:val="18"/>
                <w:szCs w:val="18"/>
              </w:rPr>
              <w:t xml:space="preserve">0 – nota fiscal   ·   1 – recibo ou outros   ·   2 – documento emitido no exterior</w:t>
            </w:r>
          </w:p>
          <w:p>
            <w:r>
              <w:rPr>
                <w:rFonts w:ascii="Arial" w:cs="Arial" w:eastAsia="Arial" w:hAnsi="Arial"/>
                <w:color w:val="595959"/>
                <w:sz w:val="18"/>
                <w:szCs w:val="18"/>
              </w:rPr>
              <w:t xml:space="preserve">3 – despesa do Parlasul   ·   4/5 – nota fiscal eletrônica</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datEmissao</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Data de emissão do documento comprobatório da despesa.</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vlrDocumento</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Valor de face do documento. Pode ser negativo em passagens aéreas (bilhetes de compensação por não utilização).</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vlrGlosa</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Valor retido — não coberto pela CEAP por impedimento legal, insuficiência de comprovação, etc.</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vlrLiquido</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Valor efetivamente debitado da cota (vlrDocumento − vlrGlosa). Em despesas de telefonia pode ser 0 quando coberto pela franquia.</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numMes</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Mês de competência financeira do documento — define o período de efeito sobre a CEAP.</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numAno</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Ano de competência financeira do documento.</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numParcela</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Diferente de 0 quando a despesa é reembolsada de forma parcelada.</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txtPassageiro</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Nome do passageiro, em registros de passagens aéreas.</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txtTrecho</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Trechos de viagem do bilhete aéreo, geralmente em siglas de aeroporto separadas por “/”.</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numLote</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Identificador do lote de documentos entregues para verificação e reembolso.</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numRessarcimento</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Identifica o ressarcimento dentro do lote (numLote), quando o parlamentar pagou com recursos próprios e solicitou reembolso.</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datPagamentoRestituicao</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Data/hora (ISO 8601) da restituição de valores à Câmara, quando aplicável.</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vlrRestituicao</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Valor devolvido pelo parlamentar à Câmara.</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nuDeputadoId</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Identificador do parlamentar no sistema interno de controle da CEAP. Não utilizado nos demais endpoints da API — usar ideCadastro para relacionamentos.</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ideDocumento</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Identificador do documento comprobatório. Pode repetir-se entre registros associados ao mesmo documento.</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urlDocumento</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Link para a versão digital/digitalizada do documento comprobatório.</w:t>
            </w:r>
          </w:p>
        </w:tc>
      </w:tr>
    </w:tbl>
    <w:p>
      <w:r>
        <w:br w:type="page"/>
      </w:r>
    </w:p>
    <w:p>
      <w:pPr>
        <w:pStyle w:val="Heading1"/>
      </w:pPr>
      <w:r>
        <w:t xml:space="preserve">Tabela Proposicao_Legislatura57</w:t>
      </w:r>
    </w:p>
    <w:p>
      <w:pPr>
        <w:pStyle w:val="Heading2"/>
      </w:pPr>
      <w:r>
        <w:t xml:space="preserve">Proposições por ano de apresentação</w:t>
      </w:r>
    </w:p>
    <w:p>
      <w:pPr>
        <w:spacing w:after="160"/>
      </w:pPr>
      <w:r>
        <w:rPr>
          <w:rFonts w:ascii="Arial" w:cs="Arial" w:eastAsia="Arial" w:hAnsi="Arial"/>
          <w:color w:val="262626"/>
          <w:sz w:val="21"/>
          <w:szCs w:val="21"/>
        </w:rPr>
        <w:t xml:space="preserve">Cada registro representa uma proposição apresentada à Câmara dos Deputados para deliberação: identificador universal (URI), sigla, número, ano, ementa, temas, palavras-chave, tramitação mais recente e proposições relacionadas.</w:t>
      </w:r>
    </w:p>
    <w:p>
      <w:pPr>
        <w:spacing w:after="160"/>
      </w:pPr>
      <w:r>
        <w:rPr>
          <w:rFonts w:ascii="Arial" w:cs="Arial" w:eastAsia="Arial" w:hAnsi="Arial"/>
          <w:color w:val="262626"/>
          <w:sz w:val="21"/>
          <w:szCs w:val="21"/>
        </w:rPr>
        <w:t xml:space="preserve">Atualmente há registros de algumas proposições tramitadas entre 1934 e 1945. De 1946 a 2000, estão cadastradas as proposições de tipos que poderiam se tornar (ou se tornaram) leis e normas jurídicas. A partir de 2001, há dados sobre todas as proposições tramitadas na Câmara.</w:t>
      </w:r>
    </w:p>
    <w:p>
      <w:pPr>
        <w:pBdr>
          <w:left w:val="single" w:color="2E75B6" w:sz="18" w:space="8"/>
        </w:pBdr>
        <w:spacing w:after="160" w:before="80"/>
        <w:ind w:left="160"/>
      </w:pPr>
      <w:r>
        <w:rPr>
          <w:rFonts w:ascii="Arial" w:cs="Arial" w:eastAsia="Arial" w:hAnsi="Arial"/>
          <w:i/>
          <w:iCs/>
          <w:color w:val="595959"/>
          <w:sz w:val="19"/>
          <w:szCs w:val="19"/>
        </w:rPr>
        <w:t xml:space="preserve">As propostas de emenda à Constituição de 1967 tramitavam apenas de forma conjunta no Congresso e, por isso, não constam como proposições tramitadas na Câmara.</w:t>
      </w:r>
    </w:p>
    <w:p>
      <w:pPr>
        <w:spacing w:after="80"/>
      </w:pPr>
    </w:p>
    <w:p>
      <w:pPr>
        <w:pStyle w:val="Heading2"/>
      </w:pPr>
      <w:r>
        <w:t xml:space="preserve">Tipos de proposição considerados no painel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DE" w:sz="4"/>
              <w:left w:val="single" w:color="D0D7DE" w:sz="4"/>
              <w:bottom w:val="single" w:color="D0D7DE" w:sz="4"/>
              <w:right w:val="single" w:color="D0D7DE"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Campo</w:t>
            </w:r>
          </w:p>
        </w:tc>
        <w:tc>
          <w:tcPr>
            <w:tcW w:type="dxa" w:w="6960"/>
            <w:tcBorders>
              <w:top w:val="single" w:color="D0D7DE" w:sz="4"/>
              <w:left w:val="single" w:color="D0D7DE" w:sz="4"/>
              <w:bottom w:val="single" w:color="D0D7DE" w:sz="4"/>
              <w:right w:val="single" w:color="D0D7DE"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Descrição</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139</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Projeto de Lei</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140</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Projeto de Lei Complementar</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136</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Proposta de Emenda à Constituição</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Consolas" w:cs="Consolas" w:eastAsia="Consolas" w:hAnsi="Consolas"/>
                <w:b/>
                <w:bCs/>
                <w:color w:val="1F3864"/>
                <w:sz w:val="19"/>
                <w:szCs w:val="19"/>
              </w:rPr>
              <w:t xml:space="preserve">291</w:t>
            </w:r>
          </w:p>
        </w:tc>
        <w:tc>
          <w:tcPr>
            <w:tcW w:type="dxa" w:w="696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r>
              <w:rPr>
                <w:rFonts w:ascii="Arial" w:cs="Arial" w:eastAsia="Arial" w:hAnsi="Arial"/>
                <w:b w:val="false"/>
                <w:bCs w:val="false"/>
                <w:color w:val="262626"/>
                <w:sz w:val="19"/>
                <w:szCs w:val="19"/>
              </w:rPr>
              <w:t xml:space="preserve">Medida Provisória</w:t>
            </w:r>
          </w:p>
        </w:tc>
      </w:tr>
    </w:tbl>
    <w:p>
      <w:pPr>
        <w:spacing w:after="200"/>
      </w:pPr>
    </w:p>
    <w:p>
      <w:pPr>
        <w:pStyle w:val="Heading1"/>
      </w:pPr>
      <w:r>
        <w:t xml:space="preserve">Tabela Temas_Proposicao</w:t>
      </w:r>
    </w:p>
    <w:p>
      <w:pPr>
        <w:pStyle w:val="Heading2"/>
      </w:pPr>
      <w:r>
        <w:t xml:space="preserve">Classificação temática das proposições</w:t>
      </w:r>
    </w:p>
    <w:p>
      <w:pPr>
        <w:spacing w:after="160"/>
      </w:pPr>
      <w:r>
        <w:rPr>
          <w:rFonts w:ascii="Arial" w:cs="Arial" w:eastAsia="Arial" w:hAnsi="Arial"/>
          <w:color w:val="262626"/>
          <w:sz w:val="21"/>
          <w:szCs w:val="21"/>
        </w:rPr>
        <w:t xml:space="preserve">Cada registro corresponde a uma área temática na qual uma proposição foi classificada pelo Centro de Documentação e Informação da Câmara. Uma proposição associada a mais de um tema gera múltiplas linhas — uma para cada tema.</w:t>
      </w:r>
    </w:p>
    <w:p>
      <w:pPr>
        <w:spacing w:after="160"/>
      </w:pPr>
      <w:r>
        <w:rPr>
          <w:rFonts w:ascii="Arial" w:cs="Arial" w:eastAsia="Arial" w:hAnsi="Arial"/>
          <w:color w:val="262626"/>
          <w:sz w:val="21"/>
          <w:szCs w:val="21"/>
        </w:rPr>
        <w:t xml:space="preserve">A lista completa de temas e seus códigos pode ser obtida na API do Dados Abertos, em JSON e XML.</w:t>
      </w:r>
    </w:p>
    <w:p>
      <w:pPr>
        <w:spacing w:after="200"/>
      </w:pPr>
    </w:p>
    <w:p>
      <w:pPr>
        <w:pStyle w:val="Heading1"/>
      </w:pPr>
      <w:r>
        <w:t xml:space="preserve">Tabela Autor_Proposicao_Legislatura57</w:t>
      </w:r>
    </w:p>
    <w:p>
      <w:pPr>
        <w:pStyle w:val="Heading2"/>
      </w:pPr>
      <w:r>
        <w:t xml:space="preserve">Autores das proposições por ano de apresentação</w:t>
      </w:r>
    </w:p>
    <w:p>
      <w:pPr>
        <w:spacing w:after="160"/>
      </w:pPr>
      <w:r>
        <w:rPr>
          <w:rFonts w:ascii="Arial" w:cs="Arial" w:eastAsia="Arial" w:hAnsi="Arial"/>
          <w:color w:val="262626"/>
          <w:sz w:val="21"/>
          <w:szCs w:val="21"/>
        </w:rPr>
        <w:t xml:space="preserve">Relaciona identificadores de proposições a identificadores de autores. Uma proposição pode ter mais de um autor, nem sempre parlamentares. Pelo Regimento da Câmara (art. 102), todos os signatários são considerados autores — proponentes ou apoiadores — mas apenas o primeiro signatário pode escrever a justificativa e falar sobre a proposição em votações (art. 192).</w:t>
      </w:r>
    </w:p>
    <w:p>
      <w:pPr>
        <w:spacing w:after="280"/>
      </w:pPr>
    </w:p>
    <w:p>
      <w:pPr>
        <w:pStyle w:val="Heading1"/>
      </w:pPr>
      <w:r>
        <w:t xml:space="preserve">Sistema de Gestão de Passagens Aéreas (Sigepa)</w:t>
      </w:r>
    </w:p>
    <w:p>
      <w:pPr>
        <w:spacing w:after="160"/>
      </w:pPr>
      <w:r>
        <w:rPr>
          <w:rFonts w:ascii="Arial" w:cs="Arial" w:eastAsia="Arial" w:hAnsi="Arial"/>
          <w:color w:val="262626"/>
          <w:sz w:val="21"/>
          <w:szCs w:val="21"/>
        </w:rPr>
        <w:t xml:space="preserve">O Sigepa (Sistema de Gestão de Passagens Aéreas) é a ferramenta utilizada pela Câmara dos Deputados para a aquisição de passagens aéreas pelos deputados. Permite que os parlamentares façam reservas, emitam, cancelem e reembolsem bilhetes diretamente, facilitando a gestão de gastos relacionados ao exercício da atividade parlamentar.</w:t>
      </w:r>
    </w:p>
    <w:p>
      <w:pPr>
        <w:spacing w:after="160"/>
      </w:pPr>
      <w:r>
        <w:rPr>
          <w:rFonts w:ascii="Arial" w:cs="Arial" w:eastAsia="Arial" w:hAnsi="Arial"/>
          <w:color w:val="262626"/>
          <w:sz w:val="21"/>
          <w:szCs w:val="21"/>
        </w:rPr>
        <w:t xml:space="preserve">Os deputados podem adquirir passagens por três modalidades:</w:t>
      </w:r>
    </w:p>
    <w:p>
      <w:pPr>
        <w:pStyle w:val="ListParagraph"/>
        <w:numPr>
          <w:ilvl w:val="0"/>
          <w:numId w:val="2"/>
        </w:numPr>
      </w:pPr>
      <w:r>
        <w:rPr>
          <w:rFonts w:ascii="Arial" w:cs="Arial" w:eastAsia="Arial" w:hAnsi="Arial"/>
          <w:sz w:val="21"/>
          <w:szCs w:val="21"/>
        </w:rPr>
        <w:t xml:space="preserve">Requisição de Passagem Aérea (RPA)</w:t>
      </w:r>
    </w:p>
    <w:p>
      <w:pPr>
        <w:pStyle w:val="ListParagraph"/>
        <w:numPr>
          <w:ilvl w:val="0"/>
          <w:numId w:val="2"/>
        </w:numPr>
      </w:pPr>
      <w:r>
        <w:rPr>
          <w:rFonts w:ascii="Arial" w:cs="Arial" w:eastAsia="Arial" w:hAnsi="Arial"/>
          <w:sz w:val="21"/>
          <w:szCs w:val="21"/>
        </w:rPr>
        <w:t xml:space="preserve">Reembolso</w:t>
      </w:r>
    </w:p>
    <w:p>
      <w:pPr>
        <w:pStyle w:val="ListParagraph"/>
        <w:numPr>
          <w:ilvl w:val="0"/>
          <w:numId w:val="2"/>
        </w:numPr>
        <w:spacing w:after="200"/>
      </w:pPr>
      <w:r>
        <w:rPr>
          <w:rFonts w:ascii="Arial" w:cs="Arial" w:eastAsia="Arial" w:hAnsi="Arial"/>
          <w:sz w:val="21"/>
          <w:szCs w:val="21"/>
        </w:rPr>
        <w:t xml:space="preserve">Sigepa — com vantagens como desconto mínimo de 3% e garantia de reserva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space="4"/>
      </w:pBdr>
      <w:tabs>
        <w:tab w:val="right" w:pos="9026"/>
      </w:tabs>
    </w:pPr>
    <w:r>
      <w:rPr>
        <w:rFonts w:ascii="Arial" w:cs="Arial" w:eastAsia="Arial" w:hAnsi="Arial"/>
        <w:color w:val="595959"/>
        <w:sz w:val="16"/>
        <w:szCs w:val="16"/>
      </w:rPr>
      <w:t xml:space="preserve">Dicionário de Dados — Câmara dos Deputados</w:t>
    </w:r>
    <w:r>
      <w:rPr>
        <w:rFonts w:ascii="Arial" w:cs="Arial" w:eastAsia="Arial" w:hAnsi="Arial"/>
        <w:color w:val="595959"/>
        <w:sz w:val="16"/>
        <w:szCs w:val="16"/>
      </w:rPr>
      <w:t xml:space="preserve">	57ª Legislatura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6"/>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l4llacronfrwxcwxpsyr" Type="http://schemas.openxmlformats.org/officeDocument/2006/relationships/hyperlink" Target="https://dadosabertos.camara.leg.br/"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2026-06-18T22:26:13.986Z</dcterms:created>
  <dcterms:modified xsi:type="dcterms:W3CDTF">2026-06-18T22:26:13.986Z</dcterms:modified>
</cp:coreProperties>
</file>

<file path=docProps/custom.xml><?xml version="1.0" encoding="utf-8"?>
<Properties xmlns="http://schemas.openxmlformats.org/officeDocument/2006/custom-properties" xmlns:vt="http://schemas.openxmlformats.org/officeDocument/2006/docPropsVTypes"/>
</file>