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C789B" w14:textId="77777777" w:rsidR="00697D39" w:rsidRDefault="00000000">
      <w:pPr>
        <w:pStyle w:val="Ttulo1"/>
      </w:pPr>
      <w:r>
        <w:t xml:space="preserve">Previsão Multivariada da Bovespa com </w:t>
      </w:r>
      <w:proofErr w:type="spellStart"/>
      <w:r>
        <w:t>Deep</w:t>
      </w:r>
      <w:proofErr w:type="spellEnd"/>
      <w:r>
        <w:t xml:space="preserve"> Learning</w:t>
      </w:r>
    </w:p>
    <w:p w14:paraId="1AFB82CA" w14:textId="77777777" w:rsidR="00697D39" w:rsidRDefault="00000000">
      <w:pPr>
        <w:pStyle w:val="Ttulo2"/>
        <w:spacing w:before="0"/>
      </w:pPr>
      <w:r>
        <w:t>1. Introdução</w:t>
      </w:r>
    </w:p>
    <w:p w14:paraId="3DD546DD" w14:textId="77777777" w:rsidR="00697D3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O presente trabalho explora a aplicação de técnicas avançadas de inteligência artificial, especificamente modelos de </w:t>
      </w:r>
      <w:proofErr w:type="spellStart"/>
      <w:r>
        <w:t>Deep</w:t>
      </w:r>
      <w:proofErr w:type="spellEnd"/>
      <w:r>
        <w:t xml:space="preserve"> Learning, para a previsão da cotação do índice Bovespa. A análise utiliza uma abordagem de </w:t>
      </w:r>
      <w:r>
        <w:rPr>
          <w:b/>
          <w:bCs/>
        </w:rPr>
        <w:t>Previsão Multivariada</w:t>
      </w:r>
      <w:r>
        <w:t>, reconhecendo que o mercado financeiro brasileiro não opera de forma isolada, mas sofre impactos e interações bidirecionais contínuas de bolsas e commodities globais.</w:t>
      </w:r>
    </w:p>
    <w:p w14:paraId="3A0C7110" w14:textId="77777777" w:rsidR="00697D39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Diferente dos modelos clássicos </w:t>
      </w:r>
      <w:proofErr w:type="spellStart"/>
      <w:r>
        <w:t>univariados</w:t>
      </w:r>
      <w:proofErr w:type="spellEnd"/>
      <w:r>
        <w:t xml:space="preserve"> ou da família ARIMA/SARIMAX, o modelo multivariado desenvolvido (evoluindo para Redes Neurais como MLP, GRU e LSTM) é capaz de capturar as interações não lineares entre diversas variáveis macroeconômicas exógenas e o nosso ativo alvo (Bovespa).</w:t>
      </w:r>
    </w:p>
    <w:p w14:paraId="0A5A586B" w14:textId="77777777" w:rsidR="00697D39" w:rsidRDefault="00000000">
      <w:pPr>
        <w:pStyle w:val="Ttulo2"/>
        <w:spacing w:before="0"/>
      </w:pPr>
      <w:r>
        <w:t>2. Coleta e Preparação dos Dados</w:t>
      </w:r>
    </w:p>
    <w:p w14:paraId="46FEC009" w14:textId="77777777" w:rsidR="00697D3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A base de dados foi construída coletando o histórico recente de cotações (período de 3 anos) via biblioteca </w:t>
      </w:r>
      <w:proofErr w:type="spellStart"/>
      <w:r>
        <w:t>yfinance</w:t>
      </w:r>
      <w:proofErr w:type="spellEnd"/>
      <w:r>
        <w:t>. As variáveis independentes e dependentes englobam os principais termômetros financeiros do mundo: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97D39" w14:paraId="6F690CCD" w14:textId="77777777">
        <w:trPr>
          <w:tblHeader/>
        </w:trPr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9F7D4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Variável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562B3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Ticker</w:t>
            </w:r>
            <w:proofErr w:type="spellEnd"/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828F9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Descrição</w:t>
            </w:r>
          </w:p>
          <w:p w14:paraId="2A7897EC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697D39" w14:paraId="2F5B4030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D0D09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Bovespa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89CFC8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^BVSP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530BA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Índice de referência do mercado de ações brasileiro (Alvo).</w:t>
            </w:r>
          </w:p>
        </w:tc>
      </w:tr>
      <w:tr w:rsidR="00697D39" w14:paraId="100A1C99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A4B80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Dólar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F5414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BRL=X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9504A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Cotação do Dólar frente ao Real.</w:t>
            </w:r>
          </w:p>
        </w:tc>
      </w:tr>
      <w:tr w:rsidR="00697D39" w14:paraId="2F7459F2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7DAD8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SP500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37253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^GSPC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95BCAE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Índice das 500 maiores empresas dos Estados Unidos.</w:t>
            </w:r>
          </w:p>
        </w:tc>
      </w:tr>
      <w:tr w:rsidR="00697D39" w14:paraId="65B510B4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B60C6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Shanghai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C46D3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000001.SS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5DDA7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Índice da Bolsa da China.</w:t>
            </w:r>
          </w:p>
        </w:tc>
      </w:tr>
      <w:tr w:rsidR="00697D39" w14:paraId="1C3DC870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EBCB4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Petróleo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AA3422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BZ=F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EE82C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Preço do contrato futuro do barril de petróleo Brent.</w:t>
            </w:r>
          </w:p>
        </w:tc>
      </w:tr>
      <w:tr w:rsidR="00697D39" w14:paraId="7CE0F5E9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F2C1C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Minério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BE338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TIO=F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98CC43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Contrato futuro de Minério de Ferro.</w:t>
            </w:r>
          </w:p>
        </w:tc>
      </w:tr>
      <w:tr w:rsidR="00697D39" w14:paraId="6A0B1E97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6E819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Ouro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2FC0D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GC=F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C2098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Preço do contrato futuro de Ouro.</w:t>
            </w:r>
          </w:p>
        </w:tc>
      </w:tr>
    </w:tbl>
    <w:p w14:paraId="47A1699C" w14:textId="77777777" w:rsidR="00697D39" w:rsidRDefault="00697D39">
      <w:pPr>
        <w:pBdr>
          <w:top w:val="nil"/>
          <w:left w:val="nil"/>
          <w:bottom w:val="nil"/>
          <w:right w:val="nil"/>
          <w:between w:val="nil"/>
        </w:pBdr>
      </w:pPr>
    </w:p>
    <w:p w14:paraId="165D6EF3" w14:textId="77777777" w:rsidR="00697D3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Tratamento de Dados Ausentes (</w:t>
      </w:r>
      <w:proofErr w:type="spellStart"/>
      <w:r>
        <w:rPr>
          <w:b/>
          <w:bCs/>
        </w:rPr>
        <w:t>NaNs</w:t>
      </w:r>
      <w:proofErr w:type="spellEnd"/>
      <w:r>
        <w:rPr>
          <w:b/>
          <w:bCs/>
        </w:rPr>
        <w:t>):</w:t>
      </w:r>
      <w:r>
        <w:t xml:space="preserve"> Como as cotações de diferentes bolsas globais possuem calendários de feriados distintos, utilizou-se o método </w:t>
      </w:r>
      <w:proofErr w:type="spellStart"/>
      <w:r>
        <w:rPr>
          <w:i/>
          <w:iCs/>
        </w:rPr>
        <w:t>forward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fill</w:t>
      </w:r>
      <w:proofErr w:type="spellEnd"/>
      <w:r>
        <w:t xml:space="preserve"> (</w:t>
      </w:r>
      <w:proofErr w:type="spellStart"/>
      <w:r>
        <w:t>ffill</w:t>
      </w:r>
      <w:proofErr w:type="spellEnd"/>
      <w:r>
        <w:t>) para preencher buracos gerados por feriados locais, garantindo o alinhamento das matrizes exógenas antes do treinamento do modelo.</w:t>
      </w:r>
    </w:p>
    <w:p w14:paraId="19761BA0" w14:textId="77777777" w:rsidR="00697D39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b/>
          <w:bCs/>
        </w:rPr>
        <w:t>Escalonamento de Dados:</w:t>
      </w:r>
      <w:r>
        <w:t xml:space="preserve"> Como as redes neurais são extremamente sensíveis à escala dos dados (Bovespa na casa dos 100.000 pontos vs. Dólar em torno de 5,00), todos os dados foram normalizados com </w:t>
      </w:r>
      <w:proofErr w:type="spellStart"/>
      <w:r>
        <w:t>MinMaxScaler</w:t>
      </w:r>
      <w:proofErr w:type="spellEnd"/>
      <w:r>
        <w:t>, evitando assim a explosão de pesos e otimizando a convergência matemática do algoritmo.</w:t>
      </w:r>
    </w:p>
    <w:p w14:paraId="630E7734" w14:textId="77777777" w:rsidR="00697D39" w:rsidRDefault="00000000">
      <w:pPr>
        <w:pStyle w:val="Ttulo2"/>
        <w:spacing w:before="0"/>
      </w:pPr>
      <w:r>
        <w:lastRenderedPageBreak/>
        <w:t>3. Abordagens de Modelagem (</w:t>
      </w:r>
      <w:proofErr w:type="spellStart"/>
      <w:r>
        <w:t>Deep</w:t>
      </w:r>
      <w:proofErr w:type="spellEnd"/>
      <w:r>
        <w:t xml:space="preserve"> Learning)</w:t>
      </w:r>
    </w:p>
    <w:p w14:paraId="3CFFFAEE" w14:textId="77777777" w:rsidR="00697D39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O projeto afastou-se dos tradicionais Vetores Autorregressivos (VAR) que demandam rigorosa análise de </w:t>
      </w:r>
      <w:proofErr w:type="spellStart"/>
      <w:r>
        <w:t>estacionariedade</w:t>
      </w:r>
      <w:proofErr w:type="spellEnd"/>
      <w:r>
        <w:t xml:space="preserve"> e diferenças diárias, focando em arquiteturas baseadas em </w:t>
      </w:r>
      <w:proofErr w:type="spellStart"/>
      <w:r>
        <w:rPr>
          <w:i/>
          <w:iCs/>
        </w:rPr>
        <w:t>Multilayer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Perceptron</w:t>
      </w:r>
      <w:proofErr w:type="spellEnd"/>
      <w:r>
        <w:rPr>
          <w:i/>
          <w:iCs/>
        </w:rPr>
        <w:t xml:space="preserve"> (MLP)</w:t>
      </w:r>
      <w:r>
        <w:t xml:space="preserve"> e </w:t>
      </w:r>
      <w:proofErr w:type="spellStart"/>
      <w:r>
        <w:rPr>
          <w:i/>
          <w:iCs/>
        </w:rPr>
        <w:t>Gated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Recurrent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Units</w:t>
      </w:r>
      <w:proofErr w:type="spellEnd"/>
      <w:r>
        <w:rPr>
          <w:i/>
          <w:iCs/>
        </w:rPr>
        <w:t xml:space="preserve"> (GRU)</w:t>
      </w:r>
      <w:r>
        <w:t xml:space="preserve"> / </w:t>
      </w:r>
      <w:proofErr w:type="spellStart"/>
      <w:r>
        <w:rPr>
          <w:i/>
          <w:iCs/>
        </w:rPr>
        <w:t>Long</w:t>
      </w:r>
      <w:proofErr w:type="spellEnd"/>
      <w:r>
        <w:rPr>
          <w:i/>
          <w:iCs/>
        </w:rPr>
        <w:t xml:space="preserve"> Short-</w:t>
      </w:r>
      <w:proofErr w:type="spellStart"/>
      <w:r>
        <w:rPr>
          <w:i/>
          <w:iCs/>
        </w:rPr>
        <w:t>Term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Memory</w:t>
      </w:r>
      <w:proofErr w:type="spellEnd"/>
      <w:r>
        <w:rPr>
          <w:i/>
          <w:iCs/>
        </w:rPr>
        <w:t xml:space="preserve"> (LSTM)</w:t>
      </w:r>
      <w:r>
        <w:t>.</w:t>
      </w:r>
    </w:p>
    <w:p w14:paraId="434A4BA9" w14:textId="77777777" w:rsidR="00697D39" w:rsidRDefault="00000000">
      <w:pPr>
        <w:pStyle w:val="Ttulo3"/>
        <w:spacing w:before="0"/>
      </w:pPr>
      <w:r>
        <w:t>3.1. Previsão Diária Estrita (Regressão)</w:t>
      </w:r>
    </w:p>
    <w:p w14:paraId="14456C03" w14:textId="77777777" w:rsidR="00697D3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A primeira metodologia tentou prever a pontuação nominal diária do Ibovespa. Ao final da rede neural, o </w:t>
      </w:r>
      <w:proofErr w:type="spellStart"/>
      <w:r>
        <w:t>scaler_</w:t>
      </w:r>
      <w:proofErr w:type="gramStart"/>
      <w:r>
        <w:t>y.inverse</w:t>
      </w:r>
      <w:proofErr w:type="gramEnd"/>
      <w:r>
        <w:t>_</w:t>
      </w:r>
      <w:proofErr w:type="gramStart"/>
      <w:r>
        <w:t>transform</w:t>
      </w:r>
      <w:proofErr w:type="spellEnd"/>
      <w:r>
        <w:t>(</w:t>
      </w:r>
      <w:proofErr w:type="gramEnd"/>
      <w:r>
        <w:t>) é aplicado para converter o decimal predito (escala min-</w:t>
      </w:r>
      <w:proofErr w:type="spellStart"/>
      <w:r>
        <w:t>max</w:t>
      </w:r>
      <w:proofErr w:type="spellEnd"/>
      <w:r>
        <w:t>) para a cotação real de fechamento. Para avaliação, utilizamos diversas métricas:</w:t>
      </w:r>
    </w:p>
    <w:p w14:paraId="464D6BDB" w14:textId="77777777" w:rsidR="00697D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RMSE (Root </w:t>
      </w:r>
      <w:proofErr w:type="spellStart"/>
      <w:r>
        <w:rPr>
          <w:b/>
          <w:bCs/>
        </w:rPr>
        <w:t>Mean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Squared</w:t>
      </w:r>
      <w:proofErr w:type="spellEnd"/>
      <w:r>
        <w:rPr>
          <w:b/>
          <w:bCs/>
        </w:rPr>
        <w:t xml:space="preserve"> Error):</w:t>
      </w:r>
      <w:r>
        <w:t xml:space="preserve"> Utilizado de forma nativa a partir do </w:t>
      </w:r>
      <w:proofErr w:type="spellStart"/>
      <w:r>
        <w:t>scikit-learn</w:t>
      </w:r>
      <w:proofErr w:type="spellEnd"/>
      <w:r>
        <w:t xml:space="preserve"> 1.8.0.</w:t>
      </w:r>
    </w:p>
    <w:p w14:paraId="232F9650" w14:textId="77777777" w:rsidR="00697D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MAE (</w:t>
      </w:r>
      <w:proofErr w:type="spellStart"/>
      <w:r>
        <w:rPr>
          <w:b/>
          <w:bCs/>
        </w:rPr>
        <w:t>Mean</w:t>
      </w:r>
      <w:proofErr w:type="spellEnd"/>
      <w:r>
        <w:rPr>
          <w:b/>
          <w:bCs/>
        </w:rPr>
        <w:t xml:space="preserve"> Absolute Error) e MSE:</w:t>
      </w:r>
      <w:r>
        <w:t xml:space="preserve"> Para verificação do desvio da regressão.</w:t>
      </w:r>
    </w:p>
    <w:p w14:paraId="73A64829" w14:textId="77777777" w:rsidR="00697D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EVS (</w:t>
      </w:r>
      <w:proofErr w:type="spellStart"/>
      <w:r>
        <w:rPr>
          <w:b/>
          <w:bCs/>
        </w:rPr>
        <w:t>Explained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Variance</w:t>
      </w:r>
      <w:proofErr w:type="spellEnd"/>
      <w:r>
        <w:rPr>
          <w:b/>
          <w:bCs/>
        </w:rPr>
        <w:t xml:space="preserve"> Score).</w:t>
      </w:r>
    </w:p>
    <w:p w14:paraId="4D2B4993" w14:textId="77777777" w:rsidR="00697D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MDA (</w:t>
      </w:r>
      <w:proofErr w:type="spellStart"/>
      <w:r>
        <w:rPr>
          <w:b/>
          <w:bCs/>
        </w:rPr>
        <w:t>Mean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Directional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>):</w:t>
      </w:r>
      <w:r>
        <w:t xml:space="preserve"> Introduzido manualmente no projeto, avalia o percentual de acerto direcional (alta ou baixa). No mercado financeiro, prever corretamente a tendência direcional é muitas vezes mais rentável que cravar a magnitude nominal.</w:t>
      </w:r>
    </w:p>
    <w:p w14:paraId="10B26FD6" w14:textId="77777777" w:rsidR="00697D39" w:rsidRDefault="00000000">
      <w:pPr>
        <w:pStyle w:val="Ttulo3"/>
      </w:pPr>
      <w:r>
        <w:t>3.2. Previsão Baseada em Classes de Probabilidade</w:t>
      </w:r>
    </w:p>
    <w:p w14:paraId="287919A5" w14:textId="77777777" w:rsidR="00697D39" w:rsidRDefault="00000000">
      <w:pPr>
        <w:pBdr>
          <w:top w:val="nil"/>
          <w:left w:val="nil"/>
          <w:bottom w:val="nil"/>
          <w:right w:val="nil"/>
          <w:between w:val="nil"/>
        </w:pBdr>
        <w:spacing w:after="255"/>
      </w:pPr>
      <w:r>
        <w:t xml:space="preserve">Para contornar o risco extremo dos pontos fixos ("efeito sombra"), o projeto amadureceu para um modelo de classificação </w:t>
      </w:r>
      <w:proofErr w:type="spellStart"/>
      <w:r>
        <w:rPr>
          <w:i/>
          <w:iCs/>
        </w:rPr>
        <w:t>Softmax</w:t>
      </w:r>
      <w:proofErr w:type="spellEnd"/>
      <w:r>
        <w:t xml:space="preserve">, transformando o alvo em zonas percentuais com o método </w:t>
      </w:r>
      <w:proofErr w:type="spellStart"/>
      <w:r>
        <w:t>to_categorical</w:t>
      </w:r>
      <w:proofErr w:type="spellEnd"/>
      <w:r>
        <w:t>. Duas abordagens foram construídas e documentadas:</w:t>
      </w:r>
    </w:p>
    <w:p w14:paraId="48D98B8F" w14:textId="77777777" w:rsidR="00697D39" w:rsidRDefault="00000000">
      <w:pPr>
        <w:pStyle w:val="Ttulo4"/>
        <w:spacing w:before="0"/>
      </w:pPr>
      <w:r>
        <w:t>Modelo de 3 Classes (Cenários Direcionais Simples)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97D39" w14:paraId="5AF628A6" w14:textId="77777777">
        <w:trPr>
          <w:tblHeader/>
        </w:trPr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BC4C4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Classe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8688D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Condição Matemática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DF986D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Significado Prático</w:t>
            </w:r>
          </w:p>
          <w:p w14:paraId="50E77812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697D39" w14:paraId="3A5AFCEC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82478A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Alta (🟢)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FF4DCE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Fechamento &gt; +0.2%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58950E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Cotação deve fechar acima do limite superior estabelecido.</w:t>
            </w:r>
          </w:p>
        </w:tc>
      </w:tr>
      <w:tr w:rsidR="00697D39" w14:paraId="22F1A7E8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5C479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Baixa (🔴)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F2E86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Fechamento &lt; -0.2%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898FB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Cotação deve cair além da fronteira do limite inferior.</w:t>
            </w:r>
          </w:p>
        </w:tc>
      </w:tr>
      <w:tr w:rsidR="00697D39" w14:paraId="631FB09D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33724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Neutra (🟡)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71AF8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Entre -0.2% e +0.2%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29375" w14:textId="77777777" w:rsidR="00697D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Preço fica preso em um canal de baixa oscilação e consolidação.</w:t>
            </w:r>
          </w:p>
        </w:tc>
      </w:tr>
    </w:tbl>
    <w:p w14:paraId="51C77151" w14:textId="77777777" w:rsidR="00697D39" w:rsidRDefault="00697D39">
      <w:pPr>
        <w:pBdr>
          <w:top w:val="nil"/>
          <w:left w:val="nil"/>
          <w:bottom w:val="nil"/>
          <w:right w:val="nil"/>
          <w:between w:val="nil"/>
        </w:pBdr>
        <w:spacing w:after="255"/>
      </w:pPr>
    </w:p>
    <w:p w14:paraId="6B531B0C" w14:textId="77777777" w:rsidR="00697D39" w:rsidRDefault="00000000">
      <w:pPr>
        <w:pStyle w:val="Ttulo4"/>
      </w:pPr>
      <w:r>
        <w:t>Modelo de 5 Classes (Análise de Extremos e Volatilidade)</w:t>
      </w:r>
    </w:p>
    <w:p w14:paraId="6E418767" w14:textId="77777777" w:rsidR="00697D3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Uma versão mais detalhada fragmenta a volatilidade em 5 quadrantes para identificar movimentos mais violentos, avaliando o risco de dias atípicos no mercado de renda variável:</w:t>
      </w:r>
    </w:p>
    <w:p w14:paraId="62F477EC" w14:textId="77777777" w:rsidR="00697D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Alta Forte (🟩)</w:t>
      </w:r>
      <w:r>
        <w:t xml:space="preserve"> - Fechamento rompendo resistência principal.</w:t>
      </w:r>
    </w:p>
    <w:p w14:paraId="57A97C2A" w14:textId="77777777" w:rsidR="00697D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Leve Alta (🟨)</w:t>
      </w:r>
      <w:r>
        <w:t xml:space="preserve"> - Cenário de crescimento marginal.</w:t>
      </w:r>
    </w:p>
    <w:p w14:paraId="1C0D3286" w14:textId="77777777" w:rsidR="00697D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Fira Mono" w:eastAsia="Fira Mono" w:hAnsi="Fira Mono" w:cs="Fira Mono"/>
          <w:b/>
          <w:bCs/>
        </w:rPr>
        <w:t>Neutro (⬜)</w:t>
      </w:r>
      <w:r>
        <w:t xml:space="preserve"> - Sem variação expressiva na tendência direcional.</w:t>
      </w:r>
    </w:p>
    <w:p w14:paraId="4157FB4C" w14:textId="77777777" w:rsidR="00697D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Leve Baixa (🟧)</w:t>
      </w:r>
      <w:r>
        <w:t xml:space="preserve"> - Correção controlada de lucros.</w:t>
      </w:r>
    </w:p>
    <w:p w14:paraId="67506A6C" w14:textId="77777777" w:rsidR="00697D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lastRenderedPageBreak/>
        <w:t>Baixa Forte (🟥)</w:t>
      </w:r>
      <w:r>
        <w:t xml:space="preserve"> - Movimentos de queda violentos.</w:t>
      </w:r>
    </w:p>
    <w:p w14:paraId="130FACF2" w14:textId="77777777" w:rsidR="00697D39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Esta abordagem de múltiplos </w:t>
      </w:r>
      <w:r>
        <w:rPr>
          <w:i/>
          <w:iCs/>
        </w:rPr>
        <w:t>outputs</w:t>
      </w:r>
      <w:r>
        <w:t xml:space="preserve"> devolve não um ponto de preço, mas o </w:t>
      </w:r>
      <w:r>
        <w:rPr>
          <w:b/>
          <w:bCs/>
        </w:rPr>
        <w:t>Raio-X de Probabilidades</w:t>
      </w:r>
      <w:r>
        <w:t xml:space="preserve"> de cada cenário se concretizar, oferecendo maior margem de segurança na tomada de decisão.</w:t>
      </w:r>
    </w:p>
    <w:p w14:paraId="5B6A6F1E" w14:textId="77777777" w:rsidR="00697D39" w:rsidRDefault="00000000">
      <w:pPr>
        <w:pStyle w:val="Ttulo2"/>
        <w:spacing w:before="0"/>
      </w:pPr>
      <w:r>
        <w:t>4. Desafios Tecnológicos e Soluções (Troubleshooting)</w:t>
      </w:r>
    </w:p>
    <w:p w14:paraId="1D35BC60" w14:textId="77777777" w:rsidR="00697D3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Migração de Frameworks:</w:t>
      </w:r>
      <w:r>
        <w:t xml:space="preserve"> Durante o processo, houve ajuste de compatibilidade, notadamente na importação de métricas ausentes no </w:t>
      </w:r>
      <w:proofErr w:type="spellStart"/>
      <w:r>
        <w:t>scikit-learn</w:t>
      </w:r>
      <w:proofErr w:type="spellEnd"/>
      <w:r>
        <w:t>, exigindo a codificação manual da função de MDA.</w:t>
      </w:r>
    </w:p>
    <w:p w14:paraId="3188669F" w14:textId="77777777" w:rsidR="00697D3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Estacionariedade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Machine Learning:</w:t>
      </w:r>
      <w:r>
        <w:t xml:space="preserve"> Foi fundamental corrigir a submissão de valores nominais a redes densas, reforçando a exigência de usar os parâmetros escalados no </w:t>
      </w:r>
      <w:proofErr w:type="spellStart"/>
      <w:proofErr w:type="gramStart"/>
      <w:r>
        <w:t>fit</w:t>
      </w:r>
      <w:proofErr w:type="spellEnd"/>
      <w:r>
        <w:t>(</w:t>
      </w:r>
      <w:proofErr w:type="gramEnd"/>
      <w:r>
        <w:t>) e não os valores nativos.</w:t>
      </w:r>
    </w:p>
    <w:p w14:paraId="58D5C0FF" w14:textId="77777777" w:rsidR="00697D3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Modernização do Salvamento de Pesos:</w:t>
      </w:r>
      <w:r>
        <w:t xml:space="preserve"> O </w:t>
      </w:r>
      <w:proofErr w:type="spellStart"/>
      <w:r>
        <w:t>TensorFlow</w:t>
      </w:r>
      <w:proofErr w:type="spellEnd"/>
      <w:r>
        <w:t xml:space="preserve"> 2.16+ tornou obrigatória a nomenclatura estrita para o salvamento, resolvendo o </w:t>
      </w:r>
      <w:proofErr w:type="spellStart"/>
      <w:r>
        <w:rPr>
          <w:i/>
          <w:iCs/>
        </w:rPr>
        <w:t>ValueError</w:t>
      </w:r>
      <w:proofErr w:type="spellEnd"/>
      <w:r>
        <w:t xml:space="preserve"> ao alterar a extensão do modelo de .h5 para o </w:t>
      </w:r>
      <w:proofErr w:type="gramStart"/>
      <w:r>
        <w:t>formato .weights</w:t>
      </w:r>
      <w:proofErr w:type="gramEnd"/>
      <w:r>
        <w:t xml:space="preserve">.h5 na instrução de </w:t>
      </w:r>
      <w:proofErr w:type="spellStart"/>
      <w:r>
        <w:t>save_weights</w:t>
      </w:r>
      <w:proofErr w:type="spellEnd"/>
      <w:r>
        <w:t>, ao lado da construção .</w:t>
      </w:r>
      <w:proofErr w:type="spellStart"/>
      <w:r>
        <w:t>to_</w:t>
      </w:r>
      <w:proofErr w:type="gramStart"/>
      <w:r>
        <w:t>json</w:t>
      </w:r>
      <w:proofErr w:type="spellEnd"/>
      <w:r>
        <w:t>(</w:t>
      </w:r>
      <w:proofErr w:type="gramEnd"/>
      <w:r>
        <w:t>) da arquitetura do modelo.</w:t>
      </w:r>
    </w:p>
    <w:p w14:paraId="1B59CB4F" w14:textId="77777777" w:rsidR="00697D39" w:rsidRDefault="00000000">
      <w:pPr>
        <w:pStyle w:val="Ttulo2"/>
      </w:pPr>
      <w:r>
        <w:t>5. Conclusões Finais</w:t>
      </w:r>
    </w:p>
    <w:p w14:paraId="5ED952EA" w14:textId="77777777" w:rsidR="00697D3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O desenvolvimento da Previsão Multivariada demonstrou ser uma ferramenta altamente competente para mapear o comportamento da bolsa de valores. Conclui-se que:</w:t>
      </w:r>
    </w:p>
    <w:p w14:paraId="524EC435" w14:textId="77777777" w:rsidR="00697D3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Interdependência Global:</w:t>
      </w:r>
      <w:r>
        <w:t xml:space="preserve"> A Bovespa possui forte </w:t>
      </w:r>
      <w:proofErr w:type="spellStart"/>
      <w:r>
        <w:t>corelação</w:t>
      </w:r>
      <w:proofErr w:type="spellEnd"/>
      <w:r>
        <w:t xml:space="preserve"> com pares asiáticos (Shanghai), americanos (S&amp;P 500) e contratos de minério e petróleo. A inteligência artificial (GRU/LSTM/MLP) foi capaz de ler tais correlações multivariadas de maneira mais eficaz do que a estatística clássica unilateral (ARIMA/SARIMAX), uma vez que estes últimos requerem linearidade muitas vezes ausente nos dados de mercado.</w:t>
      </w:r>
    </w:p>
    <w:p w14:paraId="32C9FFFE" w14:textId="77777777" w:rsidR="00697D3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Ponto Nominal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Probabilidade:</w:t>
      </w:r>
      <w:r>
        <w:t xml:space="preserve"> Estabeleceu-se que algoritmos de classificação em zonas probabilísticas (arquiteturas de 3 e 5 classes baseadas na variação do fechamento anterior) fornecem previsões estrategicamente mais seguras e aplicáveis do que algoritmos de regressão estrita. Saber a probabilidade matemática direcional (MDA) para cenários de "Alta" </w:t>
      </w:r>
      <w:proofErr w:type="spellStart"/>
      <w:r>
        <w:t>vs</w:t>
      </w:r>
      <w:proofErr w:type="spellEnd"/>
      <w:r>
        <w:t xml:space="preserve"> "Neutro" agrega muito mais valor em gestão de risco.</w:t>
      </w:r>
    </w:p>
    <w:p w14:paraId="0A6E8BD8" w14:textId="77777777" w:rsidR="00697D3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Arquitetura de Dados:</w:t>
      </w:r>
      <w:r>
        <w:t xml:space="preserve"> O uso estrito de Data </w:t>
      </w:r>
      <w:proofErr w:type="spellStart"/>
      <w:r>
        <w:t>Scaling</w:t>
      </w:r>
      <w:proofErr w:type="spellEnd"/>
      <w:r>
        <w:t xml:space="preserve"> e preenchimento de feriados internacionais provou-se uma etapa crucial no processamento. Negligenciar a variação nominal extrema das variáveis (como os 100k pontos da Bovespa e os $5 do Dólar) levaria inevitavelmente as redes neurais a um problema de explosão de pesos e falta de convergência.</w:t>
      </w:r>
    </w:p>
    <w:sectPr w:rsidR="00697D3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23C5124-F4E1-4F60-8196-7485692114D5}"/>
  </w:font>
  <w:font w:name="Fira Mono">
    <w:charset w:val="00"/>
    <w:family w:val="modern"/>
    <w:pitch w:val="fixed"/>
    <w:sig w:usb0="40000287" w:usb1="02003801" w:usb2="00000000" w:usb3="00000000" w:csb0="0000009F" w:csb1="00000000"/>
    <w:embedBold r:id="rId2" w:fontKey="{12ADCEA8-7556-4C10-B874-062112D94C3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E49A04F-1BA7-49D2-99D1-C3AF82CDA2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215774D-D72C-4C8A-B9B3-13AEBA0D99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6D71"/>
    <w:multiLevelType w:val="multilevel"/>
    <w:tmpl w:val="BE88E5D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07D2EAE"/>
    <w:multiLevelType w:val="multilevel"/>
    <w:tmpl w:val="49047D9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1F03443"/>
    <w:multiLevelType w:val="multilevel"/>
    <w:tmpl w:val="6CF4367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752685A"/>
    <w:multiLevelType w:val="multilevel"/>
    <w:tmpl w:val="3E6073F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98438043">
    <w:abstractNumId w:val="1"/>
  </w:num>
  <w:num w:numId="2" w16cid:durableId="1644846549">
    <w:abstractNumId w:val="0"/>
  </w:num>
  <w:num w:numId="3" w16cid:durableId="2070300187">
    <w:abstractNumId w:val="2"/>
  </w:num>
  <w:num w:numId="4" w16cid:durableId="1136415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D39"/>
    <w:rsid w:val="00697D39"/>
    <w:rsid w:val="00B81B39"/>
    <w:rsid w:val="00E23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DE11A"/>
  <w15:docId w15:val="{4F822A96-94DF-444C-8AAE-CEB684E01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1024</Words>
  <Characters>5535</Characters>
  <Application>Microsoft Office Word</Application>
  <DocSecurity>0</DocSecurity>
  <Lines>46</Lines>
  <Paragraphs>13</Paragraphs>
  <ScaleCrop>false</ScaleCrop>
  <Company/>
  <LinksUpToDate>false</LinksUpToDate>
  <CharactersWithSpaces>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 Sant Anna</dc:creator>
  <cp:lastModifiedBy>Flavio Sant Anna</cp:lastModifiedBy>
  <cp:revision>2</cp:revision>
  <dcterms:created xsi:type="dcterms:W3CDTF">2026-05-23T17:21:00Z</dcterms:created>
  <dcterms:modified xsi:type="dcterms:W3CDTF">2026-05-23T17:21:00Z</dcterms:modified>
</cp:coreProperties>
</file>