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C443D" w:rsidP="00D304E5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SessionEstablish-M3-IDD-REST-JSON-TLS</w:t>
      </w:r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5338CE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 w14:anchorId="13AEEF89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interface design of the </w:t>
                  </w:r>
                  <w:proofErr w:type="spellStart"/>
                  <w:r w:rsidR="001C443D">
                    <w:rPr>
                      <w:sz w:val="22"/>
                      <w:szCs w:val="22"/>
                      <w:lang w:val="en-US"/>
                    </w:rPr>
                    <w:t>SessionEstablish</w:t>
                  </w:r>
                  <w:proofErr w:type="spellEnd"/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document describes the Session Establish Service and how it can be accessed using HTTP methods and JSON payloads. 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are two methods implemented. Table 1 describes these. </w:t>
      </w:r>
    </w:p>
    <w:p w:rsidR="004D030F" w:rsidRDefault="004D030F" w:rsidP="00853B9E">
      <w:pPr>
        <w:pStyle w:val="Szvegtrzs"/>
      </w:pP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301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265"/>
        <w:gridCol w:w="2657"/>
        <w:gridCol w:w="1134"/>
        <w:gridCol w:w="1843"/>
        <w:gridCol w:w="3402"/>
      </w:tblGrid>
      <w:tr w:rsidR="004D030F" w:rsidRPr="00CB037C" w:rsidTr="004D030F">
        <w:trPr>
          <w:trHeight w:val="280"/>
        </w:trPr>
        <w:tc>
          <w:tcPr>
            <w:tcW w:w="1265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601375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Consumer</w:t>
            </w:r>
          </w:p>
        </w:tc>
        <w:tc>
          <w:tcPr>
            <w:tcW w:w="2657" w:type="dxa"/>
          </w:tcPr>
          <w:p w:rsidR="00601375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connectToConsumer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601375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843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ConnectToConsumerRequest</w:t>
            </w:r>
            <w:proofErr w:type="spellEnd"/>
          </w:p>
        </w:tc>
        <w:tc>
          <w:tcPr>
            <w:tcW w:w="3402" w:type="dxa"/>
          </w:tcPr>
          <w:p w:rsidR="00601375" w:rsidRDefault="004D030F" w:rsidP="00853B9E">
            <w:pPr>
              <w:pStyle w:val="Szvegtrzs"/>
            </w:pPr>
            <w:proofErr w:type="spellStart"/>
            <w:r>
              <w:t>ConnectToConsumerResponse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4D030F" w:rsidRDefault="004D030F" w:rsidP="00853B9E">
            <w:pPr>
              <w:pStyle w:val="Szvegtrzs"/>
            </w:pPr>
            <w:r>
              <w:t xml:space="preserve">Connect </w:t>
            </w:r>
            <w:proofErr w:type="gramStart"/>
            <w:r>
              <w:t>To</w:t>
            </w:r>
            <w:proofErr w:type="gramEnd"/>
            <w:r>
              <w:t xml:space="preserve"> Provider</w:t>
            </w:r>
          </w:p>
        </w:tc>
        <w:tc>
          <w:tcPr>
            <w:tcW w:w="2657" w:type="dxa"/>
          </w:tcPr>
          <w:p w:rsidR="004D030F" w:rsidRDefault="004D030F" w:rsidP="00853B9E">
            <w:pPr>
              <w:pStyle w:val="Szvegtrzs"/>
            </w:pPr>
            <w:r>
              <w:t>“/</w:t>
            </w:r>
            <w:proofErr w:type="spellStart"/>
            <w:r>
              <w:t>connectToProvider</w:t>
            </w:r>
            <w:proofErr w:type="spellEnd"/>
            <w:r>
              <w:t>”</w:t>
            </w:r>
          </w:p>
        </w:tc>
        <w:tc>
          <w:tcPr>
            <w:tcW w:w="1134" w:type="dxa"/>
          </w:tcPr>
          <w:p w:rsidR="004D030F" w:rsidRDefault="004D030F" w:rsidP="00853B9E">
            <w:pPr>
              <w:pStyle w:val="Szvegtrzs"/>
            </w:pPr>
            <w:r>
              <w:t>PUT</w:t>
            </w:r>
          </w:p>
        </w:tc>
        <w:tc>
          <w:tcPr>
            <w:tcW w:w="1843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ConnectToProviderRequest</w:t>
            </w:r>
            <w:proofErr w:type="spellEnd"/>
          </w:p>
        </w:tc>
        <w:tc>
          <w:tcPr>
            <w:tcW w:w="3402" w:type="dxa"/>
          </w:tcPr>
          <w:p w:rsidR="004D030F" w:rsidRDefault="004D030F" w:rsidP="00853B9E">
            <w:pPr>
              <w:pStyle w:val="Szvegtrzs"/>
            </w:pPr>
            <w:proofErr w:type="spellStart"/>
            <w:r>
              <w:t>ConnectToProviderResponse</w:t>
            </w:r>
            <w:proofErr w:type="spellEnd"/>
          </w:p>
          <w:p w:rsidR="00172B8B" w:rsidRDefault="00172B8B" w:rsidP="00853B9E">
            <w:pPr>
              <w:pStyle w:val="Szvegtrzs"/>
            </w:pPr>
            <w:r>
              <w:t>200 OK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ED305B" w:rsidRDefault="00172B8B" w:rsidP="00853B9E">
      <w:pPr>
        <w:pStyle w:val="Szvegtrzs"/>
      </w:pPr>
      <w:r w:rsidRPr="00C9731B">
        <w:t xml:space="preserve">The </w:t>
      </w:r>
      <w:proofErr w:type="spellStart"/>
      <w:r w:rsidRPr="00C9731B">
        <w:t>ConnectToConsumerRequest</w:t>
      </w:r>
      <w:proofErr w:type="spellEnd"/>
      <w:r w:rsidRPr="00C9731B">
        <w:t xml:space="preserve"> payload has a response payload called </w:t>
      </w:r>
      <w:proofErr w:type="spellStart"/>
      <w:r w:rsidR="00AA0A8C" w:rsidRPr="00C9731B">
        <w:t>ConnectToConsumerResponse</w:t>
      </w:r>
      <w:proofErr w:type="spellEnd"/>
      <w:r w:rsidRPr="00C9731B">
        <w:t xml:space="preserve">, while the </w:t>
      </w:r>
      <w:proofErr w:type="spellStart"/>
      <w:r w:rsidR="00AA0A8C" w:rsidRPr="00C9731B">
        <w:t>ConnectToProviderRequest</w:t>
      </w:r>
      <w:proofErr w:type="spellEnd"/>
      <w:r w:rsidR="00AA0A8C" w:rsidRPr="00C9731B">
        <w:t xml:space="preserve"> </w:t>
      </w:r>
      <w:r w:rsidRPr="00C9731B">
        <w:t xml:space="preserve">has a response </w:t>
      </w:r>
      <w:r w:rsidR="00AA0A8C" w:rsidRPr="00C9731B">
        <w:t xml:space="preserve">payload called </w:t>
      </w:r>
      <w:proofErr w:type="spellStart"/>
      <w:r w:rsidR="00AA0A8C" w:rsidRPr="00C9731B">
        <w:t>ConnectToProviderResponse</w:t>
      </w:r>
      <w:proofErr w:type="spellEnd"/>
      <w:r w:rsidR="00AA0A8C" w:rsidRPr="00C9731B">
        <w:t xml:space="preserve">. </w:t>
      </w:r>
      <w:r w:rsidRPr="00C9731B">
        <w:t>Examples for these payloads are given here for the REST-JSON-TLS implementation</w:t>
      </w:r>
      <w:r>
        <w:t>.</w:t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3.1. </w:t>
      </w:r>
      <w:proofErr w:type="spellStart"/>
      <w:r w:rsidRPr="002440A6">
        <w:t>ConnectToConsumerRequest</w:t>
      </w:r>
      <w:proofErr w:type="spellEnd"/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>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brokerName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</w:t>
      </w:r>
      <w:r w:rsidR="00A95530" w:rsidRPr="009914A1">
        <w:rPr>
          <w:rFonts w:eastAsia="MS PGothic" w:cs="Lucida Grande"/>
          <w:sz w:val="22"/>
          <w:szCs w:val="22"/>
          <w:lang w:val="en-US" w:eastAsia="en-US"/>
        </w:rPr>
        <w:t>arrowhead3</w:t>
      </w:r>
      <w:r w:rsidRPr="009914A1">
        <w:rPr>
          <w:rFonts w:eastAsia="MS PGothic" w:cs="Lucida Grande"/>
          <w:sz w:val="22"/>
          <w:szCs w:val="22"/>
          <w:lang w:val="en-US" w:eastAsia="en-US"/>
        </w:rPr>
        <w:t>.tmit.bme.hu",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brokerPort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5672,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queueName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"151861826039903007399088612781",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controlQueueName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"151861826039903007399088612781_control",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"consumer":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systemName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"client1",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"address": "localhost",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"port": 0,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authenticationInfo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"null"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"provider":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systemName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InsecureTemperatureSensor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"address": "10.0.0.82",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"port": 8454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consumerCloud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"operator": 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EVManufacturer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cloudName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EVCloud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"address": "10.0.0.80",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"port": 8446,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gatekeeperServiceURI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"gatekeeper",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authenticationInfo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"Gatekeeper PK",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"secure": false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providerCloud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"operator": 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SmartGridOperator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cloudName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SmartGrid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"address": "10.0.0.82",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"port": 8446,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gatekeeperServiceURI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"gatekeeper",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authenticationInfo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"Gatekeeper PK",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"secure": false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"service":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serviceDefinition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IndoorTemperature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"interfaces": [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json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],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serviceMetadata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{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"unit": 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celsius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</w:r>
      <w:r w:rsidRPr="009914A1">
        <w:rPr>
          <w:rFonts w:eastAsia="MS PGothic" w:cs="Lucida Grande"/>
          <w:sz w:val="22"/>
          <w:szCs w:val="22"/>
          <w:lang w:val="en-US" w:eastAsia="en-US"/>
        </w:rPr>
        <w:tab/>
        <w:t>}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},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</w:t>
      </w:r>
      <w:proofErr w:type="spellStart"/>
      <w:r w:rsidRPr="009914A1">
        <w:rPr>
          <w:rFonts w:eastAsia="MS PGothic" w:cs="Lucida Grande"/>
          <w:sz w:val="22"/>
          <w:szCs w:val="22"/>
          <w:lang w:val="en-US" w:eastAsia="en-US"/>
        </w:rPr>
        <w:t>isSecure</w:t>
      </w:r>
      <w:proofErr w:type="spellEnd"/>
      <w:r w:rsidRPr="009914A1">
        <w:rPr>
          <w:rFonts w:eastAsia="MS PGothic" w:cs="Lucida Grande"/>
          <w:sz w:val="22"/>
          <w:szCs w:val="22"/>
          <w:lang w:val="en-US" w:eastAsia="en-US"/>
        </w:rPr>
        <w:t>": false,</w:t>
      </w:r>
    </w:p>
    <w:p w:rsidR="00542750" w:rsidRPr="009914A1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2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ab/>
        <w:t>"timeout": 30000</w:t>
      </w:r>
    </w:p>
    <w:p w:rsidR="002440A6" w:rsidRDefault="00542750" w:rsidP="0054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9914A1">
        <w:rPr>
          <w:rFonts w:eastAsia="MS PGothic" w:cs="Lucida Grande"/>
          <w:sz w:val="22"/>
          <w:szCs w:val="22"/>
          <w:lang w:val="en-US" w:eastAsia="en-US"/>
        </w:rPr>
        <w:t>}</w:t>
      </w:r>
      <w:r w:rsidR="002440A6"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3.2. </w:t>
      </w:r>
      <w:proofErr w:type="spellStart"/>
      <w:r w:rsidRPr="002440A6">
        <w:t>ConnectToConsumerR</w:t>
      </w:r>
      <w:r>
        <w:t>esponse</w:t>
      </w:r>
      <w:proofErr w:type="spellEnd"/>
    </w:p>
    <w:p w:rsid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serverSocketPort</w:t>
      </w:r>
      <w:proofErr w:type="spellEnd"/>
      <w:r>
        <w:t>": 8000</w:t>
      </w:r>
    </w:p>
    <w:p w:rsidR="00853B9E" w:rsidRPr="00853B9E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3.3. </w:t>
      </w:r>
      <w:proofErr w:type="spellStart"/>
      <w:r w:rsidRPr="002440A6">
        <w:t>ConnectTo</w:t>
      </w:r>
      <w:r>
        <w:t>Provider</w:t>
      </w:r>
      <w:r w:rsidRPr="002440A6">
        <w:t>Request</w:t>
      </w:r>
      <w:proofErr w:type="spellEnd"/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>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brokerName</w:t>
      </w:r>
      <w:proofErr w:type="spellEnd"/>
      <w:r w:rsidRPr="007A151D">
        <w:rPr>
          <w:sz w:val="22"/>
        </w:rPr>
        <w:t>": "</w:t>
      </w:r>
      <w:r w:rsidRPr="007A151D">
        <w:rPr>
          <w:sz w:val="22"/>
        </w:rPr>
        <w:t>arrowhead</w:t>
      </w:r>
      <w:r w:rsidRPr="007A151D">
        <w:rPr>
          <w:sz w:val="22"/>
        </w:rPr>
        <w:t>3.tmit.bme.hu",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brokerPort</w:t>
      </w:r>
      <w:proofErr w:type="spellEnd"/>
      <w:r w:rsidRPr="007A151D">
        <w:rPr>
          <w:sz w:val="22"/>
        </w:rPr>
        <w:t>": 5672,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"consumer":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systemName</w:t>
      </w:r>
      <w:proofErr w:type="spellEnd"/>
      <w:r w:rsidRPr="007A151D">
        <w:rPr>
          <w:sz w:val="22"/>
        </w:rPr>
        <w:t>": "client1",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"address": "localhost",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"port": 0,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authenticationInfo</w:t>
      </w:r>
      <w:proofErr w:type="spellEnd"/>
      <w:r w:rsidRPr="007A151D">
        <w:rPr>
          <w:sz w:val="22"/>
        </w:rPr>
        <w:t>": "null"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"provider":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systemName</w:t>
      </w:r>
      <w:proofErr w:type="spellEnd"/>
      <w:r w:rsidRPr="007A151D">
        <w:rPr>
          <w:sz w:val="22"/>
        </w:rPr>
        <w:t>": "</w:t>
      </w:r>
      <w:proofErr w:type="spellStart"/>
      <w:r w:rsidRPr="007A151D">
        <w:rPr>
          <w:sz w:val="22"/>
        </w:rPr>
        <w:t>InsecureTemperatureSensor</w:t>
      </w:r>
      <w:proofErr w:type="spellEnd"/>
      <w:r w:rsidRPr="007A151D">
        <w:rPr>
          <w:sz w:val="22"/>
        </w:rPr>
        <w:t>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"address": "10.0.0.82",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"port": 8454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consumerCloud</w:t>
      </w:r>
      <w:proofErr w:type="spellEnd"/>
      <w:r w:rsidRPr="007A151D">
        <w:rPr>
          <w:sz w:val="22"/>
        </w:rPr>
        <w:t>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"operator": "</w:t>
      </w:r>
      <w:proofErr w:type="spellStart"/>
      <w:r w:rsidRPr="007A151D">
        <w:rPr>
          <w:sz w:val="22"/>
        </w:rPr>
        <w:t>EVManufacturer</w:t>
      </w:r>
      <w:proofErr w:type="spellEnd"/>
      <w:r w:rsidRPr="007A151D">
        <w:rPr>
          <w:sz w:val="22"/>
        </w:rPr>
        <w:t>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cloudName</w:t>
      </w:r>
      <w:proofErr w:type="spellEnd"/>
      <w:r w:rsidRPr="007A151D">
        <w:rPr>
          <w:sz w:val="22"/>
        </w:rPr>
        <w:t>": "</w:t>
      </w:r>
      <w:proofErr w:type="spellStart"/>
      <w:r w:rsidRPr="007A151D">
        <w:rPr>
          <w:sz w:val="22"/>
        </w:rPr>
        <w:t>EVCloud</w:t>
      </w:r>
      <w:proofErr w:type="spellEnd"/>
      <w:r w:rsidRPr="007A151D">
        <w:rPr>
          <w:sz w:val="22"/>
        </w:rPr>
        <w:t>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"address": "10.0.0.80",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"port": 8446,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gatekeeperServiceURI</w:t>
      </w:r>
      <w:proofErr w:type="spellEnd"/>
      <w:r w:rsidRPr="007A151D">
        <w:rPr>
          <w:sz w:val="22"/>
        </w:rPr>
        <w:t>": "gatekeeper",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authenticationInfo</w:t>
      </w:r>
      <w:proofErr w:type="spellEnd"/>
      <w:r w:rsidRPr="007A151D">
        <w:rPr>
          <w:sz w:val="22"/>
        </w:rPr>
        <w:t>": "Gatekeeper PK",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"secure": false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providerCloud</w:t>
      </w:r>
      <w:proofErr w:type="spellEnd"/>
      <w:r w:rsidRPr="007A151D">
        <w:rPr>
          <w:sz w:val="22"/>
        </w:rPr>
        <w:t>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"operator": "</w:t>
      </w:r>
      <w:proofErr w:type="spellStart"/>
      <w:r w:rsidRPr="007A151D">
        <w:rPr>
          <w:sz w:val="22"/>
        </w:rPr>
        <w:t>SmartGridOperator</w:t>
      </w:r>
      <w:proofErr w:type="spellEnd"/>
      <w:r w:rsidRPr="007A151D">
        <w:rPr>
          <w:sz w:val="22"/>
        </w:rPr>
        <w:t>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cloudName</w:t>
      </w:r>
      <w:proofErr w:type="spellEnd"/>
      <w:r w:rsidRPr="007A151D">
        <w:rPr>
          <w:sz w:val="22"/>
        </w:rPr>
        <w:t>": "</w:t>
      </w:r>
      <w:proofErr w:type="spellStart"/>
      <w:r w:rsidRPr="007A151D">
        <w:rPr>
          <w:sz w:val="22"/>
        </w:rPr>
        <w:t>SmartGrid</w:t>
      </w:r>
      <w:proofErr w:type="spellEnd"/>
      <w:r w:rsidRPr="007A151D">
        <w:rPr>
          <w:sz w:val="22"/>
        </w:rPr>
        <w:t>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"address": "10.0.0.82",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"port": 8446,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gatekeeperServiceURI</w:t>
      </w:r>
      <w:proofErr w:type="spellEnd"/>
      <w:r w:rsidRPr="007A151D">
        <w:rPr>
          <w:sz w:val="22"/>
        </w:rPr>
        <w:t>": "gatekeeper",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authenticationInfo</w:t>
      </w:r>
      <w:proofErr w:type="spellEnd"/>
      <w:r w:rsidRPr="007A151D">
        <w:rPr>
          <w:sz w:val="22"/>
        </w:rPr>
        <w:t>": "Gatekeeper PK",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"secure": false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"service":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serviceDefinition</w:t>
      </w:r>
      <w:proofErr w:type="spellEnd"/>
      <w:r w:rsidRPr="007A151D">
        <w:rPr>
          <w:sz w:val="22"/>
        </w:rPr>
        <w:t>": "</w:t>
      </w:r>
      <w:proofErr w:type="spellStart"/>
      <w:r w:rsidRPr="007A151D">
        <w:rPr>
          <w:sz w:val="22"/>
        </w:rPr>
        <w:t>IndoorTemperature</w:t>
      </w:r>
      <w:proofErr w:type="spellEnd"/>
      <w:r w:rsidRPr="007A151D">
        <w:rPr>
          <w:sz w:val="22"/>
        </w:rPr>
        <w:t>",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"interfaces": [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json</w:t>
      </w:r>
      <w:proofErr w:type="spellEnd"/>
      <w:r w:rsidRPr="007A151D">
        <w:rPr>
          <w:sz w:val="22"/>
        </w:rPr>
        <w:t>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],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serviceMetadata</w:t>
      </w:r>
      <w:proofErr w:type="spellEnd"/>
      <w:r w:rsidRPr="007A151D">
        <w:rPr>
          <w:sz w:val="22"/>
        </w:rPr>
        <w:t>": {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</w:r>
      <w:r w:rsidRPr="007A151D">
        <w:rPr>
          <w:sz w:val="22"/>
        </w:rPr>
        <w:tab/>
        <w:t>"unit": "</w:t>
      </w:r>
      <w:proofErr w:type="spellStart"/>
      <w:r w:rsidRPr="007A151D">
        <w:rPr>
          <w:sz w:val="22"/>
        </w:rPr>
        <w:t>celsius</w:t>
      </w:r>
      <w:proofErr w:type="spellEnd"/>
      <w:r w:rsidRPr="007A151D">
        <w:rPr>
          <w:sz w:val="22"/>
        </w:rPr>
        <w:t>"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</w:r>
      <w:r w:rsidRPr="007A151D">
        <w:rPr>
          <w:sz w:val="22"/>
        </w:rPr>
        <w:tab/>
        <w:t>}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},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</w:t>
      </w:r>
      <w:proofErr w:type="spellStart"/>
      <w:r w:rsidRPr="007A151D">
        <w:rPr>
          <w:sz w:val="22"/>
        </w:rPr>
        <w:t>isSecure</w:t>
      </w:r>
      <w:proofErr w:type="spellEnd"/>
      <w:r w:rsidRPr="007A151D">
        <w:rPr>
          <w:sz w:val="22"/>
        </w:rPr>
        <w:t>": false,</w:t>
      </w:r>
    </w:p>
    <w:p w:rsidR="007A151D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ab/>
        <w:t>"timeout": 30000</w:t>
      </w:r>
    </w:p>
    <w:p w:rsidR="00853B9E" w:rsidRPr="007A151D" w:rsidRDefault="007A151D" w:rsidP="007A151D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 w:rsidRPr="007A151D">
        <w:rPr>
          <w:sz w:val="22"/>
        </w:rPr>
        <w:t>}</w:t>
      </w:r>
    </w:p>
    <w:p w:rsidR="002440A6" w:rsidRDefault="002440A6" w:rsidP="00853B9E">
      <w:pPr>
        <w:pStyle w:val="Szvegtrzs"/>
        <w:rPr>
          <w:rFonts w:ascii="Calibri" w:eastAsiaTheme="majorEastAsia" w:hAnsi="Calibri" w:cstheme="majorBidi"/>
          <w:color w:val="000000" w:themeColor="text1"/>
          <w:sz w:val="32"/>
          <w:szCs w:val="32"/>
        </w:rPr>
      </w:pPr>
      <w:r>
        <w:br w:type="page"/>
      </w:r>
    </w:p>
    <w:p w:rsidR="002440A6" w:rsidRDefault="002440A6" w:rsidP="002440A6">
      <w:pPr>
        <w:pStyle w:val="Cmsor1"/>
        <w:numPr>
          <w:ilvl w:val="0"/>
          <w:numId w:val="0"/>
        </w:numPr>
        <w:ind w:left="1134" w:hanging="1134"/>
      </w:pPr>
      <w:r>
        <w:lastRenderedPageBreak/>
        <w:t xml:space="preserve">3.4. </w:t>
      </w:r>
      <w:proofErr w:type="spellStart"/>
      <w:r w:rsidRPr="002440A6">
        <w:t>ConnectTo</w:t>
      </w:r>
      <w:r>
        <w:t>ProviderResponse</w:t>
      </w:r>
      <w:proofErr w:type="spellEnd"/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A151D">
        <w:rPr>
          <w:rFonts w:eastAsia="MS PGothic" w:cs="Lucida Grande"/>
          <w:szCs w:val="22"/>
          <w:lang w:val="en-US" w:eastAsia="en-US"/>
        </w:rPr>
        <w:t>{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A151D">
        <w:rPr>
          <w:rFonts w:eastAsia="MS PGothic" w:cs="Lucida Grande"/>
          <w:szCs w:val="22"/>
          <w:lang w:val="en-US" w:eastAsia="en-US"/>
        </w:rPr>
        <w:t xml:space="preserve">  "</w:t>
      </w:r>
      <w:proofErr w:type="spellStart"/>
      <w:r w:rsidRPr="007A151D">
        <w:rPr>
          <w:rFonts w:eastAsia="MS PGothic" w:cs="Lucida Grande"/>
          <w:szCs w:val="22"/>
          <w:lang w:val="en-US" w:eastAsia="en-US"/>
        </w:rPr>
        <w:t>queueName</w:t>
      </w:r>
      <w:proofErr w:type="spellEnd"/>
      <w:r w:rsidRPr="007A151D">
        <w:rPr>
          <w:rFonts w:eastAsia="MS PGothic" w:cs="Lucida Grande"/>
          <w:szCs w:val="22"/>
          <w:lang w:val="en-US" w:eastAsia="en-US"/>
        </w:rPr>
        <w:t>": "151861826039903007399088612781",</w:t>
      </w:r>
    </w:p>
    <w:p w:rsidR="007A151D" w:rsidRPr="007A151D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A151D">
        <w:rPr>
          <w:rFonts w:eastAsia="MS PGothic" w:cs="Lucida Grande"/>
          <w:szCs w:val="22"/>
          <w:lang w:val="en-US" w:eastAsia="en-US"/>
        </w:rPr>
        <w:t xml:space="preserve">  "</w:t>
      </w:r>
      <w:proofErr w:type="spellStart"/>
      <w:r w:rsidRPr="007A151D">
        <w:rPr>
          <w:rFonts w:eastAsia="MS PGothic" w:cs="Lucida Grande"/>
          <w:szCs w:val="22"/>
          <w:lang w:val="en-US" w:eastAsia="en-US"/>
        </w:rPr>
        <w:t>controlQueueName</w:t>
      </w:r>
      <w:proofErr w:type="spellEnd"/>
      <w:r w:rsidRPr="007A151D">
        <w:rPr>
          <w:rFonts w:eastAsia="MS PGothic" w:cs="Lucida Grande"/>
          <w:szCs w:val="22"/>
          <w:lang w:val="en-US" w:eastAsia="en-US"/>
        </w:rPr>
        <w:t>": "151861826039903007399088612781_control"</w:t>
      </w:r>
    </w:p>
    <w:p w:rsidR="00853B9E" w:rsidRDefault="007A151D" w:rsidP="007A1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7A151D">
        <w:rPr>
          <w:rFonts w:eastAsia="MS PGothic" w:cs="Lucida Grande"/>
          <w:szCs w:val="22"/>
          <w:lang w:val="en-US" w:eastAsia="en-US"/>
        </w:rPr>
        <w:t>}</w:t>
      </w:r>
      <w:bookmarkStart w:id="0" w:name="_GoBack"/>
      <w:bookmarkEnd w:id="0"/>
      <w:r w:rsidR="00853B9E">
        <w:br w:type="page"/>
      </w:r>
    </w:p>
    <w:p w:rsidR="00853B9E" w:rsidRPr="00C51634" w:rsidRDefault="00853B9E" w:rsidP="00853B9E">
      <w:pPr>
        <w:pStyle w:val="Szvegtrzs"/>
      </w:pPr>
    </w:p>
    <w:p w:rsidR="00105116" w:rsidRPr="002C447C" w:rsidRDefault="00105116" w:rsidP="004D030F">
      <w:pPr>
        <w:pStyle w:val="Cm"/>
      </w:pPr>
      <w:bookmarkStart w:id="1" w:name="_Toc354828814"/>
      <w:r w:rsidRPr="002C447C">
        <w:t>Revision history</w:t>
      </w:r>
      <w:bookmarkEnd w:id="1"/>
    </w:p>
    <w:p w:rsidR="00105116" w:rsidRPr="002C447C" w:rsidRDefault="00105116" w:rsidP="004D030F">
      <w:pPr>
        <w:pStyle w:val="Cmsor1"/>
      </w:pPr>
      <w:bookmarkStart w:id="2" w:name="_Toc354828815"/>
      <w:r w:rsidRPr="002C447C"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3" w:name="_Toc354828816"/>
      <w:r w:rsidRPr="00C8607D"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CE" w:rsidRDefault="005338CE" w:rsidP="00252D9B">
      <w:r>
        <w:separator/>
      </w:r>
    </w:p>
  </w:endnote>
  <w:endnote w:type="continuationSeparator" w:id="0">
    <w:p w:rsidR="005338CE" w:rsidRDefault="005338CE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5338CE">
    <w:pPr>
      <w:pStyle w:val="llb"/>
    </w:pPr>
    <w:r>
      <w:rPr>
        <w:noProof/>
        <w:lang w:val="en-GB" w:eastAsia="en-GB"/>
      </w:rPr>
      <w:pict w14:anchorId="7D83A59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5338CE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258EB9AC"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418BEC3">
        <v:line id="Rak 9" o:spid="_x0000_s2051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5338CE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747996F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1A2245DD">
        <v:line id="Line 5" o:spid="_x0000_s2049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CE" w:rsidRDefault="005338CE" w:rsidP="00252D9B">
      <w:r>
        <w:separator/>
      </w:r>
    </w:p>
  </w:footnote>
  <w:footnote w:type="continuationSeparator" w:id="0">
    <w:p w:rsidR="005338CE" w:rsidRDefault="005338CE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075D2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M3 </w:t>
          </w:r>
          <w:r w:rsidR="001C443D">
            <w:rPr>
              <w:rFonts w:asciiTheme="majorHAnsi" w:hAnsiTheme="majorHAnsi"/>
              <w:sz w:val="18"/>
              <w:szCs w:val="18"/>
              <w:lang w:val="en-US"/>
            </w:rPr>
            <w:t>IDD-REST-JSON-TLS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E766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075D2E" w:rsidRPr="00075D2E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075D2E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317C92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1C443D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A151D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A151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IDD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C76DE5" w:rsidRDefault="00075D2E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E766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075D2E" w:rsidRPr="00075D2E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EB1678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A151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7A151D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pStyle w:val="Cmsor1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75D2E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C92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D030F"/>
    <w:rsid w:val="004D741C"/>
    <w:rsid w:val="004F0F59"/>
    <w:rsid w:val="004F4B5E"/>
    <w:rsid w:val="00503B5A"/>
    <w:rsid w:val="00512379"/>
    <w:rsid w:val="0051583A"/>
    <w:rsid w:val="005338CE"/>
    <w:rsid w:val="0053517A"/>
    <w:rsid w:val="00542750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E766F"/>
    <w:rsid w:val="005F251B"/>
    <w:rsid w:val="005F3371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151D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651FD"/>
    <w:rsid w:val="009658C5"/>
    <w:rsid w:val="00974A31"/>
    <w:rsid w:val="00985AD1"/>
    <w:rsid w:val="009914A1"/>
    <w:rsid w:val="009A06E4"/>
    <w:rsid w:val="009A7920"/>
    <w:rsid w:val="009B2352"/>
    <w:rsid w:val="009B6057"/>
    <w:rsid w:val="009C15EF"/>
    <w:rsid w:val="009C59D1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95530"/>
    <w:rsid w:val="00AA0A8C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06F03919"/>
  <w15:docId w15:val="{DC1C0444-EB0F-4C2B-91D4-3777BA93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EAC108-60FB-4D1E-8EC6-F43A1012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303</TotalTime>
  <Pages>7</Pages>
  <Words>412</Words>
  <Characters>2848</Characters>
  <Application>Microsoft Office Word</Application>
  <DocSecurity>0</DocSecurity>
  <Lines>23</Lines>
  <Paragraphs>6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Csaba Hegedűs</cp:lastModifiedBy>
  <cp:revision>47</cp:revision>
  <cp:lastPrinted>2013-11-27T17:28:00Z</cp:lastPrinted>
  <dcterms:created xsi:type="dcterms:W3CDTF">2013-11-20T15:39:00Z</dcterms:created>
  <dcterms:modified xsi:type="dcterms:W3CDTF">2018-02-14T14:33:00Z</dcterms:modified>
</cp:coreProperties>
</file>