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LEVANTAMENTO DE CARGA – UNIDADE INDUSTRIAL</w:t>
      </w:r>
    </w:p>
    <w:p>
      <w:pPr>
        <w:jc w:val="center"/>
      </w:pPr>
      <w:r>
        <w:rPr>
          <w:i/>
          <w:sz w:val="20"/>
        </w:rPr>
        <w:t>Tabela de referência com demanda-alvo de aproximadamente 20 kW</w:t>
      </w:r>
    </w:p>
    <w:p>
      <w:pPr>
        <w:spacing w:after="120"/>
      </w:pPr>
      <w:r>
        <w:t>Cliente: ROSEMBERGUE LEAO E SILVA | UC: 000068889901235 | Classe: Industrial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Pot. Unit. (W)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Qtd.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CI (kW)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FP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CI (kVA)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FD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 (kW)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 (kVA)</w:t>
            </w:r>
          </w:p>
        </w:tc>
      </w:tr>
      <w:tr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54"/>
            <w:vAlign w:val="center"/>
          </w:tcPr>
          <w:p>
            <w:pPr>
              <w:jc w:val="left"/>
            </w:pPr>
            <w:r>
              <w:rPr>
                <w:sz w:val="16"/>
              </w:rPr>
              <w:t>Iluminação industrial e áreas de circulação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2,00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0,95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2,11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2,00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2,11</w:t>
            </w:r>
          </w:p>
        </w:tc>
      </w:tr>
      <w:tr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54"/>
            <w:vAlign w:val="center"/>
          </w:tcPr>
          <w:p>
            <w:pPr>
              <w:jc w:val="left"/>
            </w:pPr>
            <w:r>
              <w:rPr>
                <w:sz w:val="16"/>
              </w:rPr>
              <w:t>Tomadas de uso geral e equipamentos auxiliares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750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3,00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0,90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3,33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80%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2,40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2,67</w:t>
            </w:r>
          </w:p>
        </w:tc>
      </w:tr>
      <w:tr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54"/>
            <w:vAlign w:val="center"/>
          </w:tcPr>
          <w:p>
            <w:pPr>
              <w:jc w:val="left"/>
            </w:pPr>
            <w:r>
              <w:rPr>
                <w:sz w:val="16"/>
              </w:rPr>
              <w:t>Compressor de ar industrial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7.500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7,50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0,85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8,82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80%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6,00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7,06</w:t>
            </w:r>
          </w:p>
        </w:tc>
      </w:tr>
      <w:tr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054"/>
            <w:vAlign w:val="center"/>
          </w:tcPr>
          <w:p>
            <w:pPr>
              <w:jc w:val="left"/>
            </w:pPr>
            <w:r>
              <w:rPr>
                <w:sz w:val="16"/>
              </w:rPr>
              <w:t>Bomba/motor de processo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5.500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5,50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0,85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6,47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80%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4,40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5,18</w:t>
            </w:r>
          </w:p>
        </w:tc>
      </w:tr>
      <w:tr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054"/>
            <w:vAlign w:val="center"/>
          </w:tcPr>
          <w:p>
            <w:pPr>
              <w:jc w:val="left"/>
            </w:pPr>
            <w:r>
              <w:rPr>
                <w:sz w:val="16"/>
              </w:rPr>
              <w:t>Máquina de solda / equipamento de produção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5,00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0,80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6,25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80%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4,00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5,00</w:t>
            </w:r>
          </w:p>
        </w:tc>
      </w:tr>
      <w:tr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054"/>
            <w:vAlign w:val="center"/>
          </w:tcPr>
          <w:p>
            <w:pPr>
              <w:jc w:val="left"/>
            </w:pPr>
            <w:r>
              <w:rPr>
                <w:sz w:val="16"/>
              </w:rPr>
              <w:t>Escritório, informática e apoio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2.000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2,00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0,95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2,11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60%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1,20</w:t>
            </w:r>
          </w:p>
        </w:tc>
        <w:tc>
          <w:tcPr>
            <w:tcW w:type="dxa" w:w="1054"/>
            <w:vAlign w:val="center"/>
          </w:tcPr>
          <w:p>
            <w:pPr>
              <w:jc w:val="center"/>
            </w:pPr>
            <w:r>
              <w:rPr>
                <w:sz w:val="16"/>
              </w:rPr>
              <w:t>1,27</w:t>
            </w:r>
          </w:p>
        </w:tc>
      </w:tr>
      <w:tr>
        <w:tc>
          <w:tcPr>
            <w:tcW w:type="dxa" w:w="1054"/>
          </w:tcPr>
          <w:p>
            <w:pPr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054"/>
          </w:tcPr>
          <w:p>
            <w:pPr>
              <w:jc w:val="left"/>
            </w:pPr>
            <w:r>
              <w:rPr>
                <w:b/>
                <w:sz w:val="16"/>
              </w:rPr>
              <w:t>Demanda de projeto a confirmar pelo técnico</w:t>
            </w:r>
          </w:p>
        </w:tc>
        <w:tc>
          <w:tcPr>
            <w:tcW w:type="dxa" w:w="1054"/>
          </w:tcPr>
          <w:p>
            <w:pPr>
              <w:jc w:val="center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054"/>
          </w:tcPr>
          <w:p>
            <w:pPr>
              <w:jc w:val="center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054"/>
          </w:tcPr>
          <w:p>
            <w:pPr>
              <w:jc w:val="center"/>
            </w:pPr>
            <w:r>
              <w:rPr>
                <w:b/>
                <w:sz w:val="16"/>
              </w:rPr>
              <w:t>25,00</w:t>
            </w:r>
          </w:p>
        </w:tc>
        <w:tc>
          <w:tcPr>
            <w:tcW w:type="dxa" w:w="1054"/>
          </w:tcPr>
          <w:p>
            <w:pPr>
              <w:jc w:val="center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054"/>
          </w:tcPr>
          <w:p>
            <w:pPr>
              <w:jc w:val="center"/>
            </w:pPr>
            <w:r>
              <w:rPr>
                <w:b/>
                <w:sz w:val="16"/>
              </w:rPr>
              <w:t>29,09</w:t>
            </w:r>
          </w:p>
        </w:tc>
        <w:tc>
          <w:tcPr>
            <w:tcW w:type="dxa" w:w="1054"/>
          </w:tcPr>
          <w:p>
            <w:pPr>
              <w:jc w:val="center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054"/>
          </w:tcPr>
          <w:p>
            <w:pPr>
              <w:jc w:val="center"/>
            </w:pPr>
            <w:r>
              <w:rPr>
                <w:b/>
                <w:sz w:val="16"/>
              </w:rPr>
              <w:t>20,00</w:t>
            </w:r>
          </w:p>
        </w:tc>
        <w:tc>
          <w:tcPr>
            <w:tcW w:type="dxa" w:w="1054"/>
          </w:tcPr>
          <w:p>
            <w:pPr>
              <w:jc w:val="center"/>
            </w:pPr>
            <w:r>
              <w:rPr>
                <w:b/>
                <w:sz w:val="16"/>
              </w:rPr>
              <w:t>23,29</w:t>
            </w:r>
          </w:p>
        </w:tc>
      </w:tr>
    </w:tbl>
    <w:p>
      <w:pPr>
        <w:spacing w:before="160"/>
      </w:pPr>
      <w:r>
        <w:rPr>
          <w:b/>
        </w:rPr>
        <w:t xml:space="preserve">Observação técnica: </w:t>
      </w:r>
      <w:r>
        <w:t>esta tabela é um rascunho de referência solicitado para uma demanda-alvo de 20 kW. Os equipamentos, potências unitárias, fatores de potência, fatores de demanda e simultaneidade devem ser conferidos pelo técnico responsável e substituídos pelos valores reais da instalação antes do protocolo.</w:t>
      </w:r>
    </w:p>
    <w:p>
      <w:r>
        <w:rPr>
          <w:b/>
        </w:rPr>
        <w:t xml:space="preserve">Atenção ao total: </w:t>
      </w:r>
      <w:r>
        <w:t>a composição acima resulta em 20,00 kW de demanda calculada como referência. O técnico deve substituir as cargas, fatores de potência e fatores de demanda pelos valores reais da instalação; não é recomendável manter qualquer valor apenas para atingir o total solicitado.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