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w:t>
      </w:r>
      <w:r>
        <w:t xml:space="preserve"> </w:t>
      </w:r>
      <w:r>
        <w:t xml:space="preserve">Isla,</w:t>
      </w:r>
      <w:r>
        <w:t xml:space="preserve"> </w:t>
      </w:r>
      <w:r>
        <w:t xml:space="preserve">Evelyn</w:t>
      </w:r>
      <w:r>
        <w:t xml:space="preserve"> </w:t>
      </w:r>
      <w:r>
        <w:t xml:space="preserve">Roxana</w:t>
      </w:r>
      <w:r>
        <w:t xml:space="preserve"> </w:t>
      </w:r>
      <w:r>
        <w:t xml:space="preserve">Farfan-Vignolo,</w:t>
      </w:r>
      <w:r>
        <w:t xml:space="preserve"> </w:t>
      </w:r>
      <w:r>
        <w:t xml:space="preserve">Raymundo</w:t>
      </w:r>
      <w:r>
        <w:t xml:space="preserve"> </w:t>
      </w:r>
      <w:r>
        <w:t xml:space="preserve">Gutierrez,</w:t>
      </w:r>
      <w:r>
        <w:t xml:space="preserve"> </w:t>
      </w:r>
      <w:r>
        <w:t xml:space="preserve">Raul</w:t>
      </w:r>
      <w:r>
        <w:t xml:space="preserve"> </w:t>
      </w:r>
      <w:r>
        <w:t xml:space="preserve">Blas</w:t>
      </w:r>
    </w:p>
    <w:p>
      <w:pPr>
        <w:pStyle w:val="Date"/>
      </w:pPr>
      <w:r>
        <w:t xml:space="preserve">2017-10-22</w:t>
      </w:r>
    </w:p>
    <w:p>
      <w:pPr>
        <w:pStyle w:val="Heading1"/>
      </w:pPr>
      <w:bookmarkStart w:id="21" w:name="abstract"/>
      <w:bookmarkEnd w:id="21"/>
      <w:r>
        <w:t xml:space="preserve">Abstract</w:t>
      </w:r>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(WD) without the resultant yield penalties, understand the mechanisms of tolerance, and provide useful information for the selection of tolerance in breeding programs. In order to explore the different responses of potato under drought, we have evaluated fifteen genotypes under well watered and WD conditions for a range of agro-morphological and physiological traits. 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BodyText"/>
      </w:pPr>
      <w:r>
        <w:rPr>
          <w:b/>
        </w:rPr>
        <w:t xml:space="preserve">Key words:</w:t>
      </w:r>
      <w:r>
        <w:t xml:space="preserve"> </w:t>
      </w:r>
      <w:r>
        <w:t xml:space="preserve">water use efficiency; water deficit; abiotic stress; harvest index</w:t>
      </w:r>
    </w:p>
    <w:p>
      <w:pPr>
        <w:pStyle w:val="Heading1"/>
      </w:pPr>
      <w:bookmarkStart w:id="22" w:name="introduction"/>
      <w:bookmarkEnd w:id="22"/>
      <w:r>
        <w:t xml:space="preserve">Introduction</w:t>
      </w:r>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w:t>
      </w:r>
      <w:hyperlink w:anchor="ref-Blum_2011">
        <w:r>
          <w:rPr>
            <w:rStyle w:val="Hyperlink"/>
          </w:rPr>
          <w:t xml:space="preserve">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p>
    <w:p>
      <w:pPr>
        <w:pStyle w:val="BodyText"/>
      </w:pPr>
      <w:r>
        <w:t xml:space="preserve">Peru is the center of potato origin, where native varieties grown are easily accessible for use in breeding for desirable drought tolerance traits. 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w:t>
      </w:r>
      <w:hyperlink w:anchor="ref-Deblonde_2001">
        <w:r>
          <w:rPr>
            <w:rStyle w:val="Hyperlink"/>
          </w:rPr>
          <w:t xml:space="preserve">2</w:t>
        </w:r>
      </w:hyperlink>
      <w:r>
        <w:t xml:space="preserve">]</w:t>
      </w:r>
      <w:r>
        <w:t xml:space="preserve">. Nevertheless, potato has a high harvest index in comparison with cereals and relatively low demand for water.</w:t>
      </w:r>
    </w:p>
    <w:p>
      <w:pPr>
        <w:pStyle w:val="BodyText"/>
      </w:pPr>
      <w:r>
        <w:t xml:space="preserve">Tuber initiation is the most critical period of a potato’s life span in terms of water due to its high demand of around 400 to 600 L for 1kg of tuber dry matter</w:t>
      </w:r>
      <w:r>
        <w:t xml:space="preserve"> </w:t>
      </w:r>
      <w:r>
        <w:t xml:space="preserve">[</w:t>
      </w:r>
      <w:hyperlink w:anchor="ref-Stark_2013">
        <w:r>
          <w:rPr>
            <w:rStyle w:val="Hyperlink"/>
          </w:rPr>
          <w:t xml:space="preserve">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w:t>
      </w:r>
      <w:hyperlink w:anchor="ref-Blum_2005">
        <w:r>
          <w:rPr>
            <w:rStyle w:val="Hyperlink"/>
          </w:rPr>
          <w:t xml:space="preserve">4</w:t>
        </w:r>
      </w:hyperlink>
      <w:r>
        <w:t xml:space="preserve">,</w:t>
      </w:r>
      <w:hyperlink w:anchor="ref-Hochman_2009">
        <w:r>
          <w:rPr>
            <w:rStyle w:val="Hyperlink"/>
          </w:rPr>
          <w:t xml:space="preserve">5</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w:t>
      </w:r>
      <w:hyperlink w:anchor="ref-Carli_2014">
        <w:r>
          <w:rPr>
            <w:rStyle w:val="Hyperlink"/>
          </w:rPr>
          <w:t xml:space="preserve">6</w:t>
        </w:r>
      </w:hyperlink>
      <w:r>
        <w:t xml:space="preserve">,</w:t>
      </w:r>
      <w:hyperlink w:anchor="ref-Condon_2004">
        <w:r>
          <w:rPr>
            <w:rStyle w:val="Hyperlink"/>
          </w:rPr>
          <w:t xml:space="preserve">7</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w:t>
      </w:r>
      <w:hyperlink w:anchor="ref-Tolk_2009">
        <w:r>
          <w:rPr>
            <w:rStyle w:val="Hyperlink"/>
          </w:rPr>
          <w:t xml:space="preserve">8</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w:t>
      </w:r>
      <w:hyperlink w:anchor="ref-Ogaya_2003">
        <w:r>
          <w:rPr>
            <w:rStyle w:val="Hyperlink"/>
          </w:rPr>
          <w:t xml:space="preserve">9</w:t>
        </w:r>
      </w:hyperlink>
      <w:r>
        <w:t xml:space="preserve">]</w:t>
      </w:r>
      <w:r>
        <w:t xml:space="preserve">.</w:t>
      </w:r>
    </w:p>
    <w:p>
      <w:pPr>
        <w:pStyle w:val="BodyText"/>
      </w:pPr>
      <w:r>
        <w:t xml:space="preserve">WUE was found to be greater in the summer due to the greater harvest index (HI) and more-efficient interception of solar radiation per unit of applied water by drought-exposed than by well-watered plots</w:t>
      </w:r>
      <w:r>
        <w:t xml:space="preserve"> </w:t>
      </w:r>
      <w:r>
        <w:t xml:space="preserve">[</w:t>
      </w:r>
      <w:hyperlink w:anchor="ref-Trebejo_1990">
        <w:r>
          <w:rPr>
            <w:rStyle w:val="Hyperlink"/>
          </w:rPr>
          <w:t xml:space="preserve">10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w:t>
      </w:r>
      <w:hyperlink w:anchor="ref-Tuberosa_2012">
        <w:r>
          <w:rPr>
            <w:rStyle w:val="Hyperlink"/>
          </w:rPr>
          <w:t xml:space="preserve">11</w:t>
        </w:r>
      </w:hyperlink>
      <w:r>
        <w:t xml:space="preserve">]</w:t>
      </w:r>
      <w:r>
        <w:t xml:space="preserve">.</w:t>
      </w:r>
    </w:p>
    <w:p>
      <w:pPr>
        <w:pStyle w:val="BodyText"/>
      </w:pPr>
      <w:r>
        <w:t xml:space="preserve">This study emphasizes the potential penalties in yield of thirteen advanced potato clones and two commercial varieties that are likely to arise in water-limited conditions, and explores the interrelationship between traits that help plants to mitigate yield losses under water-limited conditions. Chlorophyll content (SPAD), relative water content, osmotic potential, specific leaf area (SLA), transpiration efficiency, root length, stolon mass and tolerance to decrease water supply (TDWS), among other traits, were evaluated to identify convenient indicators of plant water status that helps in the selection of clones with high tolerance to water deficit.</w:t>
      </w:r>
    </w:p>
    <w:p>
      <w:pPr>
        <w:pStyle w:val="Heading1"/>
      </w:pPr>
      <w:bookmarkStart w:id="23" w:name="materials-and-methods"/>
      <w:bookmarkEnd w:id="23"/>
      <w:r>
        <w:t xml:space="preserve">Materials and methods</w:t>
      </w:r>
    </w:p>
    <w:p>
      <w:pPr>
        <w:pStyle w:val="Heading2"/>
      </w:pPr>
      <w:bookmarkStart w:id="24" w:name="plant-material-and-experimental-design"/>
      <w:bookmarkEnd w:id="24"/>
      <w:r>
        <w:t xml:space="preserve">Plant material and experimental design</w:t>
      </w:r>
    </w:p>
    <w:p>
      <w:pPr>
        <w:pStyle w:val="FirstParagraph"/>
      </w:pPr>
      <w:r>
        <w:t xml:space="preserve">They were selected thirteen potato clones from advanced breeding population at International Potato Center (CIP) collection and two commercial varieties were grown from May–August 2013 in an environmentally controlled greenhouse at CIP - La Molina Experimental Station at 28/15 °C day/night with no artificial light, 48/89% min/max relative humidity. One tuber was sown per pot (5L) containing two kg of dry commercial Sogemix SM2 (75% Peat Moss, perlite, vermiculite, and limestone). Fertilization was done twice with ammonium nitrate; triple superphosphate and potassium sulphate, one before planting (mix with the substrate) and the other applied at the surface at 40 DAP (days after planting).</w:t>
      </w:r>
    </w:p>
    <w:p>
      <w:pPr>
        <w:pStyle w:val="BodyText"/>
      </w:pPr>
      <w:r>
        <w:t xml:space="preserve">The experiments was arranged in a split plot design in the main plot the two irrigation treatments: well-watered (WW) treatment where the moisture was maintained at field capacit and water deficit (WD) treatment where the water requirements of each genotype measured at WW treatment until wilting point was reduced 10% inter-daily measurement (Figure 1b) and the subplot were compound by the fifteen potato genotypes. The water decifit treatment were appliyed since 45 DAP and prior to the treatment initiation, the pots from both WW and WD treatments were watered to soaking and then allowed to drain overnight. Next day, the pots were sealed in a plastic bag secured with a twist tie to prevent water loss except by transpiration and all the pots were weighed and it was defined as the initial weight pot.</w:t>
      </w:r>
    </w:p>
    <w:p>
      <w:pPr>
        <w:pStyle w:val="Heading2"/>
      </w:pPr>
      <w:bookmarkStart w:id="25" w:name="trait-evaluation"/>
      <w:bookmarkEnd w:id="25"/>
      <w:r>
        <w:t xml:space="preserve">Trait evaluation</w:t>
      </w:r>
    </w:p>
    <w:p>
      <w:pPr>
        <w:pStyle w:val="Heading3"/>
      </w:pPr>
      <w:bookmarkStart w:id="26" w:name="transpiration-and-water-use-efficiency"/>
      <w:bookmarkEnd w:id="26"/>
      <w:r>
        <w:t xml:space="preserve">Transpiration and water use efficiency</w:t>
      </w:r>
    </w:p>
    <w:p>
      <w:pPr>
        <w:pStyle w:val="FirstParagraph"/>
      </w:pPr>
      <w:r>
        <w:t xml:space="preserve">Transpiration was calculated by weighing the pots every two days in the between 13:00 and 15:00 hours (GMT -05:00), subtracting the amount of water added, and calculating the difference in weight between two days. The transpiration (TRS) of each plant was calculated by the procedure previously described by</w:t>
      </w:r>
      <w:r>
        <w:t xml:space="preserve"> </w:t>
      </w:r>
      <w:r>
        <w:t xml:space="preserve">[</w:t>
      </w:r>
      <w:hyperlink w:anchor="ref-Bhatnagar_Mathur_2007">
        <w:r>
          <w:rPr>
            <w:rStyle w:val="Hyperlink"/>
          </w:rPr>
          <w:t xml:space="preserve">12</w:t>
        </w:r>
      </w:hyperlink>
      <w:r>
        <w:t xml:space="preserve">]</w:t>
      </w:r>
      <w:r>
        <w:t xml:space="preserve"> </w:t>
      </w:r>
      <w:r>
        <w:t xml:space="preserve">and</w:t>
      </w:r>
      <w:r>
        <w:t xml:space="preserve"> </w:t>
      </w:r>
      <w:r>
        <w:t xml:space="preserve">[</w:t>
      </w:r>
      <w:hyperlink w:anchor="ref-Ray_1998">
        <w:r>
          <w:rPr>
            <w:rStyle w:val="Hyperlink"/>
          </w:rPr>
          <w:t xml:space="preserve">13</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 Pots in WD treatment were allowed to lose moisture until NTR dropped below 0.15, which was defined as the endpoint for the WD treatment</w:t>
      </w:r>
      <w:r>
        <w:t xml:space="preserve"> </w:t>
      </w:r>
      <w:r>
        <w:t xml:space="preserve">[</w:t>
      </w:r>
      <w:hyperlink w:anchor="ref-Sinclair_1986">
        <w:r>
          <w:rPr>
            <w:rStyle w:val="Hyperlink"/>
          </w:rPr>
          <w:t xml:space="preserve">14</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BodyText"/>
      </w:pPr>
      <w:r>
        <w:t xml:space="preserve">The WUE in WD and WW plants was estimated from the total biomass and as weighted average for each of the plant components. WUE for the total biomass was calculated as the total biomass in dry weight produced during the treatment apply divided by the cumulative water transpired during the same period (</w:t>
      </w:r>
      <w:r>
        <w:t xml:space="preserve">[</w:t>
      </w:r>
      <w:hyperlink w:anchor="ref-Dalla_Costa_1997">
        <w:r>
          <w:rPr>
            <w:rStyle w:val="Hyperlink"/>
          </w:rPr>
          <w:t xml:space="preserve">15</w:t>
        </w:r>
      </w:hyperlink>
      <w:r>
        <w:t xml:space="preserve">]</w:t>
      </w:r>
      <w:r>
        <w:t xml:space="preserve">.</w:t>
      </w:r>
    </w:p>
    <w:p>
      <w:pPr>
        <w:pStyle w:val="Heading3"/>
      </w:pPr>
      <w:bookmarkStart w:id="27" w:name="water-components"/>
      <w:bookmarkEnd w:id="27"/>
      <w:r>
        <w:t xml:space="preserve">Water components</w:t>
      </w:r>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blotting each in a paper towel prior to taking turgid weight (TW) afterwards it was dried in an oven at 90 ºC for 24 hours and weighed (DW). The RWC was calculated according by</w:t>
      </w:r>
      <w:r>
        <w:t xml:space="preserve"> </w:t>
      </w:r>
      <w:r>
        <w:t xml:space="preserve">[</w:t>
      </w:r>
      <w:hyperlink w:anchor="ref-Vasquez_Robinet_2008">
        <w:r>
          <w:rPr>
            <w:rStyle w:val="Hyperlink"/>
          </w:rPr>
          <w:t xml:space="preserve">16</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t xml:space="preserve">Leaf osmotic potential (LOP) was determined using a dew point microvoltmeter (HR-33T Wescor Inc., Logan, UT, USA) with leaf discs of 5mm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w:t>
      </w:r>
      <w:hyperlink w:anchor="ref-Hessini_2009">
        <w:r>
          <w:rPr>
            <w:rStyle w:val="Hyperlink"/>
          </w:rPr>
          <w:t xml:space="preserve">17</w:t>
        </w:r>
      </w:hyperlink>
      <w:r>
        <w:t xml:space="preserve">]</w:t>
      </w:r>
      <w:r>
        <w:t xml:space="preserve">.</w:t>
      </w:r>
    </w:p>
    <w:p>
      <w:pPr>
        <w:pStyle w:val="Heading2"/>
      </w:pPr>
      <w:bookmarkStart w:id="28" w:name="chlorophyll-content-spad"/>
      <w:bookmarkEnd w:id="28"/>
      <w:r>
        <w:t xml:space="preserve">Chlorophyll content (SPAD)</w:t>
      </w:r>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evaluactions were done on light adapted leaves at 29, 59, 76, and 83 DAP. SPAD measurements of the leaf were used as an indicator of nitrogen status and leaf senescence.</w:t>
      </w:r>
    </w:p>
    <w:p>
      <w:pPr>
        <w:pStyle w:val="Heading2"/>
      </w:pPr>
      <w:bookmarkStart w:id="29" w:name="post-harvest-traits-and-indices"/>
      <w:bookmarkEnd w:id="29"/>
      <w:r>
        <w:t xml:space="preserve">Post-harvest traits and indices</w:t>
      </w:r>
    </w:p>
    <w:p>
      <w:pPr>
        <w:pStyle w:val="FirstParagraph"/>
      </w:pPr>
      <w:r>
        <w:t xml:space="preserve">The harvest was at 90 DAP. The plants were separated in four components: leaves, stems, roots and tubers. The dry weight (g) components were determined by drying them at 80 °C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 Specific leaf area (SLA) was calculated by dividing the LFA with LDW.</w:t>
      </w:r>
    </w:p>
    <w:p>
      <w:pPr>
        <w:pStyle w:val="BodyText"/>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w:t>
      </w:r>
      <w:hyperlink w:anchor="ref-Deblonde_1999">
        <w:r>
          <w:rPr>
            <w:rStyle w:val="Hyperlink"/>
          </w:rPr>
          <w:t xml:space="preserve">18</w:t>
        </w:r>
      </w:hyperlink>
      <w:r>
        <w:t xml:space="preserve">,</w:t>
      </w:r>
      <w:hyperlink w:anchor="ref-Lahlou_2003">
        <w:r>
          <w:rPr>
            <w:rStyle w:val="Hyperlink"/>
          </w:rPr>
          <w:t xml:space="preserve">19</w:t>
        </w:r>
      </w:hyperlink>
      <w:r>
        <w:t xml:space="preserve">]</w:t>
      </w:r>
      <w:r>
        <w:t xml:space="preserve">. To calculate TDWS the TDW in WD treatment for every genotype was expressed relative to its TDW in the WW treatment. The harvest index (HI) was calculated as the ratio of TDW related to the total dry biomass (TDB).</w:t>
      </w:r>
    </w:p>
    <w:p>
      <w:pPr>
        <w:pStyle w:val="Heading2"/>
      </w:pPr>
      <w:bookmarkStart w:id="30" w:name="statistical-analysis"/>
      <w:bookmarkEnd w:id="30"/>
      <w:r>
        <w:t xml:space="preserve">Statistical analysis</w:t>
      </w:r>
    </w:p>
    <w:p>
      <w:pPr>
        <w:pStyle w:val="FirstParagraph"/>
      </w:pPr>
      <w:r>
        <w:t xml:space="preserve">The experiment were conducted in split plot design with the main plot as the irrigation treatments (WW and WD) and the subplot as the potato genotypes. Each treatment consisted of five replicates with one potato plant for experimental unit. Statistical analysis and graphs</w:t>
      </w:r>
      <w:r>
        <w:t xml:space="preserve"> </w:t>
      </w:r>
      <w:r>
        <w:t xml:space="preserve">[</w:t>
      </w:r>
      <w:hyperlink w:anchor="ref-R-GerminaR">
        <w:r>
          <w:rPr>
            <w:rStyle w:val="Hyperlink"/>
          </w:rPr>
          <w:t xml:space="preserve">20</w:t>
        </w:r>
      </w:hyperlink>
      <w:r>
        <w:t xml:space="preserve">]</w:t>
      </w:r>
      <w:r>
        <w:t xml:space="preserve"> </w:t>
      </w:r>
      <w:r>
        <w:t xml:space="preserve">were performed in the statistical software R</w:t>
      </w:r>
      <w:r>
        <w:t xml:space="preserve"> </w:t>
      </w:r>
      <w:r>
        <w:t xml:space="preserve">[</w:t>
      </w:r>
      <w:hyperlink w:anchor="ref-R-base">
        <w:r>
          <w:rPr>
            <w:rStyle w:val="Hyperlink"/>
          </w:rPr>
          <w:t xml:space="preserve">21</w:t>
        </w:r>
      </w:hyperlink>
      <w:r>
        <w:t xml:space="preserve">]</w:t>
      </w:r>
      <w:r>
        <w:t xml:space="preserve">. The analysis of variance (ANOVA) was performed to evaluate the differences between the factors and the comparison of the means with the Student-Newman-Keuls test (p &lt;0.05) from agricoale package</w:t>
      </w:r>
      <w:r>
        <w:t xml:space="preserve"> </w:t>
      </w:r>
      <w:r>
        <w:t xml:space="preserve">[</w:t>
      </w:r>
      <w:hyperlink w:anchor="ref-R-agricolae">
        <w:r>
          <w:rPr>
            <w:rStyle w:val="Hyperlink"/>
          </w:rPr>
          <w:t xml:space="preserve">22</w:t>
        </w:r>
      </w:hyperlink>
      <w:r>
        <w:t xml:space="preserve">]</w:t>
      </w:r>
      <w:r>
        <w:t xml:space="preserve">. For the multivariate analysis correlation analysis was performed</w:t>
      </w:r>
      <w:r>
        <w:t xml:space="preserve"> </w:t>
      </w:r>
      <w:r>
        <w:t xml:space="preserve">[</w:t>
      </w:r>
      <w:r>
        <w:rPr>
          <w:b/>
        </w:rPr>
        <w:t xml:space="preserve">???</w:t>
      </w:r>
      <w:r>
        <w:t xml:space="preserve">,</w:t>
      </w:r>
      <w:hyperlink w:anchor="ref-R-agricolae">
        <w:r>
          <w:rPr>
            <w:rStyle w:val="Hyperlink"/>
          </w:rPr>
          <w:t xml:space="preserve">22</w:t>
        </w:r>
      </w:hyperlink>
      <w:r>
        <w:t xml:space="preserve">]</w:t>
      </w:r>
      <w:r>
        <w:t xml:space="preserve"> </w:t>
      </w:r>
      <w:r>
        <w:t xml:space="preserve">and principal components analysis were made with FactoMineR package</w:t>
      </w:r>
      <w:r>
        <w:t xml:space="preserve"> </w:t>
      </w:r>
      <w:r>
        <w:t xml:space="preserve">[</w:t>
      </w:r>
      <w:hyperlink w:anchor="ref-R-FactoMineR">
        <w:r>
          <w:rPr>
            <w:rStyle w:val="Hyperlink"/>
          </w:rPr>
          <w:t xml:space="preserve">23</w:t>
        </w:r>
      </w:hyperlink>
      <w:r>
        <w:t xml:space="preserve">]</w:t>
      </w:r>
      <w:r>
        <w:t xml:space="preserve">.</w:t>
      </w:r>
    </w:p>
    <w:p>
      <w:pPr>
        <w:pStyle w:val="Heading1"/>
      </w:pPr>
      <w:bookmarkStart w:id="31" w:name="result"/>
      <w:bookmarkEnd w:id="31"/>
      <w:r>
        <w:t xml:space="preserve">Result</w:t>
      </w:r>
    </w:p>
    <w:p>
      <w:pPr>
        <w:pStyle w:val="FirstParagraph"/>
      </w:pPr>
      <w:r>
        <w:t xml:space="preserve">Large differences existed among genotypes in total biomass dry weight (kgDW.m2) of well-watered (WW) plants at the end of the experiment (Figure 1a). Water deficit (WD) treatment had a significant effect (P &lt; 0.001) with an average reduction of around 29% in comparison with the well-watered treatment (Figure 1a). CIP398190.89 was the only genotype with a 5% increase in biomass, and CIP398208.219 was the most affected by WD (~44% reduction in comparison with WW). In terms of productivity, WD decreased tuber yield (kgDW.m2) across genotypes by an average of 39% (P &lt; 0.01), however, CIP398190.89 increased its productivity by 5%, while others like CIP398203.5 and CIP398203.244 presented up to 56% and 48% reduced tuber production (Figure 2a). CIP398190.89 had greater tuber dry weight (g) in WD compared to its yield in WW treatment, with a TDWS of 104.09%, indicating drought tolerance (Figure 1a). Most genotypes had similar performance under drought, such as UNICA (CIP392797.22) with 75.76% and CIP398208.33 with 71.9% TDWS. The genotypes CIP398203.244, CIP398208.219, and CIP398201.510 were among the most sensitive genotypes at 31.56, 46.75 and 48.88% respectively (Figure 1a).</w:t>
      </w:r>
    </w:p>
    <w:p>
      <w:pPr>
        <w:pStyle w:val="BodyText"/>
      </w:pPr>
      <w:r>
        <w:t xml:space="preserve">Differences among genotypes (p&lt;0.001) and treatments (p&lt;0.01) were found for harvest index (HI) (Figure 2b). Dry matter partitioning in CIP3977077.16 and CIP398190.89 under WD as shown by HI were not significantly different from that of the WW treatment. A strong negative correlation among root length and HI was found in both treatments (r= -0.73)</w:t>
      </w:r>
      <w:r>
        <w:t xml:space="preserve"> </w:t>
      </w:r>
      <w:r>
        <w:t xml:space="preserve">The specific leaf area (SLA) reduction was 48% under WD compared to WW (Figure 2c). CIP398190.89 together with CIP398203.5 were among the clones with lowest reduction (24 and 21% respectively), while CIP398208.219, CIP398098.119, and CIP398208.704 were among the clones with highest SLA reduction (53, 65, and 64% respectively).</w:t>
      </w:r>
    </w:p>
    <w:p>
      <w:pPr>
        <w:pStyle w:val="BodyText"/>
      </w:pPr>
      <w:r>
        <w:t xml:space="preserve">There were significant (p&lt;0.05) differences between genotypes for maximum rooting depth and stolon mass, but only stolon mass behaved differently under water deficit treatment (Figure 3).</w:t>
      </w:r>
    </w:p>
    <w:p>
      <w:pPr>
        <w:pStyle w:val="BodyText"/>
      </w:pPr>
      <w:r>
        <w:t xml:space="preserve">SPAD units taken over the course of plant development (29, 59, 76, and 83 DAP) showed that at 29 DAP all plants were at the same stress level as no treatment difference was found (Supplementary Table 1). By the end of the experiment, difference between treatment (T), genotypes (G), and G*T were found and the values were lower than at 29 DAP.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(Supplementary Table 1).</w:t>
      </w:r>
    </w:p>
    <w:p>
      <w:pPr>
        <w:pStyle w:val="BodyText"/>
      </w:pPr>
      <w:r>
        <w:t xml:space="preserve">Leaf relative water content (RWC) significantly (p &lt; 0.01) decreased in response to WD in all the genotypes (Supplementary Table 1). The values ranged between 64.96% and 50.09% for CIP720088 and CIP398201.510, respectively. Differences in osmotic potential (OP) among genotypes and treatments were also significant (P &lt; .001) (Supplementary Table 1).</w:t>
      </w:r>
    </w:p>
    <w:p>
      <w:pPr>
        <w:pStyle w:val="BodyText"/>
      </w:pPr>
      <w:r>
        <w:t xml:space="preserve">Water use efficiency (WUE) was generally higher in WD than WW plants (Figure 4a). Under WD treatment, CIP397077.16, CIP398208.620 and CIP398190.89 showed the highest efficiency (13.06, 12.03, and 11.59 g.L-1, respectively), while the lowest efficiencies (8.50 and 9.24 g.L-1) were presented by CIP398180.612 and CIP398203.5, respectively. CIP398208.620) (10.80 g.L-1 for WW and 12.03 g.L-1 for WD) and CIP398180.612 (8.36 g.L-1 for WW and 8.50 g.L-1) maintained similar WUE (higher or lower) in both treatments (Figure 3a). Tubers used a great portion of the water uptake (Figure 4b), at least for the tolerant genotypes (CIP398190.89, CIP397077.16, and UNICA), in which tubers either from WW or WD are alike (Sup.Fig.1). On the other hand, the sensitive genotype CIP398203.244 produced more leaves and stems rather than tubers.</w:t>
      </w:r>
    </w:p>
    <w:p>
      <w:pPr>
        <w:pStyle w:val="BodyText"/>
      </w:pPr>
      <w:r>
        <w:t xml:space="preserve">The values of total biomass (kgDW.m-2) and total transpiration (L) were strongly and positively correlated across (r= 0.92, P &lt; .0001) all genotypes and per treatment (Fig.5a). WUE was also correlated with both total biomass and tuber yield (r = 0 .55, p &lt; .05; and r = 0.78, p &lt; 0.001 respectively) (Figure 5b and Supplemental Table 1). The efficiency of use of transpired water was 34.9% higher in CIP397077.16, compared to CIP398180.612. Genotypic variability was also noted in terms of TDWS and HI and three clear groups (tolerant, medium, sensitive) can be distinguished based on TDWS and HI. CIP397077.16, UNICA, CIP398208.620, and Achirana-INTA were ranked as tolerant while CIP398203.244 was rated as sensitive (Figure 5c). The leaf (r = 0.79), stem (r = 0.69), and tuber biomass (r = 0.56) were also positively correlated with transpiration. Almost all characteristics evaluated showed significant differences between treatments (Supplementary Table 2). Only SPAD29, before the start of the drought treatment, and root length did not show significant differences.</w:t>
      </w:r>
    </w:p>
    <w:p>
      <w:pPr>
        <w:pStyle w:val="Heading1"/>
      </w:pPr>
      <w:bookmarkStart w:id="32" w:name="dicussion"/>
      <w:bookmarkEnd w:id="32"/>
      <w:r>
        <w:t xml:space="preserve">Dicussion</w:t>
      </w:r>
    </w:p>
    <w:p>
      <w:pPr>
        <w:pStyle w:val="FirstParagraph"/>
      </w:pPr>
      <w:r>
        <w:t xml:space="preserve">Water deficit (WD) triggered a range of morphological and physiological mechanisms in the potato genotypes tested, leading to different yield penalties and indicating a variety of survival strategies by potato. We found root length, SPAD, and SLA to be good indicators for water use efficient (WUE) plants useful for drought tolerance breeding. Most characteristics measure showed differences between treatments, pointing to their value in evaluating the impact of drought. According to (Songsri et al. 2009), enhanced extraction of water and nutrients from the soil due to large root system and long roots is a drought resistance mechanism in potato. Our study showed that the minimal yield losses in some genotypes like CIP398190.89 under WD could be related to its ability to increase its WUE (Figure 4a), by absorbing the limited water and nutrients available in the soil without changing its morphology. However, in our study, the genotype with the longest roots (CIP398201.510) (Fig. 3a) showed the lowest yield (Fig. 2a) and HI (Fig. 2b) under both stressed and non-stressed conditions. In this genotype, the long roots seem to contribute to vegetative growth rather than harvestable yield.</w:t>
      </w:r>
      <w:r>
        <w:t xml:space="preserve"> </w:t>
      </w:r>
      <w:r>
        <w:t xml:space="preserve">Another drought resistance mechanism can be the reduction of transpiration achieved by the reduction of leaf area, for example, thick leaves often have greater photosynthetic capacity than thin leaves, due to their higher chlorophyll per leaf area counts (Songsri et al. 2009). SPAD is an indicator of the photosynthetically active light transmittance characteristics of the leaf, which is dependent on the unit amount of chlorophyll per unit leaf area. SPAD units have been correlated with chlorophyll and carotenoid content in potato and other crops (Ramírez et al. 2014: Marenco et al. 2009) and are used in selecting genotypes tolerant to drought in breeding programs. In this study, some genotypes reduced specific leaf area (SLA) (Fig. 2c), and changed the ratio of root to shoot (Sup. Table 1), while others, like CIP3977077.16 and CIP398190.89 maintained SLA, as well as harvest index (HI) (Fig. 2b), root length and stolon mass (Fig. 3) under WD. These genotypes may have lower sink competition and allocated a proportionally higher fraction of assimilates to tubers by reducing the evaporative surface area above-ground and efficiently employing the resources (water saved and N) located in the soil. Conversely, sensitive genotypes such as CIP398203.244 preferred to produce leaves and stems in preference to tubers. Our study also found a lower specific leaf area (SLA) under WD (Figure 2c), principally explained by decreases in new leaf production, number of leaves, and leaf size. This decrease might have had allowed a reduction in leaf transpiration, saving water for tuber bulking as suggested by Lahlou, et al. (2003). Hence, potato genotypes with the ability to maintain higher SPAD and lower SLA under WD conditions, can maintain higher WUE under WD conditions.</w:t>
      </w:r>
    </w:p>
    <w:p>
      <w:pPr>
        <w:pStyle w:val="BodyText"/>
      </w:pPr>
      <w:r>
        <w:t xml:space="preserve">It is important to remember that under WW conditions, soil can supply water at a steady rate to meet the transpiration demand. However, as the soil becomes dry, water flux from soil to root surface decreases and cannot satisfy the demand of transpiration. Additionally, in WD conditions, mineralization and supply of nutrients, especially N, is reduced, forcing the plant to use their resources efficiently as the only solution to not compromise yield (Motalebifard et al. 2013). Payne et al. (1995) found that N uptake was linearly related to plant transpiration, and that about twice as much N is taken up per kg of transpiration in water-stressed plants than in non-water-stressed plants. In our study, we found that CIP397077.16 and CIP398208.620 could maintain turgor, which, combined with the reduction of SLA, helped them to conserve water. Additionally, increased amounts of RWC under WD treatment in CIP720088 may have been the result of higher stomata conductivity, since the root length of CIP720088 in WW and WD treated plants were comparable (Figure 3a).</w:t>
      </w:r>
    </w:p>
    <w:p>
      <w:pPr>
        <w:pStyle w:val="BodyText"/>
      </w:pPr>
      <w:r>
        <w:t xml:space="preserve">The strong correlation between WUE in this experiment and tuber yield (r = 0 .78, p &lt; .001) indicates direct association between them, and at the same time, reflected the conservative relationship between biomass production and WUE through a range of limited soil water availability. Reduced stomatal conductance can constrain the diffusion of CO2 for photosynthesis, and accordingly the average total biomass in the WD treatment was significantly lower than that of the corresponding genotypes in WW treatment. Different studies have measured WUE at the leaf, whole plant, and crop levels (Guoju et al. 2013; Hochman et al. 2009) and have found no significant differences at plant or crop levels (Deblonde et al. 1999). In this study, WUE is considered a critical trait that can affect yield and its increase can lead a plant to tolerate or avoid water deficit conditions.</w:t>
      </w:r>
    </w:p>
    <w:p>
      <w:pPr>
        <w:pStyle w:val="BodyText"/>
      </w:pPr>
      <w:r>
        <w:t xml:space="preserve">Based on our results, the genotypes with reduced SLA, longest root length and that maintain relatively high WUE under WD conditions, like CIP398201.510, are drought avoidant. Additionally, we found that tolerant genotypes like CIP397077.16, CIP398190.89, and UNICA preferentially use available water for tuber production rather than above ground biomass (Figure 5b). Our study demonstrated that root length, SPAD and SLA are important traits related to WUE and could be useful as selection criteria of new genotypes. However, there are additional strategies of the below-ground plant parts that need to be explored for their role in yield stability under water stress conditions.</w:t>
      </w:r>
    </w:p>
    <w:p>
      <w:pPr>
        <w:pStyle w:val="Heading1"/>
      </w:pPr>
      <w:bookmarkStart w:id="33" w:name="conclusions"/>
      <w:bookmarkEnd w:id="33"/>
      <w:r>
        <w:t xml:space="preserve">Conclusions</w:t>
      </w:r>
    </w:p>
    <w:p>
      <w:pPr>
        <w:pStyle w:val="Heading1"/>
      </w:pPr>
      <w:bookmarkStart w:id="34" w:name="acknowledgments"/>
      <w:bookmarkEnd w:id="34"/>
      <w:r>
        <w:t xml:space="preserve">Acknowledgments</w:t>
      </w:r>
    </w:p>
    <w:p>
      <w:pPr>
        <w:pStyle w:val="FirstParagraph"/>
      </w:pPr>
      <w:r>
        <w:t xml:space="preserve">Authors acknowledge the financial support by BMZ/GIZ through a research grant for “Improved potato varieties and water management technologies to enhance water use efficiency, resilience, cost-effectiveness, and productivity of smallholder farms in stress-prone Central Asian environments”. We also thank R. Blas, Department of Agronomy, Universidad Nacional Agraria La Molina (UNALM), Peru for the comments during the preparation of the undergraduate thesis that was base of this manuscript and Jorge Vega and David Saravia for their help during installation and evaluation of the experiment.</w:t>
      </w:r>
    </w:p>
    <w:p>
      <w:pPr>
        <w:pStyle w:val="Heading1"/>
      </w:pPr>
      <w:bookmarkStart w:id="35" w:name="tables-and-figures"/>
      <w:bookmarkEnd w:id="35"/>
      <w:r>
        <w:t xml:space="preserve">Tables and figures</w:t>
      </w:r>
    </w:p>
    <w:p>
      <w:pPr>
        <w:pStyle w:val="Heading2"/>
      </w:pPr>
      <w:bookmarkStart w:id="36" w:name="tables"/>
      <w:bookmarkEnd w:id="36"/>
      <w:r>
        <w:t xml:space="preserve">Tables</w:t>
      </w:r>
    </w:p>
    <w:p>
      <w:pPr>
        <w:pStyle w:val="TableCaption"/>
      </w:pPr>
      <w:r>
        <w:t xml:space="preserve">Table 1 List of potato (</w:t>
      </w:r>
      <w:r>
        <w:rPr>
          <w:i/>
        </w:rPr>
        <w:t xml:space="preserve">Solanum tuberosum</w:t>
      </w:r>
      <w:r>
        <w:t xml:space="preserve"> </w:t>
      </w:r>
      <w:r>
        <w:t xml:space="preserve">L.) genotypes from advanced breeding population at International Potato Center (CIP) used in the experiment.</w:t>
      </w:r>
    </w:p>
    <w:tbl>
      <w:tblPr>
        <w:tblStyle w:val="TableNormal"/>
        <w:tblW w:type="pct" w:w="0.0"/>
        <w:tblLook w:firstRow="1"/>
        <w:tblCaption w:val="Table 1 List of potato (Solanum tuberosum L.) genotypes from advanced breeding population at International Potato Center (CIP) used in the experiment."/>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left"/>
            </w:pPr>
            <w:r>
              <w:t xml:space="preserve">Dry matter (%)</w:t>
            </w:r>
          </w:p>
        </w:tc>
      </w:tr>
      <w:tr>
        <w:tc>
          <w:p>
            <w:pPr>
              <w:pStyle w:val="Compact"/>
              <w:jc w:val="left"/>
            </w:pPr>
            <w:r>
              <w:t xml:space="preserve">G01</w:t>
            </w:r>
          </w:p>
        </w:tc>
        <w:tc>
          <w:p>
            <w:pPr>
              <w:pStyle w:val="Compact"/>
              <w:jc w:val="left"/>
            </w:pPr>
            <w:r>
              <w:t xml:space="preserve">CIP720088</w:t>
            </w:r>
          </w:p>
        </w:tc>
        <w:tc>
          <w:p>
            <w:pStyle w:val="Compact"/>
          </w:p>
        </w:tc>
        <w:tc>
          <w:p>
            <w:pPr>
              <w:pStyle w:val="Compact"/>
              <w:jc w:val="left"/>
            </w:pPr>
            <w:r>
              <w:t xml:space="preserve">early</w:t>
            </w:r>
          </w:p>
        </w:tc>
        <w:tc>
          <w:p>
            <w:pStyle w:val="Compact"/>
          </w:p>
        </w:tc>
        <w:tc>
          <w:p>
            <w:pPr>
              <w:pStyle w:val="Compact"/>
              <w:jc w:val="lef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pStyle w:val="Compact"/>
          </w:p>
        </w:tc>
        <w:tc>
          <w:p>
            <w:pPr>
              <w:pStyle w:val="Compact"/>
              <w:jc w:val="lef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pStyle w:val="Compact"/>
          </w:p>
        </w:tc>
        <w:tc>
          <w:p>
            <w:pPr>
              <w:pStyle w:val="Compact"/>
              <w:jc w:val="lef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G05</w:t>
            </w:r>
          </w:p>
        </w:tc>
        <w:tc>
          <w:p>
            <w:pPr>
              <w:pStyle w:val="Compact"/>
              <w:jc w:val="left"/>
            </w:pPr>
            <w:r>
              <w:t xml:space="preserve">CIP398180.612</w:t>
            </w:r>
          </w:p>
        </w:tc>
        <w:tc>
          <w:p>
            <w:pStyle w:val="Compact"/>
          </w:p>
        </w:tc>
        <w:tc>
          <w:p>
            <w:pPr>
              <w:pStyle w:val="Compact"/>
              <w:jc w:val="left"/>
            </w:pPr>
            <w:r>
              <w:t xml:space="preserve">Medium</w:t>
            </w:r>
          </w:p>
        </w:tc>
        <w:tc>
          <w:p>
            <w:pStyle w:val="Compact"/>
          </w:p>
        </w:tc>
        <w:tc>
          <w:p>
            <w:pStyle w:val="Compact"/>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bl>
    <w:p>
      <w:pPr>
        <w:pStyle w:val="Heading2"/>
      </w:pPr>
      <w:bookmarkStart w:id="37" w:name="figures"/>
      <w:bookmarkEnd w:id="37"/>
      <w:r>
        <w:t xml:space="preserve">Figures</w:t>
      </w:r>
    </w:p>
    <w:p>
      <w:pPr>
        <w:pStyle w:val="FigureWithCaption"/>
      </w:pPr>
      <w:r>
        <w:drawing>
          <wp:inline>
            <wp:extent cx="5334000" cy="5334000"/>
            <wp:effectExtent b="0" l="0" r="0" t="0"/>
            <wp:docPr descr="Figure 1 Principal components analysis (PCA) of the variables evaluated in fifteen potato genotypes under dorught stress condition" id="1" name="Picture"/>
            <a:graphic>
              <a:graphicData uri="http://schemas.openxmlformats.org/drawingml/2006/picture">
                <pic:pic>
                  <pic:nvPicPr>
                    <pic:cNvPr descr="img/Fig_0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Principal components analysis (PCA) of the variables evaluated in fifteen potato genotypes under dorught stress condition</w:t>
      </w:r>
    </w:p>
    <w:p>
      <w:pPr>
        <w:pStyle w:val="FigureWithCaption"/>
      </w:pPr>
      <w:r>
        <w:drawing>
          <wp:inline>
            <wp:extent cx="5334000" cy="5334000"/>
            <wp:effectExtent b="0" l="0" r="0" t="0"/>
            <wp:docPr descr="Figure 2 Principal components analysis (PCA) of the individuals evaluated in fifteen potato genotypes under dorught stress condition" id="1" name="Picture"/>
            <a:graphic>
              <a:graphicData uri="http://schemas.openxmlformats.org/drawingml/2006/picture">
                <pic:pic>
                  <pic:nvPicPr>
                    <pic:cNvPr descr="img/Fig_02.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Principal components analysis (PCA) of the individuals evaluated in fifteen potato genotypes under dorught stress condition</w:t>
      </w:r>
    </w:p>
    <w:p>
      <w:pPr>
        <w:pStyle w:val="FigureWithCaption"/>
      </w:pPr>
      <w:r>
        <w:drawing>
          <wp:inline>
            <wp:extent cx="5334000" cy="5334000"/>
            <wp:effectExtent b="0" l="0" r="0" t="0"/>
            <wp:docPr descr="Figure 3 Hierarchical Clustering of the indiviudals evaluated in fifteen potato genotypes under dorught stress condition" id="1" name="Picture"/>
            <a:graphic>
              <a:graphicData uri="http://schemas.openxmlformats.org/drawingml/2006/picture">
                <pic:pic>
                  <pic:nvPicPr>
                    <pic:cNvPr descr="img/Fig_03.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Hierarchical Clustering of the indiviudals evaluated in fifteen potato genotypes under dorught stress condition</w:t>
      </w:r>
    </w:p>
    <w:p>
      <w:pPr>
        <w:pStyle w:val="SourceCode"/>
      </w:pPr>
      <w:r>
        <w:rPr>
          <w:rStyle w:val="VerbatimChar"/>
        </w:rPr>
        <w:t xml:space="preserve">##              Df Sum Sq Mean Sq F value Pr(&gt;F)    </w:t>
      </w:r>
      <w:r>
        <w:br w:type="textWrapping"/>
      </w:r>
      <w:r>
        <w:rPr>
          <w:rStyle w:val="VerbatimChar"/>
        </w:rPr>
        <w:t xml:space="preserve">## GNT          14   2396   171.2   18.84 &lt;2e-16 ***</w:t>
      </w:r>
      <w:r>
        <w:br w:type="textWrapping"/>
      </w:r>
      <w:r>
        <w:rPr>
          <w:rStyle w:val="VerbatimChar"/>
        </w:rPr>
        <w:t xml:space="preserve">## TREAT         1     13    12.9    1.42   0.24    </w:t>
      </w:r>
      <w:r>
        <w:br w:type="textWrapping"/>
      </w:r>
      <w:r>
        <w:rPr>
          <w:rStyle w:val="VerbatimChar"/>
        </w:rPr>
        <w:t xml:space="preserve">## block         4     26     6.6    0.72   0.58    </w:t>
      </w:r>
      <w:r>
        <w:br w:type="textWrapping"/>
      </w:r>
      <w:r>
        <w:rPr>
          <w:rStyle w:val="VerbatimChar"/>
        </w:rPr>
        <w:t xml:space="preserve">## GNT:TREAT    14    147    10.5    1.15   0.32    </w:t>
      </w:r>
      <w:r>
        <w:br w:type="textWrapping"/>
      </w:r>
      <w:r>
        <w:rPr>
          <w:rStyle w:val="VerbatimChar"/>
        </w:rPr>
        <w:t xml:space="preserve">## Residuals   116   1054     9.1                   </w:t>
      </w:r>
      <w:r>
        <w:br w:type="textWrapping"/>
      </w:r>
      <w:r>
        <w:rPr>
          <w:rStyle w:val="VerbatimChar"/>
        </w:rPr>
        <w:t xml:space="preserve">## ---</w:t>
      </w:r>
      <w:r>
        <w:br w:type="textWrapping"/>
      </w:r>
      <w:r>
        <w:rPr>
          <w:rStyle w:val="VerbatimChar"/>
        </w:rPr>
        <w:t xml:space="preserve">## Signif. codes:  0 '***' 0.001 '**' 0.01 '*' 0.05 '.' 0.1 ' ' 1</w:t>
      </w:r>
    </w:p>
    <w:p>
      <w:pPr>
        <w:pStyle w:val="FirstParagraph"/>
      </w:pPr>
      <w:r>
        <w:drawing>
          <wp:inline>
            <wp:extent cx="3792160" cy="2678977"/>
            <wp:effectExtent b="0" l="0" r="0" t="0"/>
            <wp:docPr descr="" id="1" name="Picture"/>
            <a:graphic>
              <a:graphicData uri="http://schemas.openxmlformats.org/drawingml/2006/picture">
                <pic:pic>
                  <pic:nvPicPr>
                    <pic:cNvPr descr="img/Fig_04.png" id="0" name="Picture"/>
                    <pic:cNvPicPr>
                      <a:picLocks noChangeArrowheads="1" noChangeAspect="1"/>
                    </pic:cNvPicPr>
                  </pic:nvPicPr>
                  <pic:blipFill>
                    <a:blip r:embed="rId41"/>
                    <a:stretch>
                      <a:fillRect/>
                    </a:stretch>
                  </pic:blipFill>
                  <pic:spPr bwMode="auto">
                    <a:xfrm>
                      <a:off x="0" y="0"/>
                      <a:ext cx="3792160" cy="2678977"/>
                    </a:xfrm>
                    <a:prstGeom prst="rect">
                      <a:avLst/>
                    </a:prstGeom>
                    <a:noFill/>
                    <a:ln w="9525">
                      <a:noFill/>
                      <a:headEnd/>
                      <a:tailEnd/>
                    </a:ln>
                  </pic:spPr>
                </pic:pic>
              </a:graphicData>
            </a:graphic>
          </wp:inline>
        </w:drawing>
      </w:r>
    </w:p>
    <w:p>
      <w:pPr>
        <w:pStyle w:val="Heading1"/>
      </w:pPr>
      <w:bookmarkStart w:id="42" w:name="references"/>
      <w:bookmarkEnd w:id="42"/>
      <w:r>
        <w:t xml:space="preserve">References</w:t>
      </w:r>
    </w:p>
    <w:p>
      <w:pPr>
        <w:pStyle w:val="Bibliography"/>
      </w:pPr>
      <w:r>
        <w:t xml:space="preserve">1. Blum A. Drought resistance - is it really a complex trait? Functional Plant Biology. CSIRO Publishing; 2011;38: 753. doi:</w:t>
      </w:r>
      <w:hyperlink r:id="rId43">
        <w:r>
          <w:rPr>
            <w:rStyle w:val="Hyperlink"/>
          </w:rPr>
          <w:t xml:space="preserve">10.1071/fp11101</w:t>
        </w:r>
      </w:hyperlink>
    </w:p>
    <w:p>
      <w:pPr>
        <w:pStyle w:val="Bibliography"/>
      </w:pPr>
      <w:r>
        <w:t xml:space="preserve">2. Deblonde P, Ledent J. Effects of moderate drought conditions on green leaf number, stem height, leaf length and tuber yield of potato cultivars. European Journal of Agronomy. Elsevier BV; 2001;14: 31–41. doi:</w:t>
      </w:r>
      <w:hyperlink r:id="rId44">
        <w:r>
          <w:rPr>
            <w:rStyle w:val="Hyperlink"/>
          </w:rPr>
          <w:t xml:space="preserve">10.1016/s1161-0301(00)00081-2</w:t>
        </w:r>
      </w:hyperlink>
    </w:p>
    <w:p>
      <w:pPr>
        <w:pStyle w:val="Bibliography"/>
      </w:pPr>
      <w:r>
        <w:t xml:space="preserve">3. Stark JC, Love SL, King BA, Marshall JM, Bohl WH, Salaiz T. Potato cultivar response to seasonal drought patterns. American Journal of Potato Research. Springer Nature; 2013;90: 207–216. doi:</w:t>
      </w:r>
      <w:hyperlink r:id="rId45">
        <w:r>
          <w:rPr>
            <w:rStyle w:val="Hyperlink"/>
          </w:rPr>
          <w:t xml:space="preserve">10.1007/s12230-012-9285-9</w:t>
        </w:r>
      </w:hyperlink>
    </w:p>
    <w:p>
      <w:pPr>
        <w:pStyle w:val="Bibliography"/>
      </w:pPr>
      <w:r>
        <w:t xml:space="preserve">4. Blum A. Drought resistance, water-use efficiency, and yield potentialare they compatible, dissonant, or mutually exclusive? Australian Journal of Agricultural Research. CSIRO Publishing; 2005;56: 1159. doi:</w:t>
      </w:r>
      <w:hyperlink r:id="rId46">
        <w:r>
          <w:rPr>
            <w:rStyle w:val="Hyperlink"/>
          </w:rPr>
          <w:t xml:space="preserve">10.1071/ar05069</w:t>
        </w:r>
      </w:hyperlink>
    </w:p>
    <w:p>
      <w:pPr>
        <w:pStyle w:val="Bibliography"/>
      </w:pPr>
      <w:r>
        <w:t xml:space="preserve">5. Hochman Z, Holzworth D, Hunt JR. Potential to improve on-farm wheat yield and WUE in australia. Crop and Pasture Science. CSIRO Publishing; 2009;60: 708. doi:</w:t>
      </w:r>
      <w:hyperlink r:id="rId47">
        <w:r>
          <w:rPr>
            <w:rStyle w:val="Hyperlink"/>
          </w:rPr>
          <w:t xml:space="preserve">10.1071/cp09064</w:t>
        </w:r>
      </w:hyperlink>
    </w:p>
    <w:p>
      <w:pPr>
        <w:pStyle w:val="Bibliography"/>
      </w:pPr>
      <w:r>
        <w:t xml:space="preserve">6. Carli C, Yuldashev F, Khalikov D, Condori B, Mares V, Monneveux P. Effect of different irrigation regimes on yield, water use efficiency and quality of potato (solanum tuberosum l.) in the lowlands of tashkent, uzbekistan: A field and modeling perspective. Field Crops Research. Elsevier BV; 2014;163: 90–99. doi:</w:t>
      </w:r>
      <w:hyperlink r:id="rId48">
        <w:r>
          <w:rPr>
            <w:rStyle w:val="Hyperlink"/>
          </w:rPr>
          <w:t xml:space="preserve">10.1016/j.fcr.2014.03.021</w:t>
        </w:r>
      </w:hyperlink>
    </w:p>
    <w:p>
      <w:pPr>
        <w:pStyle w:val="Bibliography"/>
      </w:pPr>
      <w:r>
        <w:t xml:space="preserve">7. Condon AG. Breeding for high water-use efficiency. Journal of Experimental Botany. Oxford University Press (OUP); 2004;55: 2447–2460. doi:</w:t>
      </w:r>
      <w:hyperlink r:id="rId49">
        <w:r>
          <w:rPr>
            <w:rStyle w:val="Hyperlink"/>
          </w:rPr>
          <w:t xml:space="preserve">10.1093/jxb/erh277</w:t>
        </w:r>
      </w:hyperlink>
    </w:p>
    <w:p>
      <w:pPr>
        <w:pStyle w:val="Bibliography"/>
      </w:pPr>
      <w:r>
        <w:t xml:space="preserve">8. Tolk JA, Howell TA. Transpiration and yield relationships of grain sorghum grown in a field environment. Agronomy Journal. American Society of Agronomy; 2009;101: 657. doi:</w:t>
      </w:r>
      <w:hyperlink r:id="rId50">
        <w:r>
          <w:rPr>
            <w:rStyle w:val="Hyperlink"/>
          </w:rPr>
          <w:t xml:space="preserve">10.2134/agronj2008.0079x</w:t>
        </w:r>
      </w:hyperlink>
    </w:p>
    <w:p>
      <w:pPr>
        <w:pStyle w:val="Bibliography"/>
      </w:pPr>
      <w:r>
        <w:t xml:space="preserve">9. Ogaya R, Peñuelas J. Comparative field study of quercus ilex and phillyrea latifolia: Photosynthetic response to experimental drought conditions. Environmental and Experimental Botany. Elsevier BV; 2003;50: 137–148. doi:</w:t>
      </w:r>
      <w:hyperlink r:id="rId51">
        <w:r>
          <w:rPr>
            <w:rStyle w:val="Hyperlink"/>
          </w:rPr>
          <w:t xml:space="preserve">10.1016/s0098-8472(03)00019-4</w:t>
        </w:r>
      </w:hyperlink>
    </w:p>
    <w:p>
      <w:pPr>
        <w:pStyle w:val="Bibliography"/>
      </w:pPr>
      <w:r>
        <w:t xml:space="preserve">10. Trebejo I, Midmore DJ. Effect of water stress on potato growth, yield and water use in a hot and a cool tropical climate. The Journal of Agricultural Science. Cambridge University Press (CUP); 1990;114: 321. doi:</w:t>
      </w:r>
      <w:hyperlink r:id="rId52">
        <w:r>
          <w:rPr>
            <w:rStyle w:val="Hyperlink"/>
          </w:rPr>
          <w:t xml:space="preserve">10.1017/s0021859600072713</w:t>
        </w:r>
      </w:hyperlink>
    </w:p>
    <w:p>
      <w:pPr>
        <w:pStyle w:val="Bibliography"/>
      </w:pPr>
      <w:r>
        <w:t xml:space="preserve">11. Tuberosa R. Phenotyping for drought tolerance of crops in the genomics era. Frontiers in Physiology. Frontiers Media SA; 2012;3. doi:</w:t>
      </w:r>
      <w:hyperlink r:id="rId53">
        <w:r>
          <w:rPr>
            <w:rStyle w:val="Hyperlink"/>
          </w:rPr>
          <w:t xml:space="preserve">10.3389/fphys.2012.00347</w:t>
        </w:r>
      </w:hyperlink>
    </w:p>
    <w:p>
      <w:pPr>
        <w:pStyle w:val="Bibliography"/>
      </w:pPr>
      <w:r>
        <w:t xml:space="preserve">12. Bhatnagar-Mathur P, Devi MJ, Reddy DS, Lavanya M, Vadez V, Serraj R, et al. Stress-inducible expression of at DREB1A in transgenic peanut (arachis hypogaea l.) increases transpiration efficiency under water-limiting conditions. Plant Cell Reports. Springer Nature; 2007;26: 2071–2082. doi:</w:t>
      </w:r>
      <w:hyperlink r:id="rId54">
        <w:r>
          <w:rPr>
            <w:rStyle w:val="Hyperlink"/>
          </w:rPr>
          <w:t xml:space="preserve">10.1007/s00299-007-0406-8</w:t>
        </w:r>
      </w:hyperlink>
    </w:p>
    <w:p>
      <w:pPr>
        <w:pStyle w:val="Bibliography"/>
      </w:pPr>
      <w:r>
        <w:t xml:space="preserve">13. Ray J. The effect of pot size on growth and transpiration of maize and soybean during water deficit stress. Journal of Experimental Botany. Oxford University Press (OUP); 1998;49: 1381–1386. doi:</w:t>
      </w:r>
      <w:hyperlink r:id="rId55">
        <w:r>
          <w:rPr>
            <w:rStyle w:val="Hyperlink"/>
          </w:rPr>
          <w:t xml:space="preserve">10.1093/jexbot/49.325.1381</w:t>
        </w:r>
      </w:hyperlink>
    </w:p>
    <w:p>
      <w:pPr>
        <w:pStyle w:val="Bibliography"/>
      </w:pPr>
      <w:r>
        <w:t xml:space="preserve">14. Sinclair T, Ludlow M. Influence of soil water supply on the plant water balance of four tropical grain legumes. Australian Journal of Plant Physiology. CSIRO Publishing; 1986;13: 329. doi:</w:t>
      </w:r>
      <w:hyperlink r:id="rId56">
        <w:r>
          <w:rPr>
            <w:rStyle w:val="Hyperlink"/>
          </w:rPr>
          <w:t xml:space="preserve">10.1071/pp9860329</w:t>
        </w:r>
      </w:hyperlink>
    </w:p>
    <w:p>
      <w:pPr>
        <w:pStyle w:val="Bibliography"/>
      </w:pPr>
      <w:r>
        <w:t xml:space="preserve">15. Costa LD, Vedove GD, Gianquinto G, Giovanardi R, Peressotti A. Yield, water use efficiency and nitrogen uptake in potato: Influence of drought stress. Potato Research. Springer Nature; 1997;40: 19–34. doi:</w:t>
      </w:r>
      <w:hyperlink r:id="rId57">
        <w:r>
          <w:rPr>
            <w:rStyle w:val="Hyperlink"/>
          </w:rPr>
          <w:t xml:space="preserve">10.1007/bf02407559</w:t>
        </w:r>
      </w:hyperlink>
    </w:p>
    <w:p>
      <w:pPr>
        <w:pStyle w:val="Bibliography"/>
      </w:pPr>
      <w:r>
        <w:t xml:space="preserve">16. Vasquez-Robinet C, Mane SP, Ulanov AV, Watkinson JI, Stromberg VK, Koeyer DD, et al. Physiological and molecular adaptations to drought in andean potato genotypes. Journal of Experimental Botany. Oxford University Press (OUP); 2008;59: 2109–2123. doi:</w:t>
      </w:r>
      <w:hyperlink r:id="rId58">
        <w:r>
          <w:rPr>
            <w:rStyle w:val="Hyperlink"/>
          </w:rPr>
          <w:t xml:space="preserve">10.1093/jxb/ern073</w:t>
        </w:r>
      </w:hyperlink>
    </w:p>
    <w:p>
      <w:pPr>
        <w:pStyle w:val="Bibliography"/>
      </w:pPr>
      <w:r>
        <w:t xml:space="preserve">17. Hessini K, Martínez JP, Gandour M, Albouchi A, Soltani A, Abdelly C. Effect of water stress on growth, osmotic adjustment, cell wall elasticity and water-use efficiency in spartina alterniflora. Environmental and Experimental Botany. Elsevier BV; 2009;67: 312–319. doi:</w:t>
      </w:r>
      <w:hyperlink r:id="rId59">
        <w:r>
          <w:rPr>
            <w:rStyle w:val="Hyperlink"/>
          </w:rPr>
          <w:t xml:space="preserve">10.1016/j.envexpbot.2009.06.010</w:t>
        </w:r>
      </w:hyperlink>
    </w:p>
    <w:p>
      <w:pPr>
        <w:pStyle w:val="Bibliography"/>
      </w:pPr>
      <w:r>
        <w:t xml:space="preserve">18. Deblonde P, Haverkort A, Ledent J. Responses of early and late potato cultivars to moderate drought conditions: Agronomic parameters and carbon isotope discrimination. European Journal of Agronomy. Elsevier BV; 1999;11: 91–105. doi:</w:t>
      </w:r>
      <w:hyperlink r:id="rId60">
        <w:r>
          <w:rPr>
            <w:rStyle w:val="Hyperlink"/>
          </w:rPr>
          <w:t xml:space="preserve">10.1016/s1161-0301(99)00019-2</w:t>
        </w:r>
      </w:hyperlink>
    </w:p>
    <w:p>
      <w:pPr>
        <w:pStyle w:val="Bibliography"/>
      </w:pPr>
      <w:r>
        <w:t xml:space="preserve">19. Lahlou O, Ouattar S, Ledent J-F. The effect of drought and cultivar on growth parameters, yield and yield components of potato. Agronomie. EDP Sciences; 2003;23: 257–268. doi:</w:t>
      </w:r>
      <w:hyperlink r:id="rId61">
        <w:r>
          <w:rPr>
            <w:rStyle w:val="Hyperlink"/>
          </w:rPr>
          <w:t xml:space="preserve">10.1051/agro:2002089</w:t>
        </w:r>
      </w:hyperlink>
    </w:p>
    <w:p>
      <w:pPr>
        <w:pStyle w:val="Bibliography"/>
      </w:pPr>
      <w:r>
        <w:t xml:space="preserve">20. Lozano Isla F, Benites Alfaro O, Pompelli MF. GerminaR: Germination indexes for seed germination variables for ecophysiological studies. 2017.</w:t>
      </w:r>
      <w:r>
        <w:t xml:space="preserve"> </w:t>
      </w:r>
    </w:p>
    <w:p>
      <w:pPr>
        <w:pStyle w:val="Bibliography"/>
      </w:pPr>
      <w:r>
        <w:t xml:space="preserve">21. R Core Team. R: A language and environment for statistical computing [Internet]. Vienna, Austria: R Foundation for Statistical Computing; 2017. Available:</w:t>
      </w:r>
      <w:r>
        <w:t xml:space="preserve"> </w:t>
      </w:r>
      <w:hyperlink r:id="rId62">
        <w:r>
          <w:rPr>
            <w:rStyle w:val="Hyperlink"/>
          </w:rPr>
          <w:t xml:space="preserve">https://www.R-project.org/</w:t>
        </w:r>
      </w:hyperlink>
    </w:p>
    <w:p>
      <w:pPr>
        <w:pStyle w:val="Bibliography"/>
      </w:pPr>
      <w:r>
        <w:t xml:space="preserve">22. de Mendiburu F. Agricolae: Statistical procedures for agricultural research [Internet]. 2017. Available:</w:t>
      </w:r>
      <w:r>
        <w:t xml:space="preserve"> </w:t>
      </w:r>
      <w:hyperlink r:id="rId63">
        <w:r>
          <w:rPr>
            <w:rStyle w:val="Hyperlink"/>
          </w:rPr>
          <w:t xml:space="preserve">https://CRAN.R-project.org/package=agricolae</w:t>
        </w:r>
      </w:hyperlink>
    </w:p>
    <w:p>
      <w:pPr>
        <w:pStyle w:val="Bibliography"/>
      </w:pPr>
      <w:r>
        <w:t xml:space="preserve">23. Husson F, Josse J, Le S, Mazet J. FactoMineR: Multivariate exploratory data analysis and data mining [Internet]. 2017. Available:</w:t>
      </w:r>
      <w:r>
        <w:t xml:space="preserve"> </w:t>
      </w:r>
      <w:hyperlink r:id="rId64">
        <w:r>
          <w:rPr>
            <w:rStyle w:val="Hyperlink"/>
          </w:rPr>
          <w:t xml:space="preserve">https://CRAN.R-project.org/package=FactoMineR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051b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64" Target="https://CRAN.R-project.org/package=FactoMineR" TargetMode="External" /><Relationship Type="http://schemas.openxmlformats.org/officeDocument/2006/relationships/hyperlink" Id="rId63" Target="https://CRAN.R-project.org/package=agricolae" TargetMode="External" /><Relationship Type="http://schemas.openxmlformats.org/officeDocument/2006/relationships/hyperlink" Id="rId57" Target="https://doi.org/10.1007/bf02407559" TargetMode="External" /><Relationship Type="http://schemas.openxmlformats.org/officeDocument/2006/relationships/hyperlink" Id="rId54" Target="https://doi.org/10.1007/s00299-007-0406-8" TargetMode="External" /><Relationship Type="http://schemas.openxmlformats.org/officeDocument/2006/relationships/hyperlink" Id="rId45" Target="https://doi.org/10.1007/s12230-012-9285-9" TargetMode="External" /><Relationship Type="http://schemas.openxmlformats.org/officeDocument/2006/relationships/hyperlink" Id="rId59" Target="https://doi.org/10.1016/j.envexpbot.2009.06.010" TargetMode="External" /><Relationship Type="http://schemas.openxmlformats.org/officeDocument/2006/relationships/hyperlink" Id="rId48" Target="https://doi.org/10.1016/j.fcr.2014.03.021" TargetMode="External" /><Relationship Type="http://schemas.openxmlformats.org/officeDocument/2006/relationships/hyperlink" Id="rId51" Target="https://doi.org/10.1016/s0098-8472(03)00019-4" TargetMode="External" /><Relationship Type="http://schemas.openxmlformats.org/officeDocument/2006/relationships/hyperlink" Id="rId44" Target="https://doi.org/10.1016/s1161-0301(00)00081-2" TargetMode="External" /><Relationship Type="http://schemas.openxmlformats.org/officeDocument/2006/relationships/hyperlink" Id="rId60" Target="https://doi.org/10.1016/s1161-0301(99)00019-2" TargetMode="External" /><Relationship Type="http://schemas.openxmlformats.org/officeDocument/2006/relationships/hyperlink" Id="rId52" Target="https://doi.org/10.1017/s0021859600072713" TargetMode="External" /><Relationship Type="http://schemas.openxmlformats.org/officeDocument/2006/relationships/hyperlink" Id="rId61" Target="https://doi.org/10.1051/agro:2002089" TargetMode="External" /><Relationship Type="http://schemas.openxmlformats.org/officeDocument/2006/relationships/hyperlink" Id="rId46" Target="https://doi.org/10.1071/ar05069" TargetMode="External" /><Relationship Type="http://schemas.openxmlformats.org/officeDocument/2006/relationships/hyperlink" Id="rId47" Target="https://doi.org/10.1071/cp09064" TargetMode="External" /><Relationship Type="http://schemas.openxmlformats.org/officeDocument/2006/relationships/hyperlink" Id="rId43" Target="https://doi.org/10.1071/fp11101" TargetMode="External" /><Relationship Type="http://schemas.openxmlformats.org/officeDocument/2006/relationships/hyperlink" Id="rId56" Target="https://doi.org/10.1071/pp9860329" TargetMode="External" /><Relationship Type="http://schemas.openxmlformats.org/officeDocument/2006/relationships/hyperlink" Id="rId55" Target="https://doi.org/10.1093/jexbot/49.325.1381" TargetMode="External" /><Relationship Type="http://schemas.openxmlformats.org/officeDocument/2006/relationships/hyperlink" Id="rId49" Target="https://doi.org/10.1093/jxb/erh277" TargetMode="External" /><Relationship Type="http://schemas.openxmlformats.org/officeDocument/2006/relationships/hyperlink" Id="rId58" Target="https://doi.org/10.1093/jxb/ern073" TargetMode="External" /><Relationship Type="http://schemas.openxmlformats.org/officeDocument/2006/relationships/hyperlink" Id="rId50" Target="https://doi.org/10.2134/agronj2008.0079x" TargetMode="External" /><Relationship Type="http://schemas.openxmlformats.org/officeDocument/2006/relationships/hyperlink" Id="rId53" Target="https://doi.org/10.3389/fphys.2012.00347" TargetMode="External" /><Relationship Type="http://schemas.openxmlformats.org/officeDocument/2006/relationships/hyperlink" Id="rId62"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4" Target="https://CRAN.R-project.org/package=FactoMineR" TargetMode="External" /><Relationship Type="http://schemas.openxmlformats.org/officeDocument/2006/relationships/hyperlink" Id="rId63" Target="https://CRAN.R-project.org/package=agricolae" TargetMode="External" /><Relationship Type="http://schemas.openxmlformats.org/officeDocument/2006/relationships/hyperlink" Id="rId57" Target="https://doi.org/10.1007/bf02407559" TargetMode="External" /><Relationship Type="http://schemas.openxmlformats.org/officeDocument/2006/relationships/hyperlink" Id="rId54" Target="https://doi.org/10.1007/s00299-007-0406-8" TargetMode="External" /><Relationship Type="http://schemas.openxmlformats.org/officeDocument/2006/relationships/hyperlink" Id="rId45" Target="https://doi.org/10.1007/s12230-012-9285-9" TargetMode="External" /><Relationship Type="http://schemas.openxmlformats.org/officeDocument/2006/relationships/hyperlink" Id="rId59" Target="https://doi.org/10.1016/j.envexpbot.2009.06.010" TargetMode="External" /><Relationship Type="http://schemas.openxmlformats.org/officeDocument/2006/relationships/hyperlink" Id="rId48" Target="https://doi.org/10.1016/j.fcr.2014.03.021" TargetMode="External" /><Relationship Type="http://schemas.openxmlformats.org/officeDocument/2006/relationships/hyperlink" Id="rId51" Target="https://doi.org/10.1016/s0098-8472(03)00019-4" TargetMode="External" /><Relationship Type="http://schemas.openxmlformats.org/officeDocument/2006/relationships/hyperlink" Id="rId44" Target="https://doi.org/10.1016/s1161-0301(00)00081-2" TargetMode="External" /><Relationship Type="http://schemas.openxmlformats.org/officeDocument/2006/relationships/hyperlink" Id="rId60" Target="https://doi.org/10.1016/s1161-0301(99)00019-2" TargetMode="External" /><Relationship Type="http://schemas.openxmlformats.org/officeDocument/2006/relationships/hyperlink" Id="rId52" Target="https://doi.org/10.1017/s0021859600072713" TargetMode="External" /><Relationship Type="http://schemas.openxmlformats.org/officeDocument/2006/relationships/hyperlink" Id="rId61" Target="https://doi.org/10.1051/agro:2002089" TargetMode="External" /><Relationship Type="http://schemas.openxmlformats.org/officeDocument/2006/relationships/hyperlink" Id="rId46" Target="https://doi.org/10.1071/ar05069" TargetMode="External" /><Relationship Type="http://schemas.openxmlformats.org/officeDocument/2006/relationships/hyperlink" Id="rId47" Target="https://doi.org/10.1071/cp09064" TargetMode="External" /><Relationship Type="http://schemas.openxmlformats.org/officeDocument/2006/relationships/hyperlink" Id="rId43" Target="https://doi.org/10.1071/fp11101" TargetMode="External" /><Relationship Type="http://schemas.openxmlformats.org/officeDocument/2006/relationships/hyperlink" Id="rId56" Target="https://doi.org/10.1071/pp9860329" TargetMode="External" /><Relationship Type="http://schemas.openxmlformats.org/officeDocument/2006/relationships/hyperlink" Id="rId55" Target="https://doi.org/10.1093/jexbot/49.325.1381" TargetMode="External" /><Relationship Type="http://schemas.openxmlformats.org/officeDocument/2006/relationships/hyperlink" Id="rId49" Target="https://doi.org/10.1093/jxb/erh277" TargetMode="External" /><Relationship Type="http://schemas.openxmlformats.org/officeDocument/2006/relationships/hyperlink" Id="rId58" Target="https://doi.org/10.1093/jxb/ern073" TargetMode="External" /><Relationship Type="http://schemas.openxmlformats.org/officeDocument/2006/relationships/hyperlink" Id="rId50" Target="https://doi.org/10.2134/agronj2008.0079x" TargetMode="External" /><Relationship Type="http://schemas.openxmlformats.org/officeDocument/2006/relationships/hyperlink" Id="rId53" Target="https://doi.org/10.3389/fphys.2012.00347" TargetMode="External" /><Relationship Type="http://schemas.openxmlformats.org/officeDocument/2006/relationships/hyperlink" Id="rId6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Flavio Lozano Isla, Evelyn Roxana Farfan-Vignolo, Raymundo Gutierrez, Raul Blas</dc:creator>
  <dcterms:created xsi:type="dcterms:W3CDTF">2017-10-22T05:06:38Z</dcterms:created>
  <dcterms:modified xsi:type="dcterms:W3CDTF">2017-10-22T05:06:38Z</dcterms:modified>
</cp:coreProperties>
</file>