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5.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2018-06-11</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2003Comparative">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w:t>
      </w:r>
    </w:p>
    <w:p>
      <w:pPr>
        <w:pStyle w:val="Textoindependiente"/>
      </w:pPr>
      <w:r>
        <w:t xml:space="preserve">The experiment was carried out in complete randomize block design where the first factor was the two irrigation treatments: well-watered (WW), treatment where the moisture was maintained at field capacit and water deficit (WD), treatment where the water requirements of each genotype measured at WW treatment until wilting point was reduced 10% inter-daily measurement and the second factor were compound by the fifteen potato genotypes, Table (</w:t>
      </w:r>
      <w:r>
        <w:t xml:space="preserve">1</w:t>
      </w:r>
      <w:r>
        <w:t xml:space="preserve">).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pot weight.</w:t>
      </w:r>
    </w:p>
    <w:p>
      <w:pPr>
        <w:pStyle w:val="Textoindependiente"/>
      </w:pPr>
      <w:r>
        <w:t xml:space="preserve">Each experimental unit was composed for one tuber per pot (5 L) and It was sown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and Sinclair,</w:t>
      </w:r>
      <w:r>
        <w:t xml:space="preserve">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and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w:t>
      </w:r>
      <w:r>
        <w:t xml:space="preserve"> </w:t>
      </w:r>
      <w:r>
        <w:t xml:space="preserve">(Dalla Costa et al.,</w:t>
      </w:r>
      <w:r>
        <w:t xml:space="preserve"> </w:t>
      </w:r>
      <w:hyperlink w:anchor="ref-dallacosta1997Yield">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2" w:name="statistical-analysis"/>
      <w:bookmarkEnd w:id="32"/>
      <w:r>
        <w:t xml:space="preserve">Statistical analysis</w:t>
      </w:r>
    </w:p>
    <w:p>
      <w:pPr>
        <w:pStyle w:val="FirstParagraph"/>
      </w:pPr>
      <w:r>
        <w:t xml:space="preserve">The experiment was carried out in a complete randomize block design with two factros; the irrigation treatments (WW and WD) and fifteen potato genotypes. Each treatment consisted of five replicates with one potato plant for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2017</w:t>
        </w:r>
      </w:hyperlink>
      <w:r>
        <w:t xml:space="preserve">; R Core Team,</w:t>
      </w:r>
      <w:r>
        <w:t xml:space="preserve"> </w:t>
      </w:r>
      <w:hyperlink w:anchor="ref-R-base">
        <w:r>
          <w:rPr>
            <w:rStyle w:val="Hipervnculo"/>
          </w:rPr>
          <w:t xml:space="preserve">2018</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tulo1"/>
      </w:pPr>
      <w:bookmarkStart w:id="33" w:name="result"/>
      <w:bookmarkEnd w:id="33"/>
      <w:r>
        <w:t xml:space="preserve">Result</w:t>
      </w:r>
    </w:p>
    <w:p>
      <w:pPr>
        <w:pStyle w:val="Ttulo2"/>
      </w:pPr>
      <w:bookmarkStart w:id="34" w:name="treatment-application"/>
      <w:bookmarkEnd w:id="34"/>
      <w:r>
        <w:t xml:space="preserve">Treatment application</w:t>
      </w:r>
    </w:p>
    <w:p>
      <w:pPr>
        <w:pStyle w:val="Ttulo2"/>
      </w:pPr>
      <w:bookmarkStart w:id="35" w:name="traits-evaluation"/>
      <w:bookmarkEnd w:id="35"/>
      <w:r>
        <w:t xml:space="preserve">Traits evaluation</w:t>
      </w:r>
    </w:p>
    <w:p>
      <w:pPr>
        <w:pStyle w:val="Ttulo2"/>
      </w:pPr>
      <w:bookmarkStart w:id="36" w:name="multivariate-analysis"/>
      <w:bookmarkEnd w:id="36"/>
      <w:r>
        <w:t xml:space="preserve">Multivariate analysis</w:t>
      </w:r>
    </w:p>
    <w:p>
      <w:pPr>
        <w:pStyle w:val="Ttulo2"/>
      </w:pPr>
      <w:bookmarkStart w:id="37" w:name="multiselection-index"/>
      <w:bookmarkEnd w:id="37"/>
      <w:r>
        <w:t xml:space="preserve">Multiselection index</w:t>
      </w:r>
    </w:p>
    <w:p>
      <w:pPr>
        <w:pStyle w:val="Ttulo1"/>
      </w:pPr>
      <w:bookmarkStart w:id="38" w:name="dicussion"/>
      <w:bookmarkEnd w:id="38"/>
      <w:r>
        <w:t xml:space="preserve">Dicussion</w:t>
      </w:r>
    </w:p>
    <w:p>
      <w:pPr>
        <w:pStyle w:val="Ttulo1"/>
      </w:pPr>
      <w:bookmarkStart w:id="39" w:name="conclusions"/>
      <w:bookmarkEnd w:id="39"/>
      <w:r>
        <w:t xml:space="preserve">Conclusions</w:t>
      </w:r>
    </w:p>
    <w:p>
      <w:pPr>
        <w:pStyle w:val="Ttulo1"/>
      </w:pPr>
      <w:bookmarkStart w:id="40" w:name="acknowledgments"/>
      <w:bookmarkEnd w:id="40"/>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1" w:name="tables"/>
      <w:bookmarkEnd w:id="41"/>
      <w:r>
        <w:t xml:space="preserve">Tables</w:t>
      </w:r>
    </w:p>
    <w:p>
      <w:pPr>
        <w:pStyle w:val="Ttulo2"/>
      </w:pPr>
      <w:bookmarkStart w:id="42" w:name="abbreviations"/>
      <w:bookmarkEnd w:id="42"/>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43" w:name="figures"/>
      <w:bookmarkEnd w:id="43"/>
      <w:r>
        <w:t xml:space="preserve">Figures</w:t>
      </w:r>
    </w:p>
    <w:p>
      <w:pPr>
        <w:pStyle w:val="FigureWithCaption"/>
      </w:pPr>
      <w:r>
        <w:drawing>
          <wp:inline>
            <wp:extent cx="3792160" cy="5361014"/>
            <wp:effectExtent b="0" l="0" r="0" t="0"/>
            <wp:docPr descr="Figure 1 Soil transpiration fraction and transpiration during the experiment" title="" id="1" name="Picture"/>
            <a:graphic>
              <a:graphicData uri="http://schemas.openxmlformats.org/drawingml/2006/picture">
                <pic:pic>
                  <pic:nvPicPr>
                    <pic:cNvPr descr="img/fig01.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FigureWithCaption"/>
      </w:pPr>
      <w:r>
        <w:drawing>
          <wp:inline>
            <wp:extent cx="3792160" cy="5361014"/>
            <wp:effectExtent b="0" l="0" r="0" t="0"/>
            <wp:docPr descr="Figure 2 Harvest Index, tuber water use efficency" title="" id="1" name="Picture"/>
            <a:graphic>
              <a:graphicData uri="http://schemas.openxmlformats.org/drawingml/2006/picture">
                <pic:pic>
                  <pic:nvPicPr>
                    <pic:cNvPr descr="img/fig02.png" id="0" name="Picture"/>
                    <pic:cNvPicPr>
                      <a:picLocks noChangeArrowheads="1" noChangeAspect="1"/>
                    </pic:cNvPicPr>
                  </pic:nvPicPr>
                  <pic:blipFill>
                    <a:blip r:embed="rId45"/>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2 Harvest Index, tuber water use efficency</w:t>
      </w:r>
    </w:p>
    <w:p>
      <w:pPr>
        <w:pStyle w:val="FigureWithCaption"/>
      </w:pPr>
      <w:r>
        <w:drawing>
          <wp:inline>
            <wp:extent cx="5397500" cy="2543982"/>
            <wp:effectExtent b="0" l="0" r="0" t="0"/>
            <wp:docPr descr="Figure 3 Principal component analysis" title="" id="1" name="Picture"/>
            <a:graphic>
              <a:graphicData uri="http://schemas.openxmlformats.org/drawingml/2006/picture">
                <pic:pic>
                  <pic:nvPicPr>
                    <pic:cNvPr descr="img/fig03.png" id="0" name="Picture"/>
                    <pic:cNvPicPr>
                      <a:picLocks noChangeArrowheads="1" noChangeAspect="1"/>
                    </pic:cNvPicPr>
                  </pic:nvPicPr>
                  <pic:blipFill>
                    <a:blip r:embed="rId46"/>
                    <a:stretch>
                      <a:fillRect/>
                    </a:stretch>
                  </pic:blipFill>
                  <pic:spPr bwMode="auto">
                    <a:xfrm>
                      <a:off x="0" y="0"/>
                      <a:ext cx="5397500" cy="2543982"/>
                    </a:xfrm>
                    <a:prstGeom prst="rect">
                      <a:avLst/>
                    </a:prstGeom>
                    <a:noFill/>
                    <a:ln w="9525">
                      <a:noFill/>
                      <a:headEnd/>
                      <a:tailEnd/>
                    </a:ln>
                  </pic:spPr>
                </pic:pic>
              </a:graphicData>
            </a:graphic>
          </wp:inline>
        </w:drawing>
      </w:r>
    </w:p>
    <w:p>
      <w:pPr>
        <w:pStyle w:val="ImageCaption"/>
      </w:pPr>
      <w:r>
        <w:t xml:space="preserve">Figure 3 Principal component analysis</w:t>
      </w:r>
    </w:p>
    <w:p>
      <w:pPr>
        <w:pStyle w:val="Ttulo1"/>
      </w:pPr>
      <w:bookmarkStart w:id="47" w:name="references"/>
      <w:bookmarkEnd w:id="47"/>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8">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49">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0">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1">
        <w:r>
          <w:rPr>
            <w:rStyle w:val="Hipervnculo"/>
          </w:rPr>
          <w:t xml:space="preserve">https://doi.org/10.1016/j.fcr.2014.03.021</w:t>
        </w:r>
      </w:hyperlink>
    </w:p>
    <w:p>
      <w:pPr>
        <w:pStyle w:val="Bibliografa"/>
      </w:pPr>
      <w:r>
        <w:t xml:space="preserve">Condon, A.G., Richards, R.A., Rebetzke, G.J., Farquhar, G.D., 2004. Breeding for high water-use efficiency. Journal of experimental botany 55, 2447–2460.</w:t>
      </w:r>
    </w:p>
    <w:p>
      <w:pPr>
        <w:pStyle w:val="Bibliografa"/>
      </w:pPr>
      <w:r>
        <w:t xml:space="preserve">Dalla Costa, L., Delle Vedove, G., Gianquinto, G., Giovanardi, R., Peressotti, A., 1997. Yield, water use efficiency and nitrogen uptake in potato: Influence of drought stress. Potato Research 40, 19–34.</w:t>
      </w:r>
      <w:r>
        <w:t xml:space="preserve"> </w:t>
      </w:r>
      <w:hyperlink r:id="rId52">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3">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4">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5">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6">
        <w:r>
          <w:rPr>
            <w:rStyle w:val="Hipervnculo"/>
          </w:rPr>
          <w:t xml:space="preserve">https://doi.org/10.1071/CP09064</w:t>
        </w:r>
      </w:hyperlink>
    </w:p>
    <w:p>
      <w:pPr>
        <w:pStyle w:val="Bibliografa"/>
      </w:pPr>
      <w:r>
        <w:t xml:space="preserve">Husson, F., Josse, J., Le, S., Mazet, J., 2018.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7">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58">
        <w:r>
          <w:rPr>
            <w:rStyle w:val="Hipervnculo"/>
          </w:rPr>
          <w:t xml:space="preserve">https://doi.org/10.1016/S0098-8472(03)00019-4</w:t>
        </w:r>
      </w:hyperlink>
    </w:p>
    <w:p>
      <w:pPr>
        <w:pStyle w:val="Bibliografa"/>
      </w:pPr>
      <w:r>
        <w:t xml:space="preserve">R Core Team, 2018. R: A language and environment for statistical computing. R Foundation for Statistical Computing, Vienna, Austria.</w:t>
      </w:r>
    </w:p>
    <w:p>
      <w:pPr>
        <w:pStyle w:val="Bibliografa"/>
      </w:pPr>
      <w:r>
        <w:t xml:space="preserve">Ray, J.D., Sinclair, T.R., 1998. The effect of pot size on growth and transpiration of maize and soybean during water deficit stress. Journal of Experimental Botany 49, 1381–1386.</w:t>
      </w:r>
      <w:r>
        <w:t xml:space="preserve"> </w:t>
      </w:r>
      <w:hyperlink r:id="rId59">
        <w:r>
          <w:rPr>
            <w:rStyle w:val="Hipervnculo"/>
          </w:rPr>
          <w:t xml:space="preserve">https://doi.org/10.1093/jxb/49.325.1381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0">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1">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657–662.</w:t>
      </w:r>
      <w:r>
        <w:t xml:space="preserve"> </w:t>
      </w:r>
      <w:hyperlink r:id="rId62">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3">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4">
        <w:r>
          <w:rPr>
            <w:rStyle w:val="Hipervnculo"/>
          </w:rPr>
          <w:t xml:space="preserve">https://doi.org/10.3389/fphys.2012.00347</w:t>
        </w:r>
      </w:hyperlink>
    </w:p>
    <w:p>
      <w:pPr>
        <w:pStyle w:val="Bibliografa"/>
      </w:pPr>
      <w:r>
        <w:t xml:space="preserve">Vasquez-Robinet, C., Mane, S.P., Ulanov, A.V., Watkinson, J.I., Stromberg, V.K., De Koeyer, D., Schafleitner, R., Willmot, D.B., Bonierbale, M., Bohnert, H.J., Grene, R., 2008. Physiological and molecular adaptations to drought in Andean potato genotypes. Journal of Experimental Botany 59, 2109–2123.</w:t>
      </w:r>
      <w:r>
        <w:t xml:space="preserve"> </w:t>
      </w:r>
      <w:hyperlink r:id="rId65">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6577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587b23e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52" Target="https://doi.org/10.1007/BF02407559" TargetMode="External" /><Relationship Type="http://schemas.openxmlformats.org/officeDocument/2006/relationships/hyperlink" Id="rId48" Target="https://doi.org/10.1007/s00299-007-0406-8" TargetMode="External" /><Relationship Type="http://schemas.openxmlformats.org/officeDocument/2006/relationships/hyperlink" Id="rId61" Target="https://doi.org/10.1007/s12230-012-9285-9" TargetMode="External" /><Relationship Type="http://schemas.openxmlformats.org/officeDocument/2006/relationships/hyperlink" Id="rId58" Target="https://doi.org/10.1016/S0098-8472(03)00019-4" TargetMode="External" /><Relationship Type="http://schemas.openxmlformats.org/officeDocument/2006/relationships/hyperlink" Id="rId54" Target="https://doi.org/10.1016/S1161-0301(00)00081-2" TargetMode="External" /><Relationship Type="http://schemas.openxmlformats.org/officeDocument/2006/relationships/hyperlink" Id="rId53" Target="https://doi.org/10.1016/S1161-0301(99)00019-2" TargetMode="External" /><Relationship Type="http://schemas.openxmlformats.org/officeDocument/2006/relationships/hyperlink" Id="rId55" Target="https://doi.org/10.1016/j.envexpbot.2009.06.010" TargetMode="External" /><Relationship Type="http://schemas.openxmlformats.org/officeDocument/2006/relationships/hyperlink" Id="rId51" Target="https://doi.org/10.1016/j.fcr.2014.03.021" TargetMode="External" /><Relationship Type="http://schemas.openxmlformats.org/officeDocument/2006/relationships/hyperlink" Id="rId63" Target="https://doi.org/10.1017/S0021859600072713" TargetMode="External" /><Relationship Type="http://schemas.openxmlformats.org/officeDocument/2006/relationships/hyperlink" Id="rId57" Target="https://doi.org/10.1051/agro:2002089" TargetMode="External" /><Relationship Type="http://schemas.openxmlformats.org/officeDocument/2006/relationships/hyperlink" Id="rId50" Target="https://doi.org/10.1071/AR05069" TargetMode="External" /><Relationship Type="http://schemas.openxmlformats.org/officeDocument/2006/relationships/hyperlink" Id="rId56" Target="https://doi.org/10.1071/CP09064" TargetMode="External" /><Relationship Type="http://schemas.openxmlformats.org/officeDocument/2006/relationships/hyperlink" Id="rId49" Target="https://doi.org/10.1071/FP11101" TargetMode="External" /><Relationship Type="http://schemas.openxmlformats.org/officeDocument/2006/relationships/hyperlink" Id="rId60" Target="https://doi.org/10.1071/PP9860329" TargetMode="External" /><Relationship Type="http://schemas.openxmlformats.org/officeDocument/2006/relationships/hyperlink" Id="rId59"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2" Target="https://doi.org/10.2134/agronj2008.0079x" TargetMode="External" /><Relationship Type="http://schemas.openxmlformats.org/officeDocument/2006/relationships/hyperlink" Id="rId64"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7/BF02407559" TargetMode="External" /><Relationship Type="http://schemas.openxmlformats.org/officeDocument/2006/relationships/hyperlink" Id="rId48" Target="https://doi.org/10.1007/s00299-007-0406-8" TargetMode="External" /><Relationship Type="http://schemas.openxmlformats.org/officeDocument/2006/relationships/hyperlink" Id="rId61" Target="https://doi.org/10.1007/s12230-012-9285-9" TargetMode="External" /><Relationship Type="http://schemas.openxmlformats.org/officeDocument/2006/relationships/hyperlink" Id="rId58" Target="https://doi.org/10.1016/S0098-8472(03)00019-4" TargetMode="External" /><Relationship Type="http://schemas.openxmlformats.org/officeDocument/2006/relationships/hyperlink" Id="rId54" Target="https://doi.org/10.1016/S1161-0301(00)00081-2" TargetMode="External" /><Relationship Type="http://schemas.openxmlformats.org/officeDocument/2006/relationships/hyperlink" Id="rId53" Target="https://doi.org/10.1016/S1161-0301(99)00019-2" TargetMode="External" /><Relationship Type="http://schemas.openxmlformats.org/officeDocument/2006/relationships/hyperlink" Id="rId55" Target="https://doi.org/10.1016/j.envexpbot.2009.06.010" TargetMode="External" /><Relationship Type="http://schemas.openxmlformats.org/officeDocument/2006/relationships/hyperlink" Id="rId51" Target="https://doi.org/10.1016/j.fcr.2014.03.021" TargetMode="External" /><Relationship Type="http://schemas.openxmlformats.org/officeDocument/2006/relationships/hyperlink" Id="rId63" Target="https://doi.org/10.1017/S0021859600072713" TargetMode="External" /><Relationship Type="http://schemas.openxmlformats.org/officeDocument/2006/relationships/hyperlink" Id="rId57" Target="https://doi.org/10.1051/agro:2002089" TargetMode="External" /><Relationship Type="http://schemas.openxmlformats.org/officeDocument/2006/relationships/hyperlink" Id="rId50" Target="https://doi.org/10.1071/AR05069" TargetMode="External" /><Relationship Type="http://schemas.openxmlformats.org/officeDocument/2006/relationships/hyperlink" Id="rId56" Target="https://doi.org/10.1071/CP09064" TargetMode="External" /><Relationship Type="http://schemas.openxmlformats.org/officeDocument/2006/relationships/hyperlink" Id="rId49" Target="https://doi.org/10.1071/FP11101" TargetMode="External" /><Relationship Type="http://schemas.openxmlformats.org/officeDocument/2006/relationships/hyperlink" Id="rId60" Target="https://doi.org/10.1071/PP9860329" TargetMode="External" /><Relationship Type="http://schemas.openxmlformats.org/officeDocument/2006/relationships/hyperlink" Id="rId59"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2" Target="https://doi.org/10.2134/agronj2008.0079x" TargetMode="External" /><Relationship Type="http://schemas.openxmlformats.org/officeDocument/2006/relationships/hyperlink" Id="rId64"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2018-06-12T02:15:46Z</dcterms:created>
  <dcterms:modified xsi:type="dcterms:W3CDTF">2018-06-12T02:15:46Z</dcterms:modified>
</cp:coreProperties>
</file>