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Lozano-Isla,</w:t>
      </w:r>
      <w:r>
        <w:t xml:space="preserve"> </w:t>
      </w:r>
      <w:r>
        <w:t xml:space="preserve">Flavio</w:t>
      </w:r>
      <w:r>
        <w:rPr>
          <w:vertAlign w:val="superscript"/>
        </w:rPr>
        <w:t xml:space="preserve">a</w:t>
      </w:r>
      <w:r>
        <w:t xml:space="preserve">;</w:t>
      </w:r>
      <w:r>
        <w:t xml:space="preserve"> </w:t>
      </w:r>
      <w:r>
        <w:t xml:space="preserve">Gutierrez,</w:t>
      </w:r>
      <w:r>
        <w:t xml:space="preserve"> </w:t>
      </w:r>
      <w:r>
        <w:t xml:space="preserve">Raymundo</w:t>
      </w:r>
      <w:r>
        <w:rPr>
          <w:vertAlign w:val="superscript"/>
        </w:rPr>
        <w:t xml:space="preserve">a</w:t>
      </w:r>
      <w:r>
        <w:t xml:space="preserve">;</w:t>
      </w:r>
      <w:r>
        <w:t xml:space="preserve"> </w:t>
      </w:r>
      <w:r>
        <w:t xml:space="preserve">Farfan-Vignolo,</w:t>
      </w:r>
      <w:r>
        <w:t xml:space="preserve"> </w:t>
      </w:r>
      <w:r>
        <w:t xml:space="preserve">Evelyn</w:t>
      </w:r>
      <w:r>
        <w:rPr>
          <w:vertAlign w:val="superscript"/>
        </w:rPr>
        <w:t xml:space="preserve">a</w:t>
      </w:r>
      <w:r>
        <w:t xml:space="preserve">;</w:t>
      </w:r>
      <w:r>
        <w:t xml:space="preserve"> </w:t>
      </w:r>
      <w:r>
        <w:t xml:space="preserve">Blas,</w:t>
      </w:r>
      <w:r>
        <w:t xml:space="preserve"> </w:t>
      </w:r>
      <w:r>
        <w:t xml:space="preserve">Raul</w:t>
      </w:r>
      <w:r>
        <w:rPr>
          <w:vertAlign w:val="superscript"/>
        </w:rPr>
        <w:t xml:space="preserve">b</w:t>
      </w:r>
    </w:p>
    <w:p>
      <w:pPr>
        <w:pStyle w:val="Fecha"/>
      </w:pPr>
      <w:r>
        <w:t xml:space="preserve">2018-02-16</w:t>
      </w:r>
    </w:p>
    <w:p>
      <w:pPr>
        <w:pStyle w:val="Ttulo1"/>
      </w:pPr>
      <w:bookmarkStart w:id="21" w:name="affiliation"/>
      <w:bookmarkEnd w:id="21"/>
      <w:r>
        <w:t xml:space="preserve">Affiliation</w:t>
      </w:r>
    </w:p>
    <w:p>
      <w:pPr>
        <w:pStyle w:val="Compact"/>
        <w:numPr>
          <w:numId w:val="1001"/>
          <w:ilvl w:val="0"/>
        </w:numPr>
      </w:pPr>
      <w:r>
        <w:t xml:space="preserve">International Potato Center (CIP), Av. La Molina 1895, La Molina, Lima 12, Peru</w:t>
      </w:r>
    </w:p>
    <w:p>
      <w:pPr>
        <w:pStyle w:val="Compact"/>
        <w:numPr>
          <w:numId w:val="1001"/>
          <w:ilvl w:val="0"/>
        </w:numPr>
      </w:pPr>
      <w:r>
        <w:t xml:space="preserve">Universidad Nacional Agraria La Molina (UNALM), Av. La Molina, Lima 12, Peru</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Textoindependiente"/>
      </w:pPr>
      <w:r>
        <w:rPr>
          <w:b/>
        </w:rPr>
        <w:t xml:space="preserve">Key words:</w:t>
      </w:r>
      <w:r>
        <w:t xml:space="preserve"> </w:t>
      </w:r>
      <w:r>
        <w:t xml:space="preserve">water use efficiency; water deficit; abiotic stress; harvest index</w:t>
      </w:r>
    </w:p>
    <w:p>
      <w:pPr>
        <w:pStyle w:val="Ttulo1"/>
      </w:pPr>
      <w:bookmarkStart w:id="24" w:name="introduction"/>
      <w:bookmarkEnd w:id="24"/>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_2011">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Textoindependiente"/>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and Ledent,</w:t>
      </w:r>
      <w:r>
        <w:t xml:space="preserve"> </w:t>
      </w:r>
      <w:hyperlink w:anchor="ref-Deblonde_2001">
        <w:r>
          <w:rPr>
            <w:rStyle w:val="Hipervnculo"/>
          </w:rPr>
          <w:t xml:space="preserve">2001</w:t>
        </w:r>
      </w:hyperlink>
      <w:r>
        <w:t xml:space="preserve">)</w:t>
      </w:r>
      <w:r>
        <w:t xml:space="preserve">. Nevertheless, potato has a high harvest index in comparison with cereals and relatively low demand for water.</w:t>
      </w:r>
    </w:p>
    <w:p>
      <w:pPr>
        <w:pStyle w:val="Textoindependiente"/>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_2013">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_2005">
        <w:r>
          <w:rPr>
            <w:rStyle w:val="Hipervnculo"/>
          </w:rPr>
          <w:t xml:space="preserve">2005</w:t>
        </w:r>
      </w:hyperlink>
      <w:r>
        <w:t xml:space="preserve">; Hochman et al.,</w:t>
      </w:r>
      <w:r>
        <w:t xml:space="preserve"> </w:t>
      </w:r>
      <w:hyperlink w:anchor="ref-Hochman_2009">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_2014">
        <w:r>
          <w:rPr>
            <w:rStyle w:val="Hipervnculo"/>
          </w:rPr>
          <w:t xml:space="preserve">2014</w:t>
        </w:r>
      </w:hyperlink>
      <w:r>
        <w:t xml:space="preserve">; Condon,</w:t>
      </w:r>
      <w:r>
        <w:t xml:space="preserve"> </w:t>
      </w:r>
      <w:hyperlink w:anchor="ref-Condon_2004">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and Howell,</w:t>
      </w:r>
      <w:r>
        <w:t xml:space="preserve"> </w:t>
      </w:r>
      <w:hyperlink w:anchor="ref-Tolk_2009">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and Peñuelas,</w:t>
      </w:r>
      <w:r>
        <w:t xml:space="preserve"> </w:t>
      </w:r>
      <w:hyperlink w:anchor="ref-Ogaya_2003">
        <w:r>
          <w:rPr>
            <w:rStyle w:val="Hipervnculo"/>
          </w:rPr>
          <w:t xml:space="preserve">2003</w:t>
        </w:r>
      </w:hyperlink>
      <w:r>
        <w:t xml:space="preserve">)</w:t>
      </w:r>
      <w:r>
        <w:t xml:space="preserve">.</w:t>
      </w:r>
    </w:p>
    <w:p>
      <w:pPr>
        <w:pStyle w:val="Textoindependiente"/>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and Midmore,</w:t>
      </w:r>
      <w:r>
        <w:t xml:space="preserve"> </w:t>
      </w:r>
      <w:hyperlink w:anchor="ref-Trebejo_1990">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_2012">
        <w:r>
          <w:rPr>
            <w:rStyle w:val="Hipervnculo"/>
          </w:rPr>
          <w:t xml:space="preserve">2012</w:t>
        </w:r>
      </w:hyperlink>
      <w:r>
        <w:t xml:space="preserve">)</w:t>
      </w:r>
      <w:r>
        <w:t xml:space="preserve">.</w:t>
      </w:r>
    </w:p>
    <w:p>
      <w:pPr>
        <w:pStyle w:val="Textoindependiente"/>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Ttulo1"/>
      </w:pPr>
      <w:bookmarkStart w:id="25" w:name="materials-and-methods"/>
      <w:bookmarkEnd w:id="25"/>
      <w:r>
        <w:t xml:space="preserve">Materials and methods</w:t>
      </w:r>
    </w:p>
    <w:p>
      <w:pPr>
        <w:pStyle w:val="Ttulo2"/>
      </w:pPr>
      <w:bookmarkStart w:id="26" w:name="plant-material-and-experimental-design"/>
      <w:bookmarkEnd w:id="26"/>
      <w:r>
        <w:t xml:space="preserve">Plant material and experimental design</w:t>
      </w:r>
    </w:p>
    <w:p>
      <w:pPr>
        <w:pStyle w:val="FirstParagraph"/>
      </w:pPr>
      <w:r>
        <w:t xml:space="preserve">They were selected thirteen potato clones from advanced breeding population at International Potato Center (CIP) collection and two commercial varieties were grown from May–August 2013 in an environmentally controlled greenhouse at CIP - La Molina Experimental Station at 28/15 °C day/night with no artificial light, 48/89% min/max relative humidity. One tuber was sown per pot (5L)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Textoindependiente"/>
      </w:pPr>
      <w:r>
        <w:t xml:space="preserve">The experiments was arranged in a split plot design in the main plot the two irrigation treatments: well-watered (WW) treatment where the moisture was maintained at field capacit and water deficit (WD) treatment where the water requirements of each genotype measured at WW treatment until wilting point was reduced 10% inter-daily measurement (Figure 1b) and the subplot were compound by the fifteen potato genotypes.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weight pot.</w:t>
      </w:r>
    </w:p>
    <w:p>
      <w:pPr>
        <w:pStyle w:val="Ttulo2"/>
      </w:pPr>
      <w:bookmarkStart w:id="27" w:name="trait-evaluation"/>
      <w:bookmarkEnd w:id="27"/>
      <w:r>
        <w:t xml:space="preserve">Trait evaluation</w:t>
      </w:r>
    </w:p>
    <w:p>
      <w:pPr>
        <w:pStyle w:val="Ttulo3"/>
      </w:pPr>
      <w:bookmarkStart w:id="28" w:name="transpiration-and-water-use-efficiency"/>
      <w:bookmarkEnd w:id="28"/>
      <w:r>
        <w:t xml:space="preserve">Transpiration and water use efficiency</w:t>
      </w:r>
    </w:p>
    <w:p>
      <w:pPr>
        <w:pStyle w:val="FirstParagraph"/>
      </w:pPr>
      <w:r>
        <w:t xml:space="preserve">Transpiration was calculated by weighing the pots every two days in the between 13:00 and 15:00 hours (GMT -05:00), subtracting the amount of water added, and calculating the difference in weight between two days. The transpiration (TRS) of each plant was calculated by the procedure previously described by</w:t>
      </w:r>
      <w:r>
        <w:t xml:space="preserve"> </w:t>
      </w:r>
      <w:r>
        <w:t xml:space="preserve">Bhatnagar-Mathur et al. (</w:t>
      </w:r>
      <w:hyperlink w:anchor="ref-Bhatnagar_Mathur_2007">
        <w:r>
          <w:rPr>
            <w:rStyle w:val="Hipervnculo"/>
          </w:rPr>
          <w:t xml:space="preserve">2007</w:t>
        </w:r>
      </w:hyperlink>
      <w:r>
        <w:t xml:space="preserve">)</w:t>
      </w:r>
      <w:r>
        <w:t xml:space="preserve"> </w:t>
      </w:r>
      <w:r>
        <w:t xml:space="preserve">and</w:t>
      </w:r>
      <w:r>
        <w:t xml:space="preserve"> </w:t>
      </w:r>
      <w:r>
        <w:t xml:space="preserve">Ray (</w:t>
      </w:r>
      <w:hyperlink w:anchor="ref-Ray_1998">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 Pots in WD treatment were allowed to lose moisture until NTR dropped below 0.15, which was defined as the endpoint for the WD treatment</w:t>
      </w:r>
      <w:r>
        <w:t xml:space="preserve"> </w:t>
      </w:r>
      <w:r>
        <w:t xml:space="preserve">(Sinclair and Ludlow,</w:t>
      </w:r>
      <w:r>
        <w:t xml:space="preserve"> </w:t>
      </w:r>
      <w:hyperlink w:anchor="ref-Sinclair_1986">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extoindependiente"/>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(Costa et al.,</w:t>
      </w:r>
      <w:r>
        <w:t xml:space="preserve"> </w:t>
      </w:r>
      <w:hyperlink w:anchor="ref-Dalla_Costa_1997">
        <w:r>
          <w:rPr>
            <w:rStyle w:val="Hipervnculo"/>
          </w:rPr>
          <w:t xml:space="preserve">1997</w:t>
        </w:r>
      </w:hyperlink>
      <w:r>
        <w:t xml:space="preserve">)</w:t>
      </w:r>
      <w:r>
        <w:t xml:space="preserve">.</w:t>
      </w:r>
    </w:p>
    <w:p>
      <w:pPr>
        <w:pStyle w:val="Ttulo3"/>
      </w:pPr>
      <w:bookmarkStart w:id="29" w:name="water-components"/>
      <w:bookmarkEnd w:id="29"/>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blotting each in a paper towel prior to taking turgid weight (TW) afterwards it was dried in an oven at 90 ºC for 24 hours and weighed (DW). The RWC was calculated according by</w:t>
      </w:r>
      <w:r>
        <w:t xml:space="preserve"> </w:t>
      </w:r>
      <w:r>
        <w:t xml:space="preserve">(Vasquez-Robinet et al.,</w:t>
      </w:r>
      <w:r>
        <w:t xml:space="preserve"> </w:t>
      </w:r>
      <w:hyperlink w:anchor="ref-Vasquez_Robinet_2008">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Textoindependiente"/>
      </w:pPr>
      <w:r>
        <w:t xml:space="preserve">Leaf osmotic potential (LOP) was determined using a dew point microvoltmeter (HR-33T Wescor Inc., Logan, UT, USA) with leaf discs of 5mm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(Hessini et al.,</w:t>
      </w:r>
      <w:r>
        <w:t xml:space="preserve"> </w:t>
      </w:r>
      <w:hyperlink w:anchor="ref-Hessini_2009">
        <w:r>
          <w:rPr>
            <w:rStyle w:val="Hipervnculo"/>
          </w:rPr>
          <w:t xml:space="preserve">2009</w:t>
        </w:r>
      </w:hyperlink>
      <w:r>
        <w:t xml:space="preserve">)</w:t>
      </w:r>
      <w:r>
        <w:t xml:space="preserve">.</w:t>
      </w:r>
    </w:p>
    <w:p>
      <w:pPr>
        <w:pStyle w:val="Ttulo2"/>
      </w:pPr>
      <w:bookmarkStart w:id="30" w:name="chlorophyll-content-spad"/>
      <w:bookmarkEnd w:id="30"/>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evaluactions were done on light adapted leaves at 29, 59, 76, and 83 DAP. SPAD measurements of the leaf were used as an indicator of nitrogen status and leaf senescence.</w:t>
      </w:r>
    </w:p>
    <w:p>
      <w:pPr>
        <w:pStyle w:val="Ttulo2"/>
      </w:pPr>
      <w:bookmarkStart w:id="31" w:name="post-harvest-traits-and-indices"/>
      <w:bookmarkEnd w:id="31"/>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 °C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 Specific leaf area (SLA) was calculated by dividing the LFA with LDW.</w:t>
      </w:r>
    </w:p>
    <w:p>
      <w:pPr>
        <w:pStyle w:val="Textoindependiente"/>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(Deblonde et al.,</w:t>
      </w:r>
      <w:r>
        <w:t xml:space="preserve"> </w:t>
      </w:r>
      <w:hyperlink w:anchor="ref-Deblonde_1999">
        <w:r>
          <w:rPr>
            <w:rStyle w:val="Hipervnculo"/>
          </w:rPr>
          <w:t xml:space="preserve">1999</w:t>
        </w:r>
      </w:hyperlink>
      <w:r>
        <w:t xml:space="preserve">; Lahlou et al.,</w:t>
      </w:r>
      <w:r>
        <w:t xml:space="preserve"> </w:t>
      </w:r>
      <w:hyperlink w:anchor="ref-Lahlou_2003">
        <w:r>
          <w:rPr>
            <w:rStyle w:val="Hipervnculo"/>
          </w:rPr>
          <w:t xml:space="preserve">2003</w:t>
        </w:r>
      </w:hyperlink>
      <w:r>
        <w:t xml:space="preserve">)</w:t>
      </w:r>
      <w:r>
        <w:t xml:space="preserve">. To calculate TDWS the TDW in WD treatment for every genotype was expressed relative to its TDW in the WW treatment. The harvest index (HI) was calculated as the ratio of TDW related to the total dry biomass (TDB).</w:t>
      </w:r>
    </w:p>
    <w:p>
      <w:pPr>
        <w:pStyle w:val="Ttulo2"/>
      </w:pPr>
      <w:bookmarkStart w:id="32" w:name="statistical-analysis"/>
      <w:bookmarkEnd w:id="32"/>
      <w:r>
        <w:t xml:space="preserve">Statistical analysis</w:t>
      </w:r>
    </w:p>
    <w:p>
      <w:pPr>
        <w:pStyle w:val="FirstParagraph"/>
      </w:pPr>
      <w:r>
        <w:t xml:space="preserve">The experiment were conducted in split plot design with the main plot as the irrigation treatments (WW and WD) and the subplot as the potato genotypes. Each treatment consisted of five replicates with one potato plant for experimental unit. Statistical analysis and graphs</w:t>
      </w:r>
      <w:r>
        <w:t xml:space="preserve"> </w:t>
      </w:r>
      <w:r>
        <w:t xml:space="preserve">(Lozano Isla et al.,</w:t>
      </w:r>
      <w:r>
        <w:t xml:space="preserve"> </w:t>
      </w:r>
      <w:hyperlink w:anchor="ref-R-GerminaR">
        <w:r>
          <w:rPr>
            <w:rStyle w:val="Hipervnculo"/>
          </w:rPr>
          <w:t xml:space="preserve">2017</w:t>
        </w:r>
      </w:hyperlink>
      <w:r>
        <w:t xml:space="preserve">)</w:t>
      </w:r>
      <w:r>
        <w:t xml:space="preserve"> </w:t>
      </w:r>
      <w:r>
        <w:t xml:space="preserve">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 from agricoale package</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components analysis were made with FactoMineR package</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3" w:name="result"/>
      <w:bookmarkEnd w:id="33"/>
      <w:r>
        <w:t xml:space="preserve">Result</w:t>
      </w:r>
    </w:p>
    <w:p>
      <w:pPr>
        <w:pStyle w:val="Ttulo1"/>
      </w:pPr>
      <w:bookmarkStart w:id="34" w:name="dicussion"/>
      <w:bookmarkEnd w:id="34"/>
      <w:r>
        <w:t xml:space="preserve">Dicussion</w:t>
      </w:r>
    </w:p>
    <w:p>
      <w:pPr>
        <w:pStyle w:val="Ttulo1"/>
      </w:pPr>
      <w:bookmarkStart w:id="35" w:name="conclusions"/>
      <w:bookmarkEnd w:id="35"/>
      <w:r>
        <w:t xml:space="preserve">Conclusions</w:t>
      </w:r>
    </w:p>
    <w:p>
      <w:pPr>
        <w:pStyle w:val="Ttulo1"/>
      </w:pPr>
      <w:bookmarkStart w:id="36" w:name="acknowledgments"/>
      <w:bookmarkEnd w:id="36"/>
      <w:r>
        <w:t xml:space="preserve">Acknowledgments</w:t>
      </w:r>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R. Blas, Department of Agronomy, Universidad Nacional Agraria La Molina (UNALM), Peru for the comments during the preparation of the undergraduate thesis that was base of this manuscript and Jorge Vega and David Saravia for their help during installation and evaluation of the experiment.</w:t>
      </w:r>
    </w:p>
    <w:p>
      <w:pPr>
        <w:pStyle w:val="Ttulo1"/>
      </w:pPr>
      <w:bookmarkStart w:id="37" w:name="tables"/>
      <w:bookmarkEnd w:id="37"/>
      <w:r>
        <w:t xml:space="preserve">Tables</w:t>
      </w:r>
    </w:p>
    <w:p>
      <w:pPr>
        <w:pStyle w:val="Ttulo2"/>
      </w:pPr>
      <w:bookmarkStart w:id="38" w:name="abbreviations"/>
      <w:bookmarkEnd w:id="38"/>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Ttulo1"/>
      </w:pPr>
      <w:bookmarkStart w:id="39" w:name="figures"/>
      <w:bookmarkEnd w:id="39"/>
      <w:r>
        <w:t xml:space="preserve">Figures</w:t>
      </w:r>
    </w:p>
    <w:p>
      <w:pPr>
        <w:pStyle w:val="FigureWithCaption"/>
      </w:pPr>
      <w:r>
        <w:drawing>
          <wp:inline>
            <wp:extent cx="5397500" cy="5397500"/>
            <wp:effectExtent b="0" l="0" r="0" t="0"/>
            <wp:docPr descr="Figure 1 Principal components analysis (PCA) of the variables"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1 Principal components analysis (PCA) of the variables</w:t>
      </w:r>
    </w:p>
    <w:p>
      <w:pPr>
        <w:pStyle w:val="FigureWithCaption"/>
      </w:pPr>
      <w:r>
        <w:drawing>
          <wp:inline>
            <wp:extent cx="5397500" cy="5397500"/>
            <wp:effectExtent b="0" l="0" r="0" t="0"/>
            <wp:docPr descr="Figure 2 Principal components analysis (PCA) of the individual"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2 Principal components analysis (PCA) of the individual</w:t>
      </w:r>
    </w:p>
    <w:p>
      <w:pPr>
        <w:pStyle w:val="FigureWithCaption"/>
      </w:pPr>
      <w:r>
        <w:drawing>
          <wp:inline>
            <wp:extent cx="5397500" cy="5397500"/>
            <wp:effectExtent b="0" l="0" r="0" t="0"/>
            <wp:docPr descr="Figure 3 Hierarchical Clustering of the indiviudals"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Hierarchical Clustering of the indiviudals</w:t>
      </w:r>
    </w:p>
    <w:p>
      <w:pPr>
        <w:pStyle w:val="FigureWithCaption"/>
      </w:pPr>
      <w:r>
        <w:drawing>
          <wp:inline>
            <wp:extent cx="3792160" cy="5361014"/>
            <wp:effectExtent b="0" l="0" r="0" t="0"/>
            <wp:docPr descr="Figure 4 SPAD at 29 and 83 days after planting" title="" id="1" name="Picture"/>
            <a:graphic>
              <a:graphicData uri="http://schemas.openxmlformats.org/drawingml/2006/picture">
                <pic:pic>
                  <pic:nvPicPr>
                    <pic:cNvPr descr="img/Fig_04.png" id="0" name="Picture"/>
                    <pic:cNvPicPr>
                      <a:picLocks noChangeArrowheads="1" noChangeAspect="1"/>
                    </pic:cNvPicPr>
                  </pic:nvPicPr>
                  <pic:blipFill>
                    <a:blip r:embed="rId43"/>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4 SPAD at 29 and 83 days after planting</w:t>
      </w:r>
    </w:p>
    <w:p>
      <w:pPr>
        <w:pStyle w:val="FigureWithCaption"/>
      </w:pPr>
      <w:r>
        <w:drawing>
          <wp:inline>
            <wp:extent cx="3792160" cy="5361014"/>
            <wp:effectExtent b="0" l="0" r="0" t="0"/>
            <wp:docPr descr="Figure 5 Relative water content and osmotic potential" title="" id="1" name="Picture"/>
            <a:graphic>
              <a:graphicData uri="http://schemas.openxmlformats.org/drawingml/2006/picture">
                <pic:pic>
                  <pic:nvPicPr>
                    <pic:cNvPr descr="img/Fig_05.png" id="0" name="Picture"/>
                    <pic:cNvPicPr>
                      <a:picLocks noChangeArrowheads="1" noChangeAspect="1"/>
                    </pic:cNvPicPr>
                  </pic:nvPicPr>
                  <pic:blipFill>
                    <a:blip r:embed="rId44"/>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5 Relative water content and osmotic potential</w:t>
      </w:r>
    </w:p>
    <w:p>
      <w:pPr>
        <w:pStyle w:val="FigureWithCaption"/>
      </w:pPr>
      <w:r>
        <w:drawing>
          <wp:inline>
            <wp:extent cx="3792160" cy="8043050"/>
            <wp:effectExtent b="0" l="0" r="0" t="0"/>
            <wp:docPr descr="Figure 6 Total transpiration, Leaf Area and Specific leaf Area" title="" id="1" name="Picture"/>
            <a:graphic>
              <a:graphicData uri="http://schemas.openxmlformats.org/drawingml/2006/picture">
                <pic:pic>
                  <pic:nvPicPr>
                    <pic:cNvPr descr="img/Fig_06.png" id="0" name="Picture"/>
                    <pic:cNvPicPr>
                      <a:picLocks noChangeArrowheads="1" noChangeAspect="1"/>
                    </pic:cNvPicPr>
                  </pic:nvPicPr>
                  <pic:blipFill>
                    <a:blip r:embed="rId45"/>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6 Total transpiration, Leaf Area and Specific leaf Area</w:t>
      </w:r>
    </w:p>
    <w:p>
      <w:pPr>
        <w:pStyle w:val="FigureWithCaption"/>
      </w:pPr>
      <w:r>
        <w:drawing>
          <wp:inline>
            <wp:extent cx="3792160" cy="8043050"/>
            <wp:effectExtent b="0" l="0" r="0" t="0"/>
            <wp:docPr descr="Figure 7 Harvest Index, water use efficency, tuber wue" title="" id="1" name="Picture"/>
            <a:graphic>
              <a:graphicData uri="http://schemas.openxmlformats.org/drawingml/2006/picture">
                <pic:pic>
                  <pic:nvPicPr>
                    <pic:cNvPr descr="img/Fig_07.png" id="0" name="Picture"/>
                    <pic:cNvPicPr>
                      <a:picLocks noChangeArrowheads="1" noChangeAspect="1"/>
                    </pic:cNvPicPr>
                  </pic:nvPicPr>
                  <pic:blipFill>
                    <a:blip r:embed="rId46"/>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7 Harvest Index, water use efficency, tuber wue</w:t>
      </w:r>
    </w:p>
    <w:p>
      <w:pPr>
        <w:pStyle w:val="FigureWithCaption"/>
      </w:pPr>
      <w:r>
        <w:drawing>
          <wp:inline>
            <wp:extent cx="3792160" cy="5361014"/>
            <wp:effectExtent b="0" l="0" r="0" t="0"/>
            <wp:docPr descr="Figure 8 Soil transpiration fraction and transpiration during the experiment" title="" id="1" name="Picture"/>
            <a:graphic>
              <a:graphicData uri="http://schemas.openxmlformats.org/drawingml/2006/picture">
                <pic:pic>
                  <pic:nvPicPr>
                    <pic:cNvPr descr="img/Fig_08.png" id="0" name="Picture"/>
                    <pic:cNvPicPr>
                      <a:picLocks noChangeArrowheads="1" noChangeAspect="1"/>
                    </pic:cNvPicPr>
                  </pic:nvPicPr>
                  <pic:blipFill>
                    <a:blip r:embed="rId47"/>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8 Soil transpiration fraction and transpiration during the experiment</w:t>
      </w:r>
    </w:p>
    <w:p>
      <w:pPr>
        <w:pStyle w:val="Ttulo1"/>
      </w:pPr>
      <w:bookmarkStart w:id="48" w:name="references"/>
      <w:bookmarkEnd w:id="48"/>
      <w:r>
        <w:t xml:space="preserve">References</w:t>
      </w:r>
    </w:p>
    <w:p>
      <w:pPr>
        <w:pStyle w:val="Bibliografa"/>
      </w:pPr>
      <w:r>
        <w:t xml:space="preserve">Bhatnagar-Mathur, P., Devi, M.J., Reddy, D.S., Lavanya, M., Vadez, V., Serraj, R., Yamaguchi-Shinozaki, K., Sharma, K.K., 2007. Stress-inducible expression of at DREB1A in transgenic peanut (arachis hypogaea l.) increases transpiration efficiency under water-limiting conditions. Plant Cell Reports 26, 2071–2082.</w:t>
      </w:r>
      <w:r>
        <w:t xml:space="preserve"> </w:t>
      </w:r>
      <w:hyperlink r:id="rId49">
        <w:r>
          <w:rPr>
            <w:rStyle w:val="Hipervnculo"/>
          </w:rPr>
          <w:t xml:space="preserve">https://doi.org/10.1007/s00299-007-0406-8</w:t>
        </w:r>
      </w:hyperlink>
    </w:p>
    <w:p>
      <w:pPr>
        <w:pStyle w:val="Bibliografa"/>
      </w:pPr>
      <w:r>
        <w:t xml:space="preserve">Blum, A., 2011. Drought resistance - is it really a complex trait? Functional Plant Biology 38, 753.</w:t>
      </w:r>
      <w:r>
        <w:t xml:space="preserve"> </w:t>
      </w:r>
      <w:hyperlink r:id="rId50">
        <w:r>
          <w:rPr>
            <w:rStyle w:val="Hipervnculo"/>
          </w:rPr>
          <w:t xml:space="preserve">https://doi.org/10.1071/fp11101</w:t>
        </w:r>
      </w:hyperlink>
    </w:p>
    <w:p>
      <w:pPr>
        <w:pStyle w:val="Bibliografa"/>
      </w:pPr>
      <w:r>
        <w:t xml:space="preserve">Blum, A., 2005. Drought resistance, water-use efficiency, and yield potentialare they compatible, dissonant, or mutually exclusive? Australian Journal of Agricultural Research 56, 1159.</w:t>
      </w:r>
      <w:r>
        <w:t xml:space="preserve"> </w:t>
      </w:r>
      <w:hyperlink r:id="rId51">
        <w:r>
          <w:rPr>
            <w:rStyle w:val="Hipervnculo"/>
          </w:rPr>
          <w:t xml:space="preserve">https://doi.org/10.1071/ar05069</w:t>
        </w:r>
      </w:hyperlink>
    </w:p>
    <w:p>
      <w:pPr>
        <w:pStyle w:val="Bibliografa"/>
      </w:pPr>
      <w:r>
        <w:t xml:space="preserve">Carli, C., Yuldashev, F., Khalikov, D., Condori, B., Mares, V., Monneveux, P., 2014. Effect of different irrigation regimes on yield, water use efficiency and quality of potato (solanum tuberosum l.) in the lowlands of tashkent, uzbekistan: A field and modeling perspective. Field Crops Research 163, 90–99.</w:t>
      </w:r>
      <w:r>
        <w:t xml:space="preserve"> </w:t>
      </w:r>
      <w:hyperlink r:id="rId52">
        <w:r>
          <w:rPr>
            <w:rStyle w:val="Hipervnculo"/>
          </w:rPr>
          <w:t xml:space="preserve">https://doi.org/10.1016/j.fcr.2014.03.021</w:t>
        </w:r>
      </w:hyperlink>
    </w:p>
    <w:p>
      <w:pPr>
        <w:pStyle w:val="Bibliografa"/>
      </w:pPr>
      <w:r>
        <w:t xml:space="preserve">Condon, A.G., 2004. Breeding for high water-use efficiency. Journal of Experimental Botany 55, 2447–2460.</w:t>
      </w:r>
      <w:r>
        <w:t xml:space="preserve"> </w:t>
      </w:r>
      <w:hyperlink r:id="rId53">
        <w:r>
          <w:rPr>
            <w:rStyle w:val="Hipervnculo"/>
          </w:rPr>
          <w:t xml:space="preserve">https://doi.org/10.1093/jxb/erh277</w:t>
        </w:r>
      </w:hyperlink>
    </w:p>
    <w:p>
      <w:pPr>
        <w:pStyle w:val="Bibliografa"/>
      </w:pPr>
      <w:r>
        <w:t xml:space="preserve">Costa, L.D., Vedove, G.D., Gianquinto, G., Giovanardi, R., Peressotti, A., 1997. Yield, water use efficiency and nitrogen uptake in potato: Influence of drought stress. Potato Research 40, 19–34.</w:t>
      </w:r>
      <w:r>
        <w:t xml:space="preserve"> </w:t>
      </w:r>
      <w:hyperlink r:id="rId54">
        <w:r>
          <w:rPr>
            <w:rStyle w:val="Hipervnculo"/>
          </w:rPr>
          <w:t xml:space="preserve">https://doi.org/10.1007/bf02407559</w:t>
        </w:r>
      </w:hyperlink>
    </w:p>
    <w:p>
      <w:pPr>
        <w:pStyle w:val="Bibliografa"/>
      </w:pPr>
      <w:r>
        <w:t xml:space="preserve">de Mendiburu, F., 2017. Agricolae: Statistical procedures for agricultural research.</w:t>
      </w:r>
    </w:p>
    <w:p>
      <w:pPr>
        <w:pStyle w:val="Bibliografa"/>
      </w:pPr>
      <w:r>
        <w:t xml:space="preserve">Deblonde, P., Haverkort, A., Ledent, J., 1999. Responses of early and late potato cultivars to moderate drought conditions: Agronomic parameters and carbon isotope discrimination. European Journal of Agronomy 11, 91–105.</w:t>
      </w:r>
      <w:r>
        <w:t xml:space="preserve"> </w:t>
      </w:r>
      <w:hyperlink r:id="rId55">
        <w:r>
          <w:rPr>
            <w:rStyle w:val="Hipervnculo"/>
          </w:rPr>
          <w:t xml:space="preserve">https://doi.org/10.1016/s1161-0301(99)00019-2</w:t>
        </w:r>
      </w:hyperlink>
    </w:p>
    <w:p>
      <w:pPr>
        <w:pStyle w:val="Bibliografa"/>
      </w:pPr>
      <w:r>
        <w:t xml:space="preserve">Deblonde, P., Ledent, J., 2001. Effects of moderate drought conditions on green leaf number, stem height, leaf length and tuber yield of potato cultivars. European Journal of Agronomy 14, 31–41.</w:t>
      </w:r>
      <w:r>
        <w:t xml:space="preserve"> </w:t>
      </w:r>
      <w:hyperlink r:id="rId56">
        <w:r>
          <w:rPr>
            <w:rStyle w:val="Hipervnculo"/>
          </w:rPr>
          <w:t xml:space="preserve">https://doi.org/10.1016/s1161-0301(00)00081-2</w:t>
        </w:r>
      </w:hyperlink>
    </w:p>
    <w:p>
      <w:pPr>
        <w:pStyle w:val="Bibliografa"/>
      </w:pPr>
      <w:r>
        <w:t xml:space="preserve">Hessini, K., Martínez, J.P., Gandour, M., Albouchi, A., Soltani, A., Abdelly, C., 2009. Effect of water stress on growth, osmotic adjustment, cell wall elasticity and water-use efficiency in spartina alterniflora. Environmental and Experimental Botany 67, 312–319.</w:t>
      </w:r>
      <w:r>
        <w:t xml:space="preserve"> </w:t>
      </w:r>
      <w:hyperlink r:id="rId57">
        <w:r>
          <w:rPr>
            <w:rStyle w:val="Hipervnculo"/>
          </w:rPr>
          <w:t xml:space="preserve">https://doi.org/10.1016/j.envexpbot.2009.06.010</w:t>
        </w:r>
      </w:hyperlink>
    </w:p>
    <w:p>
      <w:pPr>
        <w:pStyle w:val="Bibliografa"/>
      </w:pPr>
      <w:r>
        <w:t xml:space="preserve">Hochman, Z., Holzworth, D., Hunt, J.R., 2009. Potential to improve on-farm wheat yield and WUE in australia. Crop and Pasture Science 60, 708.</w:t>
      </w:r>
      <w:r>
        <w:t xml:space="preserve"> </w:t>
      </w:r>
      <w:hyperlink r:id="rId58">
        <w:r>
          <w:rPr>
            <w:rStyle w:val="Hipervnculo"/>
          </w:rPr>
          <w:t xml:space="preserve">https://doi.org/10.1071/cp09064</w:t>
        </w:r>
      </w:hyperlink>
    </w:p>
    <w:p>
      <w:pPr>
        <w:pStyle w:val="Bibliografa"/>
      </w:pPr>
      <w:r>
        <w:t xml:space="preserve">Husson, F., Josse, J., Le, S., Mazet, J., 2017. FactoMineR: Multivariate exploratory data analysis and data mining.</w:t>
      </w:r>
    </w:p>
    <w:p>
      <w:pPr>
        <w:pStyle w:val="Bibliografa"/>
      </w:pPr>
      <w:r>
        <w:t xml:space="preserve">Lahlou, O., Ouattar, S., Ledent, J.-F., 2003. The effect of drought and cultivar on growth parameters, yield and yield components of potato. Agronomie 23, 257–268.</w:t>
      </w:r>
      <w:r>
        <w:t xml:space="preserve"> </w:t>
      </w:r>
      <w:hyperlink r:id="rId59">
        <w:r>
          <w:rPr>
            <w:rStyle w:val="Hipervnculo"/>
          </w:rPr>
          <w:t xml:space="preserve">https://doi.org/10.1051/agro:2002089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Ogaya, R., Peñuelas, J., 2003. Comparative field study of quercus ilex and phillyrea latifolia: Photosynthetic response to experimental drought conditions. Environmental and Experimental Botany 50, 137–148.</w:t>
      </w:r>
      <w:r>
        <w:t xml:space="preserve"> </w:t>
      </w:r>
      <w:hyperlink r:id="rId60">
        <w:r>
          <w:rPr>
            <w:rStyle w:val="Hipervnculo"/>
          </w:rPr>
          <w:t xml:space="preserve">https://doi.org/10.1016/s0098-8472(03)00019-4</w:t>
        </w:r>
      </w:hyperlink>
    </w:p>
    <w:p>
      <w:pPr>
        <w:pStyle w:val="Bibliografa"/>
      </w:pPr>
      <w:r>
        <w:t xml:space="preserve">R Core Team, 2017. R: A language and environment for statistical computing. R Foundation for Statistical Computing, Vienna, Austria.</w:t>
      </w:r>
    </w:p>
    <w:p>
      <w:pPr>
        <w:pStyle w:val="Bibliografa"/>
      </w:pPr>
      <w:r>
        <w:t xml:space="preserve">Ray, J., 1998. The effect of pot size on growth and transpiration of maize and soybean during water deficit stress. Journal of Experimental Botany 49, 1381–1386.</w:t>
      </w:r>
      <w:r>
        <w:t xml:space="preserve"> </w:t>
      </w:r>
      <w:hyperlink r:id="rId61">
        <w:r>
          <w:rPr>
            <w:rStyle w:val="Hipervnculo"/>
          </w:rPr>
          <w:t xml:space="preserve">https://doi.org/10.1093/jexbot/49.325.1381</w:t>
        </w:r>
      </w:hyperlink>
    </w:p>
    <w:p>
      <w:pPr>
        <w:pStyle w:val="Bibliografa"/>
      </w:pPr>
      <w:r>
        <w:t xml:space="preserve">Sinclair, T., Ludlow, M., 1986. Influence of soil water supply on the plant water balance of four tropical grain legumes. Australian Journal of Plant Physiology 13, 329.</w:t>
      </w:r>
      <w:r>
        <w:t xml:space="preserve"> </w:t>
      </w:r>
      <w:hyperlink r:id="rId62">
        <w:r>
          <w:rPr>
            <w:rStyle w:val="Hipervnculo"/>
          </w:rPr>
          <w:t xml:space="preserve">https://doi.org/10.1071/pp9860329</w:t>
        </w:r>
      </w:hyperlink>
    </w:p>
    <w:p>
      <w:pPr>
        <w:pStyle w:val="Bibliografa"/>
      </w:pPr>
      <w:r>
        <w:t xml:space="preserve">Stark, J.C., Love, S.L., King, B.A., Marshall, J.M., Bohl, W.H., Salaiz, T., 2013. Potato cultivar response to seasonal drought patterns. American Journal of Potato Research 90, 207–216.</w:t>
      </w:r>
      <w:r>
        <w:t xml:space="preserve"> </w:t>
      </w:r>
      <w:hyperlink r:id="rId63">
        <w:r>
          <w:rPr>
            <w:rStyle w:val="Hipervnculo"/>
          </w:rPr>
          <w:t xml:space="preserve">https://doi.org/10.1007/s12230-012-9285-9</w:t>
        </w:r>
      </w:hyperlink>
    </w:p>
    <w:p>
      <w:pPr>
        <w:pStyle w:val="Bibliografa"/>
      </w:pPr>
      <w:r>
        <w:t xml:space="preserve">Tolk, J.A., Howell, T.A., 2009. Transpiration and yield relationships of grain sorghum grown in a field environment. Agronomy Journal 101, 657.</w:t>
      </w:r>
      <w:r>
        <w:t xml:space="preserve"> </w:t>
      </w:r>
      <w:hyperlink r:id="rId64">
        <w:r>
          <w:rPr>
            <w:rStyle w:val="Hipervnculo"/>
          </w:rPr>
          <w:t xml:space="preserve">https://doi.org/10.2134/agronj2008.0079x</w:t>
        </w:r>
      </w:hyperlink>
    </w:p>
    <w:p>
      <w:pPr>
        <w:pStyle w:val="Bibliografa"/>
      </w:pPr>
      <w:r>
        <w:t xml:space="preserve">Trebejo, I., Midmore, D.J., 1990. Effect of water stress on potato growth, yield and water use in a hot and a cool tropical climate. The Journal of Agricultural Science 114, 321.</w:t>
      </w:r>
      <w:r>
        <w:t xml:space="preserve"> </w:t>
      </w:r>
      <w:hyperlink r:id="rId65">
        <w:r>
          <w:rPr>
            <w:rStyle w:val="Hipervnculo"/>
          </w:rPr>
          <w:t xml:space="preserve">https://doi.org/10.1017/s0021859600072713</w:t>
        </w:r>
      </w:hyperlink>
    </w:p>
    <w:p>
      <w:pPr>
        <w:pStyle w:val="Bibliografa"/>
      </w:pPr>
      <w:r>
        <w:t xml:space="preserve">Tuberosa, R., 2012. Phenotyping for drought tolerance of crops in the genomics era. Frontiers in Physiology 3.</w:t>
      </w:r>
      <w:r>
        <w:t xml:space="preserve"> </w:t>
      </w:r>
      <w:hyperlink r:id="rId66">
        <w:r>
          <w:rPr>
            <w:rStyle w:val="Hipervnculo"/>
          </w:rPr>
          <w:t xml:space="preserve">https://doi.org/10.3389/fphys.2012.00347</w:t>
        </w:r>
      </w:hyperlink>
    </w:p>
    <w:p>
      <w:pPr>
        <w:pStyle w:val="Bibliografa"/>
      </w:pPr>
      <w:r>
        <w:t xml:space="preserve">Vasquez-Robinet, C., Mane, S.P., Ulanov, A.V., Watkinson, J.I., Stromberg, V.K., Koeyer, D.D., Schafleitner, R., Willmot, D.B., Bonierbale, M., Bohnert, H.J., Grene, R., 2008. Physiological and molecular adaptations to drought in andean potato genotypes. Journal of Experimental Botany 59, 2109–2123.</w:t>
      </w:r>
      <w:r>
        <w:t xml:space="preserve"> </w:t>
      </w:r>
      <w:hyperlink r:id="rId67">
        <w:r>
          <w:rPr>
            <w:rStyle w:val="Hipervnculo"/>
          </w:rPr>
          <w:t xml:space="preserve">https://doi.org/10.1093/jxb/ern073</w:t>
        </w:r>
      </w:hyperlink>
    </w:p>
    <w:p>
      <w:pPr>
        <w:pStyle w:val="Bibliografa"/>
      </w:pPr>
      <w:r>
        <w:t xml:space="preserve">Wei, T., Simko, V., 2017. Corrplot: Visualization of a correlation matrix.</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22ecf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674b77d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7/bf02407559" TargetMode="External" /><Relationship Type="http://schemas.openxmlformats.org/officeDocument/2006/relationships/hyperlink" Id="rId49" Target="https://doi.org/10.1007/s00299-007-0406-8" TargetMode="External" /><Relationship Type="http://schemas.openxmlformats.org/officeDocument/2006/relationships/hyperlink" Id="rId63" Target="https://doi.org/10.1007/s12230-012-9285-9" TargetMode="External" /><Relationship Type="http://schemas.openxmlformats.org/officeDocument/2006/relationships/hyperlink" Id="rId57" Target="https://doi.org/10.1016/j.envexpbot.2009.06.010" TargetMode="External" /><Relationship Type="http://schemas.openxmlformats.org/officeDocument/2006/relationships/hyperlink" Id="rId52" Target="https://doi.org/10.1016/j.fcr.2014.03.021" TargetMode="External" /><Relationship Type="http://schemas.openxmlformats.org/officeDocument/2006/relationships/hyperlink" Id="rId60" Target="https://doi.org/10.1016/s0098-8472(03)00019-4" TargetMode="External" /><Relationship Type="http://schemas.openxmlformats.org/officeDocument/2006/relationships/hyperlink" Id="rId56" Target="https://doi.org/10.1016/s1161-0301(00)00081-2" TargetMode="External" /><Relationship Type="http://schemas.openxmlformats.org/officeDocument/2006/relationships/hyperlink" Id="rId55" Target="https://doi.org/10.1016/s1161-0301(99)00019-2" TargetMode="External" /><Relationship Type="http://schemas.openxmlformats.org/officeDocument/2006/relationships/hyperlink" Id="rId65" Target="https://doi.org/10.1017/s0021859600072713" TargetMode="External" /><Relationship Type="http://schemas.openxmlformats.org/officeDocument/2006/relationships/hyperlink" Id="rId59"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8" Target="https://doi.org/10.1071/cp09064" TargetMode="External" /><Relationship Type="http://schemas.openxmlformats.org/officeDocument/2006/relationships/hyperlink" Id="rId50" Target="https://doi.org/10.1071/fp11101" TargetMode="External" /><Relationship Type="http://schemas.openxmlformats.org/officeDocument/2006/relationships/hyperlink" Id="rId62" Target="https://doi.org/10.1071/pp9860329" TargetMode="External" /><Relationship Type="http://schemas.openxmlformats.org/officeDocument/2006/relationships/hyperlink" Id="rId61" Target="https://doi.org/10.1093/jexbot/49.325.1381" TargetMode="External" /><Relationship Type="http://schemas.openxmlformats.org/officeDocument/2006/relationships/hyperlink" Id="rId53" Target="https://doi.org/10.1093/jxb/erh277" TargetMode="External" /><Relationship Type="http://schemas.openxmlformats.org/officeDocument/2006/relationships/hyperlink" Id="rId67" Target="https://doi.org/10.1093/jxb/ern073" TargetMode="External" /><Relationship Type="http://schemas.openxmlformats.org/officeDocument/2006/relationships/hyperlink" Id="rId64" Target="https://doi.org/10.2134/agronj2008.0079x" TargetMode="External" /><Relationship Type="http://schemas.openxmlformats.org/officeDocument/2006/relationships/hyperlink" Id="rId66" Target="https://doi.org/10.3389/fphys.2012.00347"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Lozano-Isla, Flavioa; Gutierrez, Raymundoa; Farfan-Vignolo, Evelyna; Blas, Raulb</dc:creator>
  <dcterms:created xsi:type="dcterms:W3CDTF">2018-02-17T04:49:37Z</dcterms:created>
  <dcterms:modified xsi:type="dcterms:W3CDTF">2018-02-17T04:49:37Z</dcterms:modified>
</cp:coreProperties>
</file>