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2018-02-16</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_2011">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_2001">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_2013">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_2005">
        <w:r>
          <w:rPr>
            <w:rStyle w:val="Hipervnculo"/>
          </w:rPr>
          <w:t xml:space="preserve">2005</w:t>
        </w:r>
      </w:hyperlink>
      <w:r>
        <w:t xml:space="preserve">; Hochman et al.,</w:t>
      </w:r>
      <w:r>
        <w:t xml:space="preserve"> </w:t>
      </w:r>
      <w:hyperlink w:anchor="ref-Hochman_2009">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_2014">
        <w:r>
          <w:rPr>
            <w:rStyle w:val="Hipervnculo"/>
          </w:rPr>
          <w:t xml:space="preserve">2014</w:t>
        </w:r>
      </w:hyperlink>
      <w:r>
        <w:t xml:space="preserve">; Condon,</w:t>
      </w:r>
      <w:r>
        <w:t xml:space="preserve"> </w:t>
      </w:r>
      <w:hyperlink w:anchor="ref-Condon_2004">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_2009">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_2003">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_1990">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_2012">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extoindependiente"/>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Bhatnagar-Mathur et al. (</w:t>
      </w:r>
      <w:hyperlink w:anchor="ref-Bhatnagar_Mathur_2007">
        <w:r>
          <w:rPr>
            <w:rStyle w:val="Hipervnculo"/>
          </w:rPr>
          <w:t xml:space="preserve">2007</w:t>
        </w:r>
      </w:hyperlink>
      <w:r>
        <w:t xml:space="preserve">)</w:t>
      </w:r>
      <w:r>
        <w:t xml:space="preserve"> </w:t>
      </w:r>
      <w:r>
        <w:t xml:space="preserve">and</w:t>
      </w:r>
      <w:r>
        <w:t xml:space="preserve"> </w:t>
      </w:r>
      <w:r>
        <w:t xml:space="preserve">Ray (</w:t>
      </w:r>
      <w:hyperlink w:anchor="ref-Ray_1998">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(Sinclair and Ludlow,</w:t>
      </w:r>
      <w:r>
        <w:t xml:space="preserve"> </w:t>
      </w:r>
      <w:hyperlink w:anchor="ref-Sinclair_1986">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(Costa et al.,</w:t>
      </w:r>
      <w:r>
        <w:t xml:space="preserve"> </w:t>
      </w:r>
      <w:hyperlink w:anchor="ref-Dalla_Costa_1997">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(Vasquez-Robinet et al.,</w:t>
      </w:r>
      <w:r>
        <w:t xml:space="preserve"> </w:t>
      </w:r>
      <w:hyperlink w:anchor="ref-Vasquez_Robinet_2008">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_2009">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_1999">
        <w:r>
          <w:rPr>
            <w:rStyle w:val="Hipervnculo"/>
          </w:rPr>
          <w:t xml:space="preserve">1999</w:t>
        </w:r>
      </w:hyperlink>
      <w:r>
        <w:t xml:space="preserve">; Lahlou et al.,</w:t>
      </w:r>
      <w:r>
        <w:t xml:space="preserve"> </w:t>
      </w:r>
      <w:hyperlink w:anchor="ref-Lahlou_2003">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Ttulo2"/>
      </w:pPr>
      <w:bookmarkStart w:id="32" w:name="statistical-analysis"/>
      <w:bookmarkEnd w:id="32"/>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(Lozano Isla et al.,</w:t>
      </w:r>
      <w:r>
        <w:t xml:space="preserve"> </w:t>
      </w:r>
      <w:hyperlink w:anchor="ref-R-GerminaR">
        <w:r>
          <w:rPr>
            <w:rStyle w:val="Hipervnculo"/>
          </w:rPr>
          <w:t xml:space="preserve">2017</w:t>
        </w:r>
      </w:hyperlink>
      <w:r>
        <w:t xml:space="preserve">)</w:t>
      </w:r>
      <w:r>
        <w:t xml:space="preserve"> </w:t>
      </w:r>
      <w:r>
        <w:t xml:space="preserve">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Ttulo1"/>
      </w:pPr>
      <w:bookmarkStart w:id="37" w:name="tables"/>
      <w:bookmarkEnd w:id="37"/>
      <w:r>
        <w:t xml:space="preserve">Tables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39" w:name="figures"/>
      <w:bookmarkEnd w:id="39"/>
      <w:r>
        <w:t xml:space="preserve">Figures</w:t>
      </w:r>
    </w:p>
    <w:p>
      <w:pPr>
        <w:pStyle w:val="FigureWithCaption"/>
      </w:pPr>
      <w:r>
        <w:drawing>
          <wp:inline>
            <wp:extent cx="5397500" cy="5397500"/>
            <wp:effectExtent b="0" l="0" r="0" t="0"/>
            <wp:docPr descr="Figure 1 Principal components analysis (PCA) of the variables"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1 Principal components analysis (PCA) of the variables</w:t>
      </w:r>
    </w:p>
    <w:p>
      <w:pPr>
        <w:pStyle w:val="FigureWithCaption"/>
      </w:pPr>
      <w:r>
        <w:drawing>
          <wp:inline>
            <wp:extent cx="5397500" cy="5397500"/>
            <wp:effectExtent b="0" l="0" r="0" t="0"/>
            <wp:docPr descr="Figure 2 Principal components analysis (PCA) of the individual"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2 Principal components analysis (PCA) of the individual</w:t>
      </w:r>
    </w:p>
    <w:p>
      <w:pPr>
        <w:pStyle w:val="FigureWithCaption"/>
      </w:pPr>
      <w:r>
        <w:drawing>
          <wp:inline>
            <wp:extent cx="5397500" cy="5397500"/>
            <wp:effectExtent b="0" l="0" r="0" t="0"/>
            <wp:docPr descr="Figure 3 Hierarchical Clustering of the indiviudals"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Hierarchical Clustering of the indiviudals</w:t>
      </w:r>
    </w:p>
    <w:p>
      <w:pPr>
        <w:pStyle w:val="FigureWithCaption"/>
      </w:pPr>
      <w:r>
        <w:drawing>
          <wp:inline>
            <wp:extent cx="3792160" cy="5361014"/>
            <wp:effectExtent b="0" l="0" r="0" t="0"/>
            <wp:docPr descr="Figure 4 SPAD at 29 and 83 days after planting" title="" id="1" name="Picture"/>
            <a:graphic>
              <a:graphicData uri="http://schemas.openxmlformats.org/drawingml/2006/picture">
                <pic:pic>
                  <pic:nvPicPr>
                    <pic:cNvPr descr="img/Fig_04.png" id="0" name="Picture"/>
                    <pic:cNvPicPr>
                      <a:picLocks noChangeArrowheads="1" noChangeAspect="1"/>
                    </pic:cNvPicPr>
                  </pic:nvPicPr>
                  <pic:blipFill>
                    <a:blip r:embed="rId43"/>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4 SPAD at 29 and 83 days after planting</w:t>
      </w:r>
    </w:p>
    <w:p>
      <w:pPr>
        <w:pStyle w:val="FigureWithCaption"/>
      </w:pPr>
      <w:r>
        <w:drawing>
          <wp:inline>
            <wp:extent cx="3792160" cy="5361014"/>
            <wp:effectExtent b="0" l="0" r="0" t="0"/>
            <wp:docPr descr="Figure 5 Relative water content and osmotic potential" title="" id="1" name="Picture"/>
            <a:graphic>
              <a:graphicData uri="http://schemas.openxmlformats.org/drawingml/2006/picture">
                <pic:pic>
                  <pic:nvPicPr>
                    <pic:cNvPr descr="img/Fig_05.png" id="0" name="Picture"/>
                    <pic:cNvPicPr>
                      <a:picLocks noChangeArrowheads="1" noChangeAspect="1"/>
                    </pic:cNvPicPr>
                  </pic:nvPicPr>
                  <pic:blipFill>
                    <a:blip r:embed="rId44"/>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5 Relative water content and osmotic potential</w:t>
      </w:r>
    </w:p>
    <w:p>
      <w:pPr>
        <w:pStyle w:val="FigureWithCaption"/>
      </w:pPr>
      <w:r>
        <w:drawing>
          <wp:inline>
            <wp:extent cx="3792160" cy="8043050"/>
            <wp:effectExtent b="0" l="0" r="0" t="0"/>
            <wp:docPr descr="Figure 6 Total transpiration, Leaf Area and Specific leaf Area" title="" id="1" name="Picture"/>
            <a:graphic>
              <a:graphicData uri="http://schemas.openxmlformats.org/drawingml/2006/picture">
                <pic:pic>
                  <pic:nvPicPr>
                    <pic:cNvPr descr="img/Fig_06.png" id="0" name="Picture"/>
                    <pic:cNvPicPr>
                      <a:picLocks noChangeArrowheads="1" noChangeAspect="1"/>
                    </pic:cNvPicPr>
                  </pic:nvPicPr>
                  <pic:blipFill>
                    <a:blip r:embed="rId45"/>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6 Total transpiration, Leaf Area and Specific leaf Area</w:t>
      </w:r>
    </w:p>
    <w:p>
      <w:pPr>
        <w:pStyle w:val="FigureWithCaption"/>
      </w:pPr>
      <w:r>
        <w:drawing>
          <wp:inline>
            <wp:extent cx="3792160" cy="8043050"/>
            <wp:effectExtent b="0" l="0" r="0" t="0"/>
            <wp:docPr descr="Figure 7 Harvest Index, water use efficency, tuber wue" title="" id="1" name="Picture"/>
            <a:graphic>
              <a:graphicData uri="http://schemas.openxmlformats.org/drawingml/2006/picture">
                <pic:pic>
                  <pic:nvPicPr>
                    <pic:cNvPr descr="img/Fig_07.png" id="0" name="Picture"/>
                    <pic:cNvPicPr>
                      <a:picLocks noChangeArrowheads="1" noChangeAspect="1"/>
                    </pic:cNvPicPr>
                  </pic:nvPicPr>
                  <pic:blipFill>
                    <a:blip r:embed="rId46"/>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7 Harvest Index, water use efficency, tuber wue</w:t>
      </w:r>
    </w:p>
    <w:p>
      <w:pPr>
        <w:pStyle w:val="FigureWithCaption"/>
      </w:pPr>
      <w:r>
        <w:drawing>
          <wp:inline>
            <wp:extent cx="3792160" cy="5361014"/>
            <wp:effectExtent b="0" l="0" r="0" t="0"/>
            <wp:docPr descr="Figure 8 Soil transpiration fraction and transpiration during the experiment" title="" id="1" name="Picture"/>
            <a:graphic>
              <a:graphicData uri="http://schemas.openxmlformats.org/drawingml/2006/picture">
                <pic:pic>
                  <pic:nvPicPr>
                    <pic:cNvPr descr="img/Fig_08.png" id="0" name="Picture"/>
                    <pic:cNvPicPr>
                      <a:picLocks noChangeArrowheads="1" noChangeAspect="1"/>
                    </pic:cNvPicPr>
                  </pic:nvPicPr>
                  <pic:blipFill>
                    <a:blip r:embed="rId47"/>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8 Soil transpiration fraction and transpiration during the experiment</w:t>
      </w:r>
    </w:p>
    <w:p>
      <w:pPr>
        <w:pStyle w:val="Ttulo1"/>
      </w:pPr>
      <w:bookmarkStart w:id="48" w:name="references"/>
      <w:bookmarkEnd w:id="48"/>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9">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50">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51">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52">
        <w:r>
          <w:rPr>
            <w:rStyle w:val="Hipervnculo"/>
          </w:rPr>
          <w:t xml:space="preserve">https://doi.org/10.1016/j.fcr.2014.03.021</w:t>
        </w:r>
      </w:hyperlink>
    </w:p>
    <w:p>
      <w:pPr>
        <w:pStyle w:val="Bibliografa"/>
      </w:pPr>
      <w:r>
        <w:t xml:space="preserve">Condon, A.G., 2004. Breeding for high water-use efficiency. Journal of Experimental Botany 55, 2447–2460.</w:t>
      </w:r>
      <w:r>
        <w:t xml:space="preserve"> </w:t>
      </w:r>
      <w:hyperlink r:id="rId53">
        <w:r>
          <w:rPr>
            <w:rStyle w:val="Hipervnculo"/>
          </w:rPr>
          <w:t xml:space="preserve">https://doi.org/10.1093/jxb/erh277</w:t>
        </w:r>
      </w:hyperlink>
    </w:p>
    <w:p>
      <w:pPr>
        <w:pStyle w:val="Bibliografa"/>
      </w:pPr>
      <w:r>
        <w:t xml:space="preserve">Costa, L.D., Vedove, G.D., Gianquinto, G., Giovanardi, R., Peressotti, A., 1997. Yield, water use efficiency and nitrogen uptake in potato: Influence of drought stress. Potato Research 40, 19–34.</w:t>
      </w:r>
      <w:r>
        <w:t xml:space="preserve"> </w:t>
      </w:r>
      <w:hyperlink r:id="rId54">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5">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6">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7">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8">
        <w:r>
          <w:rPr>
            <w:rStyle w:val="Hipervnculo"/>
          </w:rPr>
          <w:t xml:space="preserve">https://doi.org/10.1071/cp09064</w:t>
        </w:r>
      </w:hyperlink>
    </w:p>
    <w:p>
      <w:pPr>
        <w:pStyle w:val="Bibliografa"/>
      </w:pPr>
      <w:r>
        <w:t xml:space="preserve">Husson, F., Josse, J., Le, S., Mazet, J., 2017.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9">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60">
        <w:r>
          <w:rPr>
            <w:rStyle w:val="Hipervnculo"/>
          </w:rPr>
          <w:t xml:space="preserve">https://doi.org/10.1016/s0098-8472(03)00019-4</w:t>
        </w:r>
      </w:hyperlink>
    </w:p>
    <w:p>
      <w:pPr>
        <w:pStyle w:val="Bibliografa"/>
      </w:pPr>
      <w:r>
        <w:t xml:space="preserve">R Core Team, 2017. R: A language and environment for statistical computing. R Foundation for Statistical Computing, Vienna, Austria.</w:t>
      </w:r>
    </w:p>
    <w:p>
      <w:pPr>
        <w:pStyle w:val="Bibliografa"/>
      </w:pPr>
      <w:r>
        <w:t xml:space="preserve">Ray, J., 1998. The effect of pot size on growth and transpiration of maize and soybean during water deficit stress. Journal of Experimental Botany 49, 1381–1386.</w:t>
      </w:r>
      <w:r>
        <w:t xml:space="preserve"> </w:t>
      </w:r>
      <w:hyperlink r:id="rId61">
        <w:r>
          <w:rPr>
            <w:rStyle w:val="Hipervnculo"/>
          </w:rPr>
          <w:t xml:space="preserve">https://doi.org/10.1093/jexbot/49.325.1381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62">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63">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w:t>
      </w:r>
      <w:r>
        <w:t xml:space="preserve"> </w:t>
      </w:r>
      <w:hyperlink r:id="rId64">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5">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6">
        <w:r>
          <w:rPr>
            <w:rStyle w:val="Hipervnculo"/>
          </w:rPr>
          <w:t xml:space="preserve">https://doi.org/10.3389/fphys.2012.00347</w:t>
        </w:r>
      </w:hyperlink>
    </w:p>
    <w:p>
      <w:pPr>
        <w:pStyle w:val="Bibliografa"/>
      </w:pPr>
      <w:r>
        <w:t xml:space="preserve">Vasquez-Robinet, C., Mane, S.P., Ulanov, A.V., Watkinson, J.I., Stromberg, V.K., Koeyer, D.D., Schafleitner, R., Willmot, D.B., Bonierbale, M., Bohnert, H.J., Grene, R., 2008. Physiological and molecular adaptations to drought in andean potato genotypes. Journal of Experimental Botany 59, 2109–2123.</w:t>
      </w:r>
      <w:r>
        <w:t xml:space="preserve"> </w:t>
      </w:r>
      <w:hyperlink r:id="rId67">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7e7b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7518f14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2018-02-17T04:37:58Z</dcterms:created>
  <dcterms:modified xsi:type="dcterms:W3CDTF">2018-02-17T04:37:58Z</dcterms:modified>
</cp:coreProperties>
</file>