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4.png" ContentType="image/png"/>
  <Override PartName="/word/media/rId93.png" ContentType="image/pn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list-of-abbreviations"/>
      <w:r>
        <w:t xml:space="preserve">List of abbreviations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Plant 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Root length</w:t>
            </w:r>
          </w:p>
        </w:tc>
        <w:tc>
          <w:p>
            <w:pPr>
              <w:pStyle w:val="Compact"/>
              <w:jc w:val="left"/>
            </w:pPr>
            <w:r>
              <w:t xml:space="preserve">rdl</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tulo1"/>
      </w:pPr>
      <w:bookmarkStart w:id="22" w:name="abstract"/>
      <w:r>
        <w:t xml:space="preserve">Abstract</w:t>
      </w:r>
      <w:bookmarkEnd w:id="22"/>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breeding programs. In order to explore the different responses of potato under drought, we evaluated fifteen genotypes under well watered (WD) and water deficit (WD) conditions for a range of agro-morphological and physiological traits.</w:t>
      </w:r>
    </w:p>
    <w:p>
      <w:pPr>
        <w:pStyle w:val="BodyText"/>
      </w:pPr>
      <w:r>
        <w:t xml:space="preserve">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water use efficency.</w:t>
      </w:r>
    </w:p>
    <w:p>
      <w:pPr>
        <w:pStyle w:val="BodyText"/>
      </w:pPr>
      <w:r>
        <w:rPr>
          <w:b/>
        </w:rPr>
        <w:t xml:space="preserve">Key words:</w:t>
      </w:r>
      <w:r>
        <w:t xml:space="preserve"> </w:t>
      </w:r>
      <w:r>
        <w:t xml:space="preserve">abiotic stress, harvest index, lisimeter, drought tolerance</w:t>
      </w:r>
    </w:p>
    <w:p>
      <w:pPr>
        <w:pStyle w:val="Textodebloque"/>
      </w:pPr>
      <w:r>
        <w:t xml:space="preserve">Include info about potato!</w:t>
      </w:r>
    </w:p>
    <w:p>
      <w:pPr>
        <w:pStyle w:val="Ttulo1"/>
      </w:pPr>
      <w:bookmarkStart w:id="23" w:name="introduction"/>
      <w:r>
        <w:t xml:space="preserve">Introduction</w:t>
      </w:r>
      <w:bookmarkEnd w:id="23"/>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BodyText"/>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thirteen advanced potato clones and compared with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tuber water use efficiency (twue),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 vs SPAD!</w:t>
      </w:r>
    </w:p>
    <w:p>
      <w:pPr>
        <w:pStyle w:val="Textodebloque"/>
      </w:pPr>
      <w:r>
        <w:t xml:space="preserve">Include in the intro</w:t>
      </w:r>
    </w:p>
    <w:p>
      <w:pPr>
        <w:pStyle w:val="Ttulo1"/>
      </w:pPr>
      <w:bookmarkStart w:id="24" w:name="materials-and-methods"/>
      <w:r>
        <w:t xml:space="preserve">Materials and Methods</w:t>
      </w:r>
      <w:bookmarkEnd w:id="24"/>
    </w:p>
    <w:p>
      <w:pPr>
        <w:pStyle w:val="Ttulo2"/>
      </w:pPr>
      <w:bookmarkStart w:id="25" w:name="plant-material-and-experimental-design"/>
      <w:r>
        <w:t xml:space="preserve">Plant material and experimental design</w:t>
      </w:r>
      <w:bookmarkEnd w:id="25"/>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w:t>
      </w:r>
    </w:p>
    <w:p>
      <w:pPr>
        <w:pStyle w:val="Ttulo2"/>
      </w:pPr>
      <w:bookmarkStart w:id="26" w:name="Xb2a003cd5eb9a7ca8b409056d453fb1474f0977"/>
      <w:r>
        <w:t xml:space="preserve">Relationship between transpiration rate and soil water supply</w:t>
      </w:r>
      <w:bookmarkEnd w:id="26"/>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7" w:name="evaluated-traits"/>
      <w:r>
        <w:t xml:space="preserve">Evaluated traits</w:t>
      </w:r>
      <w:bookmarkEnd w:id="27"/>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 and tuber water use efficiency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BodyText"/>
      </w:pPr>
      <w:r>
        <w:rPr>
          <w:b/>
        </w:rPr>
        <w:t xml:space="preserve">Chlorophyll content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w:t>
      </w:r>
      <w:r>
        <w:t xml:space="preserve"> </w:t>
      </w:r>
      <w:r>
        <w:t xml:space="preserve">(Zárate-Salazar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tolerance to decrease of water supply (tdws) or the percentage of yield reduction was the index used to evaluated the drought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28" w:name="statistical-analysis"/>
      <w:r>
        <w:t xml:space="preserve">Statistical analysis</w:t>
      </w:r>
      <w:bookmarkEnd w:id="28"/>
    </w:p>
    <w:p>
      <w:pPr>
        <w:pStyle w:val="FirstParagraph"/>
      </w:pPr>
      <w:r>
        <w:t xml:space="preserve">The experiment was carried out in a complete randomize block design with two factors; the irrigation, well water (WW) and water deficit (WD) treatments and fifteen potato genotypes. Each treatment consisted of five replicates with one potato plant for each experimental unit. 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hierarchical clustering between treatments and genotypes were computed with the Euclidean distance</w:t>
      </w:r>
      <w:r>
        <w:t xml:space="preserve"> </w:t>
      </w:r>
      <w:r>
        <w:t xml:space="preserve">(Lê et al.,</w:t>
      </w:r>
      <w:r>
        <w:t xml:space="preserve"> </w:t>
      </w:r>
      <w:hyperlink w:anchor="ref-le2008FactoMineR">
        <w:r>
          <w:rPr>
            <w:rStyle w:val="Hipervnculo"/>
          </w:rPr>
          <w:t xml:space="preserve">2008</w:t>
        </w:r>
      </w:hyperlink>
      <w:r>
        <w:t xml:space="preserve">)</w:t>
      </w:r>
    </w:p>
    <w:p>
      <w:pPr>
        <w:pStyle w:val="Ttulo1"/>
      </w:pPr>
      <w:bookmarkStart w:id="29" w:name="result"/>
      <w:r>
        <w:t xml:space="preserve">Result</w:t>
      </w:r>
      <w:bookmarkEnd w:id="29"/>
    </w:p>
    <w:p>
      <w:pPr>
        <w:pStyle w:val="Ttulo2"/>
      </w:pPr>
      <w:bookmarkStart w:id="30" w:name="treatment-application"/>
      <w:r>
        <w:t xml:space="preserve">Treatment application</w:t>
      </w:r>
      <w:bookmarkEnd w:id="30"/>
    </w:p>
    <w:p>
      <w:pPr>
        <w:pStyle w:val="FirstParagraph"/>
      </w:pPr>
      <w:r>
        <w:t xml:space="preserve">The drought treatment were apply at 35 day after planting (dap) and the fraction of transpirable soil water (ftsw) shown differences 14 day since treatment application. Plants in WW were maintained the water availability in the pots between 70% and 100%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from 16 days after not water irrigation, Figure</w:t>
      </w:r>
      <w:r>
        <w:t xml:space="preserve"> </w:t>
      </w:r>
      <w:r>
        <w:t xml:space="preserve">1</w:t>
      </w:r>
      <w:r>
        <w:t xml:space="preserve">B. Exist and increase in the transpiration in both treatments since 49 dap and 69 dap (20 day).</w:t>
      </w:r>
    </w:p>
    <w:p>
      <w:pPr>
        <w:pStyle w:val="Ttulo2"/>
      </w:pPr>
      <w:bookmarkStart w:id="31" w:name="morpho-phisological-traits"/>
      <w:r>
        <w:t xml:space="preserve">Morpho-phisological traits</w:t>
      </w:r>
      <w:bookmarkEnd w:id="31"/>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w:t>
      </w:r>
    </w:p>
    <w:p>
      <w:pPr>
        <w:pStyle w:val="BodyText"/>
      </w:pPr>
      <w:r>
        <w:t xml:space="preserve">Leaf relative water content (RWC) significantly (p &lt; 0.01) decreased in response to WD in all the genotypes (Supplementary Table 1). The values ranged between 64.96% and 50.09% for CIP720088 and CIP398201.510, respectively. Differences in osmotic potential (OP) among genotypes and treatments were also significant (P &lt; .001), Table</w:t>
      </w:r>
      <w:r>
        <w:t xml:space="preserve"> </w:t>
      </w:r>
      <w:r>
        <w:t xml:space="preserve">2</w:t>
      </w:r>
      <w:r>
        <w:t xml:space="preserve">.</w:t>
      </w:r>
    </w:p>
    <w:p>
      <w:pPr>
        <w:pStyle w:val="Ttulo2"/>
      </w:pPr>
      <w:bookmarkStart w:id="32" w:name="yield-components"/>
      <w:r>
        <w:t xml:space="preserve">Yield components</w:t>
      </w:r>
      <w:bookmarkEnd w:id="32"/>
    </w:p>
    <w:p>
      <w:pPr>
        <w:pStyle w:val="FirstParagraph"/>
      </w:pPr>
      <w:r>
        <w:t xml:space="preserve">Differences existed among genotypes in total biomass dry weight (g) of well-watered (WW) plants at the end of the experiment, table. Water deficit (WD) treatment had a significant effect (P &lt; 0.001) with an average reduction of around 31% in comparison with the well-watered treatment, Table</w:t>
      </w:r>
      <w:r>
        <w:t xml:space="preserve"> </w:t>
      </w:r>
      <w:r>
        <w:t xml:space="preserve">2</w:t>
      </w:r>
      <w:r>
        <w:t xml:space="preserve">.</w:t>
      </w:r>
    </w:p>
    <w:p>
      <w:pPr>
        <w:pStyle w:val="BodyText"/>
      </w:pPr>
      <w:r>
        <w:t xml:space="preserve">CIP398190.89 was the only genotype with a 5% increase in biomass, and CIP398208.219 was the most affected by WD (~44% reduction in comparison with WW). In terms of productivity, WD decreased tuber yield (kgDW.m2) across genotypes by an average of 39% (P &lt; 0.01), however, CIP398190.89 increased its productivity by 5%, while others like CIP398203.5 and CIP398203.244 presented up to 56% and 48% reduced tuber production (Figure 2a). CIP398190.89 had greater tuber dry weight (g) in WD compared to its yield in WW treatment, with a TDWS of 104.09%, indicating drought tolerance (Figure 1a). Most genotypes had similar performance under drought, such as UNICA (CIP392797.22) with 75.76% and CIP398208.33 with 71.9% TDWS. The genotypes CIP398203.244, CIP398208.219, and CIP398201.510 were among the most sensitive genotypes at 31.56, 46.75 and 48.88% respectively.</w:t>
      </w:r>
    </w:p>
    <w:p>
      <w:pPr>
        <w:pStyle w:val="BodyText"/>
      </w:pPr>
      <w:r>
        <w:t xml:space="preserve">Differences among genotypes (p&lt;0.001) and treatments (p&lt;0.01) were found for harvest index (HI), Table</w:t>
      </w:r>
      <w:r>
        <w:t xml:space="preserve"> </w:t>
      </w:r>
      <w:r>
        <w:t xml:space="preserve">2</w:t>
      </w:r>
      <w:r>
        <w:t xml:space="preserve">. A strong negative correlation among rdw and HI was found in both treatments (r= -0.73), Figure</w:t>
      </w:r>
      <w:r>
        <w:t xml:space="preserve"> </w:t>
      </w:r>
      <w:r>
        <w:t xml:space="preserve">3</w:t>
      </w:r>
      <w:r>
        <w:t xml:space="preserve">. The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(53, 65, and 64% respectively.</w:t>
      </w:r>
    </w:p>
    <w:p>
      <w:pPr>
        <w:pStyle w:val="BodyText"/>
      </w:pPr>
      <w:r>
        <w:t xml:space="preserve">Water use efficiency (WUE) was generally higher in WD than WW plants Table</w:t>
      </w:r>
      <w:r>
        <w:t xml:space="preserve"> </w:t>
      </w:r>
      <w:r>
        <w:t xml:space="preserve">2</w:t>
      </w:r>
      <w:r>
        <w:t xml:space="preserve">. Under WD treatment, CIP397077.16, CIP398208.620, CIP392797.22 and CIP398190.89 showed the highest wue (13.06, 12.03, and 11.59 g.L-1, respectively), while the lowest efficiencies (8.50 and 9.24 g.L-1) were presented by CIP398180.612 and CIP398203.5, respectively. CIP398208.620) (10.80 g.L-1 for WW and 12.03 g.L-1 for WD) and CIP398180.612 (8.36 g.L-1 for WW and 8.50 g.L-1) maintained similar WUE (higher or lower) in both treatments (Figure 3a). Tubers used a great portion of the water uptake (Figure 4b), at least for the tolerant genotypes (CIP398190.89, CIP397077.16, and UNICA), in which tubers either from WW or WD are alike (Sup.Fig.1). On the other hand, the sensitive genotype CIP398203.244 produced more leaves and stems rather than tubers.</w:t>
      </w:r>
    </w:p>
    <w:p>
      <w:pPr>
        <w:pStyle w:val="Ttulo2"/>
      </w:pPr>
      <w:bookmarkStart w:id="33" w:name="multivariate-analysis"/>
      <w:r>
        <w:t xml:space="preserve">Multivariate analysis</w:t>
      </w:r>
      <w:bookmarkEnd w:id="33"/>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twue (-0.9) and associated to WW treatment, Figure</w:t>
      </w:r>
      <w:r>
        <w:t xml:space="preserve"> </w:t>
      </w:r>
      <w:r>
        <w:t xml:space="preserve">2</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and the black and red associated at the water deficit treatment; and the second group in green, cyan and red color associated according to their tolerate to water stress because their correlated with twue, hi and tdw, traits important in the yield component, Figure</w:t>
      </w:r>
      <w:r>
        <w:t xml:space="preserve"> </w:t>
      </w:r>
      <w:r>
        <w:t xml:space="preserve">2</w:t>
      </w:r>
      <w:r>
        <w:t xml:space="preserve">B.</w:t>
      </w:r>
    </w:p>
    <w:p>
      <w:pPr>
        <w:pStyle w:val="BodyText"/>
      </w:pPr>
      <w:r>
        <w:t xml:space="preserve">The association between the cluster an the variables shown that the genotypes in the cluster 1 are positive correlated with the spad, rdl and rdw and negative correlated to hi, tdw, twue, sla. The genoytpes in the cluster 2 are only positive associated with the hi and negative associated with ldw, tdb, sdw. In the cluster 3 the genotypes are positive correlated at wue, twue and negative correlated for rwc, lop and sla. The cluster 4 positive association with rdw, ldw, lfa, sdw, trs and negative correlated with wue and twue. And the cluster 5 is associated with sla, tdw, rwc, lfa and negative associated with spad and rdw, Figure</w:t>
      </w:r>
      <w:r>
        <w:t xml:space="preserve"> </w:t>
      </w:r>
      <w:r>
        <w:t xml:space="preserve">2</w:t>
      </w:r>
      <w:r>
        <w:t xml:space="preserve">.</w:t>
      </w:r>
    </w:p>
    <w:p>
      <w:pPr>
        <w:pStyle w:val="BodyText"/>
      </w:pPr>
      <w:r>
        <w:t xml:space="preserve">The values of tdb and trs were strongly and positively correlated across (r= 0.93, P &lt; 0.05), Figure</w:t>
      </w:r>
      <w:r>
        <w:t xml:space="preserve"> </w:t>
      </w:r>
      <w:r>
        <w:t xml:space="preserve">3</w:t>
      </w:r>
      <w:r>
        <w:t xml:space="preserve">. WUE was also correlated with both total biomass and tuber yield (r = 0 .55, p &lt; .05; and r = 0.78, p &lt; 0.001 respectively) (Figure 5b and Supplemental Table 1). The efficiency of use of transpired water was 34.9% higher in CIP397077.16, compared to CIP398180.612. Genotypic variability was also noted in terms of TDWS and HI and three clear groups (tolerant, medium, sensitive) can be distinguished based on TDWS and HI. CIP397077.16, UNICA, CIP398208.620, and Achirana-INTA were ranked as tolerant while CIP398203.244 was rated as sensitive (Figure 5c). The leaf (r = 0.79), stem (r = 0.69), and tuber biomass (r = 0.56) were also positively correlated with transpiration. Almost all characteristics evaluated showed significant differences between treatments (Supplementary Table 2). Only SPAD29, before the start of the drought treatment, and root length did not show significant differences.</w:t>
      </w:r>
    </w:p>
    <w:p>
      <w:pPr>
        <w:pStyle w:val="Ttulo1"/>
      </w:pPr>
      <w:bookmarkStart w:id="34" w:name="dicussion"/>
      <w:r>
        <w:t xml:space="preserve">Dicussion</w:t>
      </w:r>
      <w:bookmarkEnd w:id="34"/>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FirstParagraph"/>
      </w:pPr>
      <w:r>
        <w:t xml:space="preserve">Plant biomass accumulation, and consequently yield, was shown to be inextricably linked to transpiration. The ratio of plant productivity to water loss, water-use 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35" w:name="conclusions"/>
      <w:r>
        <w:t xml:space="preserve">Conclusions</w:t>
      </w:r>
      <w:bookmarkEnd w:id="35"/>
    </w:p>
    <w:p>
      <w:pPr>
        <w:pStyle w:val="Ttulo1"/>
      </w:pPr>
      <w:bookmarkStart w:id="36" w:name="acknowledgments"/>
      <w:r>
        <w:t xml:space="preserve">Acknowledgments</w:t>
      </w:r>
      <w:bookmarkEnd w:id="36"/>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7" w:name="references"/>
      <w:r>
        <w:t xml:space="preserve">References</w:t>
      </w:r>
      <w:bookmarkEnd w:id="37"/>
    </w:p>
    <w:bookmarkStart w:id="91" w:name="refs"/>
    <w:bookmarkStart w:id="39"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38">
        <w:r>
          <w:rPr>
            <w:rStyle w:val="Hipervnculo"/>
          </w:rPr>
          <w:t xml:space="preserve">https://doi.org/10.1007/s00299-007-0406-8</w:t>
        </w:r>
      </w:hyperlink>
    </w:p>
    <w:bookmarkEnd w:id="39"/>
    <w:bookmarkStart w:id="41"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40">
        <w:r>
          <w:rPr>
            <w:rStyle w:val="Hipervnculo"/>
          </w:rPr>
          <w:t xml:space="preserve">https://doi.org/10.1071/AR05069</w:t>
        </w:r>
      </w:hyperlink>
    </w:p>
    <w:bookmarkEnd w:id="41"/>
    <w:bookmarkStart w:id="43"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2">
        <w:r>
          <w:rPr>
            <w:rStyle w:val="Hipervnculo"/>
          </w:rPr>
          <w:t xml:space="preserve">https://doi.org/10.1071/FP11101</w:t>
        </w:r>
      </w:hyperlink>
    </w:p>
    <w:bookmarkEnd w:id="43"/>
    <w:bookmarkStart w:id="45"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44">
        <w:r>
          <w:rPr>
            <w:rStyle w:val="Hipervnculo"/>
          </w:rPr>
          <w:t xml:space="preserve">https://doi.org/10.1016/j.fcr.2014.03.021</w:t>
        </w:r>
      </w:hyperlink>
    </w:p>
    <w:bookmarkEnd w:id="45"/>
    <w:bookmarkStart w:id="46"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46"/>
    <w:bookmarkStart w:id="48"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7">
        <w:r>
          <w:rPr>
            <w:rStyle w:val="Hipervnculo"/>
          </w:rPr>
          <w:t xml:space="preserve">https://doi.org/10.1007/BF02407559</w:t>
        </w:r>
      </w:hyperlink>
    </w:p>
    <w:bookmarkEnd w:id="48"/>
    <w:bookmarkStart w:id="50"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9">
        <w:r>
          <w:rPr>
            <w:rStyle w:val="Hipervnculo"/>
          </w:rPr>
          <w:t xml:space="preserve">https://doi.org/10.1016/S1161-0301(99)00019-2</w:t>
        </w:r>
      </w:hyperlink>
    </w:p>
    <w:bookmarkEnd w:id="50"/>
    <w:bookmarkStart w:id="52"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1">
        <w:r>
          <w:rPr>
            <w:rStyle w:val="Hipervnculo"/>
          </w:rPr>
          <w:t xml:space="preserve">https://doi.org/10.1016/S1161-0301(00)00081-2</w:t>
        </w:r>
      </w:hyperlink>
    </w:p>
    <w:bookmarkEnd w:id="52"/>
    <w:bookmarkStart w:id="54"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3">
        <w:r>
          <w:rPr>
            <w:rStyle w:val="Hipervnculo"/>
          </w:rPr>
          <w:t xml:space="preserve">https://CRAN.R-project.org/package=agricolae</w:t>
        </w:r>
      </w:hyperlink>
    </w:p>
    <w:bookmarkEnd w:id="54"/>
    <w:bookmarkStart w:id="56"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5">
        <w:r>
          <w:rPr>
            <w:rStyle w:val="Hipervnculo"/>
          </w:rPr>
          <w:t xml:space="preserve">https://doi.org/10.1093/bioinformatics/btx657</w:t>
        </w:r>
      </w:hyperlink>
    </w:p>
    <w:bookmarkEnd w:id="56"/>
    <w:bookmarkStart w:id="58"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57">
        <w:r>
          <w:rPr>
            <w:rStyle w:val="Hipervnculo"/>
          </w:rPr>
          <w:t xml:space="preserve">https://doi.org/10.1016/j.envexpbot.2009.06.010</w:t>
        </w:r>
      </w:hyperlink>
    </w:p>
    <w:bookmarkEnd w:id="58"/>
    <w:bookmarkStart w:id="60"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59">
        <w:r>
          <w:rPr>
            <w:rStyle w:val="Hipervnculo"/>
          </w:rPr>
          <w:t xml:space="preserve">https://doi.org/10.1071/CP09064</w:t>
        </w:r>
      </w:hyperlink>
    </w:p>
    <w:bookmarkEnd w:id="60"/>
    <w:bookmarkStart w:id="62"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1">
        <w:r>
          <w:rPr>
            <w:rStyle w:val="Hipervnculo"/>
          </w:rPr>
          <w:t xml:space="preserve">https://CRAN.R-project.org/package=FactoMineR</w:t>
        </w:r>
      </w:hyperlink>
    </w:p>
    <w:bookmarkEnd w:id="62"/>
    <w:bookmarkStart w:id="64"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63">
        <w:r>
          <w:rPr>
            <w:rStyle w:val="Hipervnculo"/>
          </w:rPr>
          <w:t xml:space="preserve">https://doi.org/10.1051/agro:2002089</w:t>
        </w:r>
      </w:hyperlink>
    </w:p>
    <w:bookmarkEnd w:id="64"/>
    <w:bookmarkStart w:id="66"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65">
        <w:r>
          <w:rPr>
            <w:rStyle w:val="Hipervnculo"/>
          </w:rPr>
          <w:t xml:space="preserve">https://doi.org/10.18637/jss.v025.i01</w:t>
        </w:r>
      </w:hyperlink>
    </w:p>
    <w:bookmarkEnd w:id="66"/>
    <w:bookmarkStart w:id="68"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67">
        <w:r>
          <w:rPr>
            <w:rStyle w:val="Hipervnculo"/>
          </w:rPr>
          <w:t xml:space="preserve">https://doi.org/10.1111/1440-1703.1275</w:t>
        </w:r>
      </w:hyperlink>
    </w:p>
    <w:bookmarkEnd w:id="68"/>
    <w:bookmarkStart w:id="70"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69">
        <w:r>
          <w:rPr>
            <w:rStyle w:val="Hipervnculo"/>
          </w:rPr>
          <w:t xml:space="preserve">https://doi.org/10.1016/S0098-8472(03)00019-4</w:t>
        </w:r>
      </w:hyperlink>
    </w:p>
    <w:bookmarkEnd w:id="70"/>
    <w:bookmarkStart w:id="72"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71">
        <w:r>
          <w:rPr>
            <w:rStyle w:val="Hipervnculo"/>
          </w:rPr>
          <w:t xml:space="preserve">https://doi.org/10.1093/jxb/49.325.1381</w:t>
        </w:r>
      </w:hyperlink>
    </w:p>
    <w:bookmarkEnd w:id="72"/>
    <w:bookmarkStart w:id="74"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73">
        <w:r>
          <w:rPr>
            <w:rStyle w:val="Hipervnculo"/>
          </w:rPr>
          <w:t xml:space="preserve">https://www.R-project.org/</w:t>
        </w:r>
      </w:hyperlink>
    </w:p>
    <w:bookmarkEnd w:id="74"/>
    <w:bookmarkStart w:id="76"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75">
        <w:r>
          <w:rPr>
            <w:rStyle w:val="Hipervnculo"/>
          </w:rPr>
          <w:t xml:space="preserve">https://doi.org/10.1071/PP9860329</w:t>
        </w:r>
      </w:hyperlink>
    </w:p>
    <w:bookmarkEnd w:id="76"/>
    <w:bookmarkStart w:id="78"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77">
        <w:r>
          <w:rPr>
            <w:rStyle w:val="Hipervnculo"/>
          </w:rPr>
          <w:t xml:space="preserve">https://doi.org/10.2307/1309424</w:t>
        </w:r>
      </w:hyperlink>
    </w:p>
    <w:bookmarkEnd w:id="78"/>
    <w:bookmarkStart w:id="80"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79">
        <w:r>
          <w:rPr>
            <w:rStyle w:val="Hipervnculo"/>
          </w:rPr>
          <w:t xml:space="preserve">https://doi.org/10.1007/s12230-012-9285-9</w:t>
        </w:r>
      </w:hyperlink>
    </w:p>
    <w:bookmarkEnd w:id="80"/>
    <w:bookmarkStart w:id="82"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81">
        <w:r>
          <w:rPr>
            <w:rStyle w:val="Hipervnculo"/>
          </w:rPr>
          <w:t xml:space="preserve">https://doi.org/10.2134/agronj2008.0079x</w:t>
        </w:r>
      </w:hyperlink>
    </w:p>
    <w:bookmarkEnd w:id="82"/>
    <w:bookmarkStart w:id="84"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83">
        <w:r>
          <w:rPr>
            <w:rStyle w:val="Hipervnculo"/>
          </w:rPr>
          <w:t xml:space="preserve">https://doi.org/10.1017/S0021859600072713</w:t>
        </w:r>
      </w:hyperlink>
    </w:p>
    <w:bookmarkEnd w:id="84"/>
    <w:bookmarkStart w:id="86"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85">
        <w:r>
          <w:rPr>
            <w:rStyle w:val="Hipervnculo"/>
          </w:rPr>
          <w:t xml:space="preserve">https://doi.org/10.3389/fphys.2012.00347</w:t>
        </w:r>
      </w:hyperlink>
    </w:p>
    <w:bookmarkEnd w:id="86"/>
    <w:bookmarkStart w:id="88"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87">
        <w:r>
          <w:rPr>
            <w:rStyle w:val="Hipervnculo"/>
          </w:rPr>
          <w:t xml:space="preserve">https://doi.org/10.1093/jxb/ern073</w:t>
        </w:r>
      </w:hyperlink>
    </w:p>
    <w:bookmarkEnd w:id="88"/>
    <w:bookmarkStart w:id="90" w:name="ref-zarate-salazar2018Comparacao"/>
    <w:p>
      <w:pPr>
        <w:pStyle w:val="Bibliografa"/>
      </w:pPr>
      <w:r>
        <w:t xml:space="preserve">Zárate-Salazar, J. R., Santos, M. N., Santos, J. N. B., &amp; Lozano-Isla, F. (2018). Comparação de softwares de análise de imagem para a determinação da área foliar.</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89">
        <w:r>
          <w:rPr>
            <w:rStyle w:val="Hipervnculo"/>
          </w:rPr>
          <w:t xml:space="preserve">https://revistabrasileirademeioambiente.com/index.php/RVBMA/article/view/44</w:t>
        </w:r>
      </w:hyperlink>
    </w:p>
    <w:bookmarkEnd w:id="90"/>
    <w:bookmarkEnd w:id="91"/>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List of variables measured in 15 potato genotypes under well-watered (WW) and water deficit (WD) treatment. Where: Tuber dry weight (TDW), tuber number (NTUB), root dry weight (RWD), leaf area (LFA), harvest index (HI), tuber water use efficency (TWUE).</w:t>
      </w:r>
    </w:p>
    <w:tbl>
      <w:tblPr>
        <w:tblStyle w:val="Table"/>
        <w:tblW w:type="pct" w:w="0.0"/>
        <w:tblLook w:firstRow="1"/>
        <w:tblCaption w:val="Table 2: List of variables measured in 15 potato genotypes under well-watered (WW) and water deficit (WD) treatment. Where: Tuber dry weight (TDW), tuber number (NTUB), root dry weight (RWD), leaf area (LFA), harvest index (HI), tuber water use efficency (TWUE)."/>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twue</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92"/>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r>
        <w:br w:type="page"/>
      </w:r>
    </w:p>
    <w:p>
      <w:pPr>
        <w:pStyle w:val="CaptionedFigure"/>
      </w:pPr>
      <w:r>
        <w:drawing>
          <wp:inline>
            <wp:extent cx="5504749" cy="3403769"/>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93"/>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2: Principal component analysis</w:t>
      </w:r>
    </w:p>
    <w:p>
      <w:r>
        <w:br w:type="page"/>
      </w:r>
    </w:p>
    <w:p>
      <w:pPr>
        <w:pStyle w:val="CaptionedFigure"/>
      </w:pPr>
      <w:r>
        <w:drawing>
          <wp:inline>
            <wp:extent cx="5969000" cy="4263571"/>
            <wp:effectExtent b="0" l="0" r="0" t="0"/>
            <wp:docPr descr="Figure 3: Correlation analysis" title="" id="1" name="Picture"/>
            <a:graphic>
              <a:graphicData uri="http://schemas.openxmlformats.org/drawingml/2006/picture">
                <pic:pic>
                  <pic:nvPicPr>
                    <pic:cNvPr descr="files/fig_cor.png" id="0" name="Picture"/>
                    <pic:cNvPicPr>
                      <a:picLocks noChangeArrowheads="1" noChangeAspect="1"/>
                    </pic:cNvPicPr>
                  </pic:nvPicPr>
                  <pic:blipFill>
                    <a:blip r:embed="rId94"/>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3: Correlation analysis</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94" Target="media/rId94.png" /><Relationship Type="http://schemas.openxmlformats.org/officeDocument/2006/relationships/image" Id="rId93" Target="media/rId93.png" /><Relationship Type="http://schemas.openxmlformats.org/officeDocument/2006/relationships/image" Id="rId92" Target="media/rId92.png" /><Relationship Type="http://schemas.openxmlformats.org/officeDocument/2006/relationships/hyperlink" Id="rId61" Target="https://CRAN.R-project.org/package=FactoMineR" TargetMode="External" /><Relationship Type="http://schemas.openxmlformats.org/officeDocument/2006/relationships/hyperlink" Id="rId53"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38" Target="https://doi.org/10.1007/s00299-007-0406-8" TargetMode="External" /><Relationship Type="http://schemas.openxmlformats.org/officeDocument/2006/relationships/hyperlink" Id="rId79" Target="https://doi.org/10.1007/s12230-012-9285-9" TargetMode="External" /><Relationship Type="http://schemas.openxmlformats.org/officeDocument/2006/relationships/hyperlink" Id="rId69" Target="https://doi.org/10.1016/S0098-8472(03)00019-4" TargetMode="External" /><Relationship Type="http://schemas.openxmlformats.org/officeDocument/2006/relationships/hyperlink" Id="rId51" Target="https://doi.org/10.1016/S1161-0301(00)00081-2" TargetMode="External" /><Relationship Type="http://schemas.openxmlformats.org/officeDocument/2006/relationships/hyperlink" Id="rId49" Target="https://doi.org/10.1016/S1161-0301(99)00019-2" TargetMode="External" /><Relationship Type="http://schemas.openxmlformats.org/officeDocument/2006/relationships/hyperlink" Id="rId57" Target="https://doi.org/10.1016/j.envexpbot.2009.06.010" TargetMode="External" /><Relationship Type="http://schemas.openxmlformats.org/officeDocument/2006/relationships/hyperlink" Id="rId44" Target="https://doi.org/10.1016/j.fcr.2014.03.021" TargetMode="External" /><Relationship Type="http://schemas.openxmlformats.org/officeDocument/2006/relationships/hyperlink" Id="rId83" Target="https://doi.org/10.1017/S0021859600072713" TargetMode="External" /><Relationship Type="http://schemas.openxmlformats.org/officeDocument/2006/relationships/hyperlink" Id="rId63" Target="https://doi.org/10.1051/agro:2002089" TargetMode="External" /><Relationship Type="http://schemas.openxmlformats.org/officeDocument/2006/relationships/hyperlink" Id="rId40" Target="https://doi.org/10.1071/AR05069" TargetMode="External" /><Relationship Type="http://schemas.openxmlformats.org/officeDocument/2006/relationships/hyperlink" Id="rId59" Target="https://doi.org/10.1071/CP09064" TargetMode="External" /><Relationship Type="http://schemas.openxmlformats.org/officeDocument/2006/relationships/hyperlink" Id="rId42" Target="https://doi.org/10.1071/FP11101" TargetMode="External" /><Relationship Type="http://schemas.openxmlformats.org/officeDocument/2006/relationships/hyperlink" Id="rId75" Target="https://doi.org/10.1071/PP9860329" TargetMode="External" /><Relationship Type="http://schemas.openxmlformats.org/officeDocument/2006/relationships/hyperlink" Id="rId55" Target="https://doi.org/10.1093/bioinformatics/btx657" TargetMode="External" /><Relationship Type="http://schemas.openxmlformats.org/officeDocument/2006/relationships/hyperlink" Id="rId71" Target="https://doi.org/10.1093/jxb/49.325.1381" TargetMode="External" /><Relationship Type="http://schemas.openxmlformats.org/officeDocument/2006/relationships/hyperlink" Id="rId87" Target="https://doi.org/10.1093/jxb/ern073" TargetMode="External" /><Relationship Type="http://schemas.openxmlformats.org/officeDocument/2006/relationships/hyperlink" Id="rId67" Target="https://doi.org/10.1111/1440-1703.1275" TargetMode="External" /><Relationship Type="http://schemas.openxmlformats.org/officeDocument/2006/relationships/hyperlink" Id="rId65" Target="https://doi.org/10.18637/jss.v025.i01" TargetMode="External" /><Relationship Type="http://schemas.openxmlformats.org/officeDocument/2006/relationships/hyperlink" Id="rId81" Target="https://doi.org/10.2134/agronj2008.0079x" TargetMode="External" /><Relationship Type="http://schemas.openxmlformats.org/officeDocument/2006/relationships/hyperlink" Id="rId77" Target="https://doi.org/10.2307/1309424" TargetMode="External" /><Relationship Type="http://schemas.openxmlformats.org/officeDocument/2006/relationships/hyperlink" Id="rId85" Target="https://doi.org/10.3389/fphys.2012.00347" TargetMode="External" /><Relationship Type="http://schemas.openxmlformats.org/officeDocument/2006/relationships/hyperlink" Id="rId89" Target="https://revistabrasileirademeioambiente.com/index.php/RVBMA/article/view/44" TargetMode="External" /><Relationship Type="http://schemas.openxmlformats.org/officeDocument/2006/relationships/hyperlink" Id="rId73"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1" Target="https://CRAN.R-project.org/package=FactoMineR" TargetMode="External" /><Relationship Type="http://schemas.openxmlformats.org/officeDocument/2006/relationships/hyperlink" Id="rId53"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38" Target="https://doi.org/10.1007/s00299-007-0406-8" TargetMode="External" /><Relationship Type="http://schemas.openxmlformats.org/officeDocument/2006/relationships/hyperlink" Id="rId79" Target="https://doi.org/10.1007/s12230-012-9285-9" TargetMode="External" /><Relationship Type="http://schemas.openxmlformats.org/officeDocument/2006/relationships/hyperlink" Id="rId69" Target="https://doi.org/10.1016/S0098-8472(03)00019-4" TargetMode="External" /><Relationship Type="http://schemas.openxmlformats.org/officeDocument/2006/relationships/hyperlink" Id="rId51" Target="https://doi.org/10.1016/S1161-0301(00)00081-2" TargetMode="External" /><Relationship Type="http://schemas.openxmlformats.org/officeDocument/2006/relationships/hyperlink" Id="rId49" Target="https://doi.org/10.1016/S1161-0301(99)00019-2" TargetMode="External" /><Relationship Type="http://schemas.openxmlformats.org/officeDocument/2006/relationships/hyperlink" Id="rId57" Target="https://doi.org/10.1016/j.envexpbot.2009.06.010" TargetMode="External" /><Relationship Type="http://schemas.openxmlformats.org/officeDocument/2006/relationships/hyperlink" Id="rId44" Target="https://doi.org/10.1016/j.fcr.2014.03.021" TargetMode="External" /><Relationship Type="http://schemas.openxmlformats.org/officeDocument/2006/relationships/hyperlink" Id="rId83" Target="https://doi.org/10.1017/S0021859600072713" TargetMode="External" /><Relationship Type="http://schemas.openxmlformats.org/officeDocument/2006/relationships/hyperlink" Id="rId63" Target="https://doi.org/10.1051/agro:2002089" TargetMode="External" /><Relationship Type="http://schemas.openxmlformats.org/officeDocument/2006/relationships/hyperlink" Id="rId40" Target="https://doi.org/10.1071/AR05069" TargetMode="External" /><Relationship Type="http://schemas.openxmlformats.org/officeDocument/2006/relationships/hyperlink" Id="rId59" Target="https://doi.org/10.1071/CP09064" TargetMode="External" /><Relationship Type="http://schemas.openxmlformats.org/officeDocument/2006/relationships/hyperlink" Id="rId42" Target="https://doi.org/10.1071/FP11101" TargetMode="External" /><Relationship Type="http://schemas.openxmlformats.org/officeDocument/2006/relationships/hyperlink" Id="rId75" Target="https://doi.org/10.1071/PP9860329" TargetMode="External" /><Relationship Type="http://schemas.openxmlformats.org/officeDocument/2006/relationships/hyperlink" Id="rId55" Target="https://doi.org/10.1093/bioinformatics/btx657" TargetMode="External" /><Relationship Type="http://schemas.openxmlformats.org/officeDocument/2006/relationships/hyperlink" Id="rId71" Target="https://doi.org/10.1093/jxb/49.325.1381" TargetMode="External" /><Relationship Type="http://schemas.openxmlformats.org/officeDocument/2006/relationships/hyperlink" Id="rId87" Target="https://doi.org/10.1093/jxb/ern073" TargetMode="External" /><Relationship Type="http://schemas.openxmlformats.org/officeDocument/2006/relationships/hyperlink" Id="rId67" Target="https://doi.org/10.1111/1440-1703.1275" TargetMode="External" /><Relationship Type="http://schemas.openxmlformats.org/officeDocument/2006/relationships/hyperlink" Id="rId65" Target="https://doi.org/10.18637/jss.v025.i01" TargetMode="External" /><Relationship Type="http://schemas.openxmlformats.org/officeDocument/2006/relationships/hyperlink" Id="rId81" Target="https://doi.org/10.2134/agronj2008.0079x" TargetMode="External" /><Relationship Type="http://schemas.openxmlformats.org/officeDocument/2006/relationships/hyperlink" Id="rId77" Target="https://doi.org/10.2307/1309424" TargetMode="External" /><Relationship Type="http://schemas.openxmlformats.org/officeDocument/2006/relationships/hyperlink" Id="rId85" Target="https://doi.org/10.3389/fphys.2012.00347" TargetMode="External" /><Relationship Type="http://schemas.openxmlformats.org/officeDocument/2006/relationships/hyperlink" Id="rId89" Target="https://revistabrasileirademeioambiente.com/index.php/RVBMA/article/view/44" TargetMode="External" /><Relationship Type="http://schemas.openxmlformats.org/officeDocument/2006/relationships/hyperlink" Id="rId73"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2020-03-08T21:53:20Z</dcterms:created>
  <dcterms:modified xsi:type="dcterms:W3CDTF">2020-03-08T21:53:20Z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