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71.png" ContentType="image/png"/>
  <Override PartName="/word/media/rId70.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and</w:t>
      </w:r>
      <w:r>
        <w:t xml:space="preserve"> </w:t>
      </w:r>
      <w:r>
        <w:t xml:space="preserve">transpiration</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w:r>
        <w:t xml:space="preserve"> </w:t>
      </w:r>
      <m:oMath>
        <m:sSup>
          <m:e>
            <m:r>
              <m:t>​</m:t>
            </m:r>
          </m:e>
          <m:sup>
            <m:r>
              <m:t>1</m:t>
            </m:r>
            <m:r>
              <m:t>*</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w:r>
        <w:t xml:space="preserve"> </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 </w:t>
      </w:r>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abstract"/>
      <w:r>
        <w:t xml:space="preserve">Abstract</w:t>
      </w:r>
      <w:bookmarkEnd w:id="21"/>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the plants tolerate water deficit without the resultant yield lost, understand the mechanisms of tolerance, and provide useful information for the selection of tolerance in breeding programs. In order to explore the different responses of potato under drought, we have evaluated fifteen genotypes under well watered (WD) and water deficit (WD) conditions for a range of agro-morphological and physiological traits.</w:t>
      </w:r>
    </w:p>
    <w:p>
      <w:pPr>
        <w:pStyle w:val="BodyText"/>
      </w:pPr>
      <w:r>
        <w:t xml:space="preserve">Critically, 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WUE.</w:t>
      </w:r>
    </w:p>
    <w:p>
      <w:pPr>
        <w:pStyle w:val="BodyText"/>
      </w:pPr>
      <w:r>
        <w:rPr>
          <w:b/>
        </w:rPr>
        <w:t xml:space="preserve">Key words:</w:t>
      </w:r>
      <w:r>
        <w:t xml:space="preserve"> </w:t>
      </w:r>
      <w:r>
        <w:t xml:space="preserve">abiotic stress, harvest index, lisimeter, drought tolerance</w:t>
      </w:r>
    </w:p>
    <w:p>
      <w:pPr>
        <w:pStyle w:val="Ttulo1"/>
      </w:pPr>
      <w:bookmarkStart w:id="22" w:name="introduction"/>
      <w:r>
        <w:t xml:space="preserve">Introduction</w:t>
      </w:r>
      <w:bookmarkEnd w:id="22"/>
    </w:p>
    <w:p>
      <w:pPr>
        <w:pStyle w:val="FirstParagraph"/>
      </w:pPr>
      <w:r>
        <w:t xml:space="preserve">Plant biomass accumulation, and consequently yield, was shown to be inextricably linked to transpiration. The ratio of plant productivity to water loss, water-use efficiency, was very conservative</w:t>
      </w:r>
      <w:r>
        <w:t xml:space="preserve"> </w:t>
      </w:r>
      <w:r>
        <w:t xml:space="preserve">(Sinclair et al.,</w:t>
      </w:r>
      <w:r>
        <w:t xml:space="preserve"> </w:t>
      </w:r>
      <w:hyperlink w:anchor="ref-sinclair1984WaterUse">
        <w:r>
          <w:rPr>
            <w:rStyle w:val="Hipervnculo"/>
          </w:rPr>
          <w:t xml:space="preserve">1984</w:t>
        </w:r>
      </w:hyperlink>
      <w:r>
        <w:t xml:space="preserve">)</w:t>
      </w:r>
      <w:r>
        <w:t xml:space="preserve">.</w:t>
      </w:r>
    </w:p>
    <w:p>
      <w:pPr>
        <w:pStyle w:val="BodyText"/>
      </w:pPr>
      <w:r>
        <w:t xml:space="preserve">This ratio is called harvest index (H) and has been found to be relatively stable for a particular cultivar over a fairly wide range of conditions (Donald and Hamblin 1976).</w:t>
      </w:r>
    </w:p>
    <w:p>
      <w:pPr>
        <w:pStyle w:val="BodyText"/>
      </w:pPr>
      <w:r>
        <w:t xml:space="preserve">Evans (1980) suggested that one of the main variables for yield increases seen to date has been increases in harvest index.</w:t>
      </w:r>
    </w:p>
    <w:p>
      <w:pPr>
        <w:pStyle w:val="BodyText"/>
      </w:pPr>
      <w:r>
        <w:t xml:space="preserve">Evans (1980) further suggested that additional large increases in harvest indices are unlikely. Therefore, further increases in water-use efficiency based on marketable yield are not likely from increasesin the harvest index.</w:t>
      </w:r>
    </w:p>
    <w:p>
      <w:pPr>
        <w:pStyle w:val="BodyText"/>
      </w:pPr>
      <w:r>
        <w:t xml:space="preserve">Passioura (1977) and Fischer (1979) have argued that obtaining high harvest indexes underwater-limitedconditions is especially importantin obtaining high water-use efficiencies.</w:t>
      </w:r>
    </w:p>
    <w:p>
      <w:pPr>
        <w:pStyle w:val="BodyText"/>
      </w:pPr>
      <w:r>
        <w:t xml:space="preserve">Passioura (1977) proposed that cereals for water-limited environments be developed with roots with restricted water uptake rates. Again, such an alteration would, in principle, conserve water during vegetative growth leaving more soil waterfor extraction during grain development. The key aspect of both strategies is that sustained reproductive growth is essential for a high harvest index.</w:t>
      </w:r>
    </w:p>
    <w:p>
      <w:pPr>
        <w:pStyle w:val="BodyText"/>
      </w:pPr>
      <w:r>
        <w:t xml:space="preserve">However, a deeper and more extensive rooting system may have drawbacks. A greater root biomass would almost surely result in lowered harvest index (in potato can be advantage?)</w:t>
      </w:r>
    </w:p>
    <w:p>
      <w:pPr>
        <w:pStyle w:val="BodyText"/>
      </w:pPr>
      <w:r>
        <w:t xml:space="preserve">Improved harvest index. As illustrated in equations(7) and(9) improvements in harvest index result directly in increased water-use efficiency. The difficulty is that for many crops it appears that further substantial improvements in harvest index are unlikely.</w:t>
      </w:r>
    </w:p>
    <w:p>
      <w:pPr>
        <w:pStyle w:val="Ttulo1"/>
      </w:pPr>
      <w:bookmarkStart w:id="23" w:name="materials-and-methods"/>
      <w:r>
        <w:t xml:space="preserve">Materials and Methods</w:t>
      </w:r>
      <w:bookmarkEnd w:id="23"/>
    </w:p>
    <w:p>
      <w:pPr>
        <w:pStyle w:val="Ttulo2"/>
      </w:pPr>
      <w:bookmarkStart w:id="24" w:name="plant-material-and-experimental-design"/>
      <w:r>
        <w:t xml:space="preserve">Plant material and experimental design</w:t>
      </w:r>
      <w:bookmarkEnd w:id="24"/>
    </w:p>
    <w:p>
      <w:pPr>
        <w:pStyle w:val="FirstParagraph"/>
      </w:pPr>
      <w:r>
        <w:t xml:space="preserve">Thirteen potato clones were selected from advanced breeding population collection at International Potato Center (CIP) and two commercial varieties were grown in an environmentally controlled greenhouse at CIP (La Molina Experimental Station) at 28/15°C day/night with 70±5% average relative humidity. The experiment was carried out in complete randomize block design where the first factor was the two irrigation treatments: well-watered (WW), treatment where the moisture was maintained at field capacity and water deficit (WD) and the second factor were compound by the fifteen potato genotypes, Table (</w:t>
      </w:r>
      <w:r>
        <w:t xml:space="preserve">2</w:t>
      </w:r>
      <w:r>
        <w:t xml:space="preserve">).</w:t>
      </w:r>
    </w:p>
    <w:p>
      <w:pPr>
        <w:pStyle w:val="Ttulo2"/>
      </w:pPr>
      <w:bookmarkStart w:id="25" w:name="Xb2a003cd5eb9a7ca8b409056d453fb1474f0977"/>
      <w:r>
        <w:t xml:space="preserve">Relationship between transpiration rate and soil water supply</w:t>
      </w:r>
      <w:bookmarkEnd w:id="25"/>
    </w:p>
    <w:p>
      <w:pPr>
        <w:pStyle w:val="FirstParagraph"/>
      </w:pPr>
      <w:r>
        <w:t xml:space="preserve">Single plants were grown in a greenhouse in 5 liters plastic pots and It was sown containing 5 kg of dry commercial Sogemix SM2 (75% Peat Moss, perlite, vermiculite, and limestone). Fertilization was done twice with ammonium nitrate; triple superphosphate and potassium sulphate, one before planting mixed with the substrate and the other applied at the surface at 40 days after planting (DAP).</w:t>
      </w:r>
    </w:p>
    <w:p>
      <w:pPr>
        <w:pStyle w:val="BodyText"/>
      </w:pPr>
      <w:r>
        <w:t xml:space="preserve">The pots from both well water (WW) and water deficit (WD) treatments were watered to soaking and then allowed to drain overnight. Next day, soil evaporation was minimised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(trs)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6" w:name="trait-evaluation"/>
      <w:r>
        <w:t xml:space="preserve">Trait evaluation</w:t>
      </w:r>
      <w:bookmarkEnd w:id="26"/>
    </w:p>
    <w:p>
      <w:pPr>
        <w:pStyle w:val="Ttulo3"/>
      </w:pPr>
      <w:bookmarkStart w:id="27" w:name="water-use-efficiency"/>
      <w:r>
        <w:t xml:space="preserve">Water use efficiency</w:t>
      </w:r>
      <w:bookmarkEnd w:id="27"/>
    </w:p>
    <w:p>
      <w:pPr>
        <w:pStyle w:val="FirstParagraph"/>
      </w:pPr>
      <w:r>
        <w:t xml:space="preserve">Water use efficiency (WUE) is defined as a ratio of biomass accumulation, total crop biomass or crop grain yield, to water consumed, expressed as transpiration, evapotranspiration,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 water use efficency (wue) and tuber water use efficency (TWUE).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TWUE was used the dry weight from tuber production divide the cumulative water transpired during the treatment.</w:t>
      </w:r>
    </w:p>
    <w:p>
      <w:pPr>
        <w:pStyle w:val="Ttulo3"/>
      </w:pPr>
      <w:bookmarkStart w:id="28" w:name="water-components"/>
      <w:r>
        <w:t xml:space="preserve">Water components</w:t>
      </w:r>
      <w:bookmarkEnd w:id="28"/>
    </w:p>
    <w:p>
      <w:pPr>
        <w:pStyle w:val="FirstParagraph"/>
      </w:pPr>
      <w:r>
        <w:t xml:space="preserve">The relative water conten (RWC) 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 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t xml:space="preserve">Leaf osmotic potential (LOP) 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(Hessini et al.,</w:t>
      </w:r>
      <w:r>
        <w:t xml:space="preserve"> </w:t>
      </w:r>
      <w:hyperlink w:anchor="ref-hessini2009Effect">
        <w:r>
          <w:rPr>
            <w:rStyle w:val="Hipervnculo"/>
          </w:rPr>
          <w:t xml:space="preserve">2009</w:t>
        </w:r>
      </w:hyperlink>
      <w:r>
        <w:t xml:space="preserve">)</w:t>
      </w:r>
      <w:r>
        <w:t xml:space="preserve">.</w:t>
      </w:r>
    </w:p>
    <w:p>
      <w:pPr>
        <w:pStyle w:val="Ttulo2"/>
      </w:pPr>
      <w:bookmarkStart w:id="29" w:name="chlorophyll-content-spad"/>
      <w:r>
        <w:t xml:space="preserve">Chlorophyll content (SPAD)</w:t>
      </w:r>
      <w:bookmarkEnd w:id="29"/>
    </w:p>
    <w:p>
      <w:pPr>
        <w:pStyle w:val="FirstParagraph"/>
      </w:pP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evaluations were done on light adapted leaves at 29, 59, 76, and 83 DAP.</w:t>
      </w:r>
    </w:p>
    <w:p>
      <w:pPr>
        <w:pStyle w:val="Ttulo2"/>
      </w:pPr>
      <w:bookmarkStart w:id="30" w:name="post-harvest-traits-and-indices"/>
      <w:r>
        <w:t xml:space="preserve">Post-harvest traits and indices</w:t>
      </w:r>
      <w:bookmarkEnd w:id="30"/>
    </w:p>
    <w:p>
      <w:pPr>
        <w:pStyle w:val="FirstParagraph"/>
      </w:pPr>
      <w:r>
        <w:t xml:space="preserve">The harvest was at 90 DAP. The plants were separated in four components: leaves, stems, roots and tubers. The dry weight (g) components were determined by drying them at 80°C for 3 days in a forced air oven: leaf (LDW), stem (SDW), root (RWD),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 (EMBRAPA Instrumentação Agropecuária, 2003).</w:t>
      </w:r>
    </w:p>
    <w:p>
      <w:pPr>
        <w:pStyle w:val="BodyText"/>
      </w:pPr>
      <w:r>
        <w:t xml:space="preserve">The tolerance to decrease of water supply (TDWS) or the percentage of yield reduction was the index used to evaluated the drougth tolerance and it is used to characterize the response of each genotype to WD</w:t>
      </w:r>
      <w:r>
        <w:t xml:space="preserve"> </w:t>
      </w:r>
      <w:r>
        <w:t xml:space="preserve">(Deblonde et al.,</w:t>
      </w:r>
      <w:r>
        <w:t xml:space="preserve"> </w:t>
      </w:r>
      <w:hyperlink w:anchor="ref-deblonde1999Responses">
        <w:r>
          <w:rPr>
            <w:rStyle w:val="Hipervnculo"/>
          </w:rPr>
          <w:t xml:space="preserve">1999</w:t>
        </w:r>
      </w:hyperlink>
      <w:r>
        <w:t xml:space="preserve">; Lahlou et al.,</w:t>
      </w:r>
      <w:r>
        <w:t xml:space="preserve"> </w:t>
      </w:r>
      <w:hyperlink w:anchor="ref-lahlou2003effect">
        <w:r>
          <w:rPr>
            <w:rStyle w:val="Hipervnculo"/>
          </w:rPr>
          <w:t xml:space="preserve">2003</w:t>
        </w:r>
      </w:hyperlink>
      <w:r>
        <w:t xml:space="preserve">)</w:t>
      </w:r>
      <w:r>
        <w:t xml:space="preserve">. To calculate TDWS the TDW in WD treatment for every genotype was expressed relative to its TDW in the WW treatment. The harvest index (HI) was calculated as the ratio of TDW related to the total dry biomass (TDB) and specific leaf area (SLA) was calculated by dividing the LFA with LDW.</w:t>
      </w:r>
    </w:p>
    <w:p>
      <w:pPr>
        <w:pStyle w:val="Ttulo2"/>
      </w:pPr>
      <w:bookmarkStart w:id="31" w:name="statistical-analysis"/>
      <w:r>
        <w:t xml:space="preserve">Statistical analysis</w:t>
      </w:r>
      <w:bookmarkEnd w:id="31"/>
    </w:p>
    <w:p>
      <w:pPr>
        <w:pStyle w:val="FirstParagraph"/>
      </w:pPr>
      <w:r>
        <w:t xml:space="preserve">The experiment was carried out in a complete randomize block design with two factros; the irrigation with well water (WW) and water deficit (WD) treatments and fifteen potato genotypes. Each treatment consisted of five replicates with one potato plant for each experimental unit. Statistical analysis and graphs were performed in the statistical software R</w:t>
      </w:r>
      <w:r>
        <w:t xml:space="preserve"> </w:t>
      </w:r>
      <w:r>
        <w:t xml:space="preserve">(Lozano Isla et al.,</w:t>
      </w:r>
      <w:r>
        <w:t xml:space="preserve"> </w:t>
      </w:r>
      <w:hyperlink w:anchor="ref-R-GerminaR">
        <w:r>
          <w:rPr>
            <w:rStyle w:val="Hipervnculo"/>
          </w:rPr>
          <w:t xml:space="preserve">2020</w:t>
        </w:r>
      </w:hyperlink>
      <w:r>
        <w:t xml:space="preserve">; R Core Team,</w:t>
      </w:r>
      <w:r>
        <w:t xml:space="preserve"> </w:t>
      </w:r>
      <w:hyperlink w:anchor="ref-R-base">
        <w:r>
          <w:rPr>
            <w:rStyle w:val="Hipervnculo"/>
          </w:rPr>
          <w:t xml:space="preserve">2019</w:t>
        </w:r>
      </w:hyperlink>
      <w:r>
        <w:t xml:space="preserve">)</w:t>
      </w:r>
      <w:r>
        <w:t xml:space="preserve">. The analysis of variance (ANOVA) was performed to evaluate the differences between the factors and the comparison of the means with the Student-Newman-Keuls test (p&lt;0.05) from agricoale package</w:t>
      </w:r>
      <w:r>
        <w:t xml:space="preserve"> </w:t>
      </w:r>
      <w:r>
        <w:t xml:space="preserve">(de Mendiburu,</w:t>
      </w:r>
      <w:r>
        <w:t xml:space="preserve"> </w:t>
      </w:r>
      <w:hyperlink w:anchor="ref-R-agricolae">
        <w:r>
          <w:rPr>
            <w:rStyle w:val="Hipervnculo"/>
          </w:rPr>
          <w:t xml:space="preserve">2020</w:t>
        </w:r>
      </w:hyperlink>
      <w:r>
        <w:t xml:space="preserve">)</w:t>
      </w:r>
      <w:r>
        <w:t xml:space="preserve">. For the multivariate analysis correlation analysis was performed</w:t>
      </w:r>
      <w:r>
        <w:t xml:space="preserve"> </w:t>
      </w:r>
      <w:r>
        <w:t xml:space="preserve">(</w:t>
      </w:r>
      <w:r>
        <w:rPr>
          <w:b/>
        </w:rPr>
        <w:t xml:space="preserve">???</w:t>
      </w:r>
      <w:r>
        <w:t xml:space="preserve">; de Mendiburu,</w:t>
      </w:r>
      <w:r>
        <w:t xml:space="preserve"> </w:t>
      </w:r>
      <w:hyperlink w:anchor="ref-R-agricolae">
        <w:r>
          <w:rPr>
            <w:rStyle w:val="Hipervnculo"/>
          </w:rPr>
          <w:t xml:space="preserve">2020</w:t>
        </w:r>
      </w:hyperlink>
      <w:r>
        <w:t xml:space="preserve">)</w:t>
      </w:r>
      <w:r>
        <w:t xml:space="preserve"> </w:t>
      </w:r>
      <w:r>
        <w:t xml:space="preserve">and principal components analysis were made with FactoMineR package</w:t>
      </w:r>
      <w:r>
        <w:t xml:space="preserve"> </w:t>
      </w:r>
      <w:r>
        <w:t xml:space="preserve">(Husson et al.,</w:t>
      </w:r>
      <w:r>
        <w:t xml:space="preserve"> </w:t>
      </w:r>
      <w:hyperlink w:anchor="ref-R-FactoMineR">
        <w:r>
          <w:rPr>
            <w:rStyle w:val="Hipervnculo"/>
          </w:rPr>
          <w:t xml:space="preserve">2020</w:t>
        </w:r>
      </w:hyperlink>
      <w:r>
        <w:t xml:space="preserve">)</w:t>
      </w:r>
      <w:r>
        <w:t xml:space="preserve">.</w:t>
      </w:r>
    </w:p>
    <w:p>
      <w:pPr>
        <w:pStyle w:val="Ttulo1"/>
      </w:pPr>
      <w:bookmarkStart w:id="32" w:name="result"/>
      <w:r>
        <w:t xml:space="preserve">Result</w:t>
      </w:r>
      <w:bookmarkEnd w:id="32"/>
    </w:p>
    <w:p>
      <w:pPr>
        <w:pStyle w:val="Ttulo2"/>
      </w:pPr>
      <w:bookmarkStart w:id="33" w:name="treatment-application"/>
      <w:r>
        <w:t xml:space="preserve">Treatment application</w:t>
      </w:r>
      <w:bookmarkEnd w:id="33"/>
    </w:p>
    <w:p>
      <w:pPr>
        <w:pStyle w:val="Ttulo2"/>
      </w:pPr>
      <w:bookmarkStart w:id="34" w:name="traits-evaluation"/>
      <w:r>
        <w:t xml:space="preserve">Traits evaluation</w:t>
      </w:r>
      <w:bookmarkEnd w:id="34"/>
    </w:p>
    <w:p>
      <w:pPr>
        <w:pStyle w:val="Ttulo2"/>
      </w:pPr>
      <w:bookmarkStart w:id="35" w:name="multivariate-analysis"/>
      <w:r>
        <w:t xml:space="preserve">Multivariate analysis</w:t>
      </w:r>
      <w:bookmarkEnd w:id="35"/>
    </w:p>
    <w:p>
      <w:pPr>
        <w:pStyle w:val="Ttulo2"/>
      </w:pPr>
      <w:bookmarkStart w:id="36" w:name="multiselection-index"/>
      <w:r>
        <w:t xml:space="preserve">Multiselection index</w:t>
      </w:r>
      <w:bookmarkEnd w:id="36"/>
    </w:p>
    <w:p>
      <w:pPr>
        <w:pStyle w:val="Ttulo1"/>
      </w:pPr>
      <w:bookmarkStart w:id="37" w:name="dicussion"/>
      <w:r>
        <w:t xml:space="preserve">Dicussion</w:t>
      </w:r>
      <w:bookmarkEnd w:id="37"/>
    </w:p>
    <w:p>
      <w:pPr>
        <w:pStyle w:val="Ttulo1"/>
      </w:pPr>
      <w:bookmarkStart w:id="38" w:name="conclusions"/>
      <w:r>
        <w:t xml:space="preserve">Conclusions</w:t>
      </w:r>
      <w:bookmarkEnd w:id="38"/>
    </w:p>
    <w:p>
      <w:pPr>
        <w:pStyle w:val="Ttulo1"/>
      </w:pPr>
      <w:bookmarkStart w:id="39" w:name="acknowledgments"/>
      <w:r>
        <w:t xml:space="preserve">Acknowledgments</w:t>
      </w:r>
      <w:bookmarkEnd w:id="39"/>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.We also thank Jorge Vega and David Saravia for their help during installation and evaluation of the experiment.</w:t>
      </w:r>
    </w:p>
    <w:p>
      <w:pPr>
        <w:pStyle w:val="Ttulo1"/>
      </w:pPr>
      <w:bookmarkStart w:id="40" w:name="references"/>
      <w:r>
        <w:t xml:space="preserve">References</w:t>
      </w:r>
      <w:bookmarkEnd w:id="40"/>
    </w:p>
    <w:bookmarkStart w:id="67" w:name="refs"/>
    <w:bookmarkStart w:id="42"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41">
        <w:r>
          <w:rPr>
            <w:rStyle w:val="Hipervnculo"/>
          </w:rPr>
          <w:t xml:space="preserve">https://doi.org/10.1007/s00299-007-0406-8</w:t>
        </w:r>
      </w:hyperlink>
    </w:p>
    <w:bookmarkEnd w:id="42"/>
    <w:bookmarkStart w:id="44"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43">
        <w:r>
          <w:rPr>
            <w:rStyle w:val="Hipervnculo"/>
          </w:rPr>
          <w:t xml:space="preserve">https://doi.org/10.1007/BF02407559</w:t>
        </w:r>
      </w:hyperlink>
    </w:p>
    <w:bookmarkEnd w:id="44"/>
    <w:bookmarkStart w:id="46" w:name="ref-deblonde1999Responses"/>
    <w:p>
      <w:pPr>
        <w:pStyle w:val="Bibliografa"/>
      </w:pPr>
      <w:r>
        <w:t xml:space="preserve">Deblonde, P. M. K., Haverkort, A. J., &amp; Ledent, J. F. (1999). Responses of early and late potato cultivars to moderate drought conditions: Agronomic parameters and carbon isotope discrimination.</w:t>
      </w:r>
      <w:r>
        <w:t xml:space="preserve"> </w:t>
      </w:r>
      <w:r>
        <w:rPr>
          <w:i/>
        </w:rPr>
        <w:t xml:space="preserve">European Journal of Agronomy</w:t>
      </w:r>
      <w:r>
        <w:t xml:space="preserve">,</w:t>
      </w:r>
      <w:r>
        <w:t xml:space="preserve"> </w:t>
      </w:r>
      <w:r>
        <w:rPr>
          <w:i/>
        </w:rPr>
        <w:t xml:space="preserve">11</w:t>
      </w:r>
      <w:r>
        <w:t xml:space="preserve">(2), 91–105.</w:t>
      </w:r>
      <w:r>
        <w:t xml:space="preserve"> </w:t>
      </w:r>
      <w:hyperlink r:id="rId45">
        <w:r>
          <w:rPr>
            <w:rStyle w:val="Hipervnculo"/>
          </w:rPr>
          <w:t xml:space="preserve">https://doi.org/10.1016/S1161-0301(99)00019-2</w:t>
        </w:r>
      </w:hyperlink>
    </w:p>
    <w:bookmarkEnd w:id="46"/>
    <w:bookmarkStart w:id="48"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47">
        <w:r>
          <w:rPr>
            <w:rStyle w:val="Hipervnculo"/>
          </w:rPr>
          <w:t xml:space="preserve">https://CRAN.R-project.org/package=agricolae</w:t>
        </w:r>
      </w:hyperlink>
    </w:p>
    <w:bookmarkEnd w:id="48"/>
    <w:bookmarkStart w:id="50" w:name="ref-hessini2009Effect"/>
    <w:p>
      <w:pPr>
        <w:pStyle w:val="Bibliografa"/>
      </w:pPr>
      <w:r>
        <w:t xml:space="preserve">Hessini, K., Martínez, J. P., Gandour, M., Albouchi, A., Soltani, A., &amp; Abdelly, C. (2009). Effect of water stress on growth, osmotic adjustment, cell wall elasticity and water-use efficiency in Spartina alterniflora.</w:t>
      </w:r>
      <w:r>
        <w:t xml:space="preserve"> </w:t>
      </w:r>
      <w:r>
        <w:rPr>
          <w:i/>
        </w:rPr>
        <w:t xml:space="preserve">Environmental and Experimental Botany</w:t>
      </w:r>
      <w:r>
        <w:t xml:space="preserve">,</w:t>
      </w:r>
      <w:r>
        <w:t xml:space="preserve"> </w:t>
      </w:r>
      <w:r>
        <w:rPr>
          <w:i/>
        </w:rPr>
        <w:t xml:space="preserve">67</w:t>
      </w:r>
      <w:r>
        <w:t xml:space="preserve">(2), 312–319.</w:t>
      </w:r>
      <w:r>
        <w:t xml:space="preserve"> </w:t>
      </w:r>
      <w:hyperlink r:id="rId49">
        <w:r>
          <w:rPr>
            <w:rStyle w:val="Hipervnculo"/>
          </w:rPr>
          <w:t xml:space="preserve">https://doi.org/10.1016/j.envexpbot.2009.06.010</w:t>
        </w:r>
      </w:hyperlink>
    </w:p>
    <w:bookmarkEnd w:id="50"/>
    <w:bookmarkStart w:id="52"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51">
        <w:r>
          <w:rPr>
            <w:rStyle w:val="Hipervnculo"/>
          </w:rPr>
          <w:t xml:space="preserve">https://CRAN.R-project.org/package=FactoMineR</w:t>
        </w:r>
      </w:hyperlink>
    </w:p>
    <w:bookmarkEnd w:id="52"/>
    <w:bookmarkStart w:id="54" w:name="ref-lahlou2003effect"/>
    <w:p>
      <w:pPr>
        <w:pStyle w:val="Bibliografa"/>
      </w:pPr>
      <w:r>
        <w:t xml:space="preserve">Lahlou, O., Ouattar, S., &amp; Ledent, J.-F. (2003). The effect of drought and cultivar on growth parameters, yield and yield components of potato.</w:t>
      </w:r>
      <w:r>
        <w:t xml:space="preserve"> </w:t>
      </w:r>
      <w:r>
        <w:rPr>
          <w:i/>
        </w:rPr>
        <w:t xml:space="preserve">Agronomie</w:t>
      </w:r>
      <w:r>
        <w:t xml:space="preserve">,</w:t>
      </w:r>
      <w:r>
        <w:t xml:space="preserve"> </w:t>
      </w:r>
      <w:r>
        <w:rPr>
          <w:i/>
        </w:rPr>
        <w:t xml:space="preserve">23</w:t>
      </w:r>
      <w:r>
        <w:t xml:space="preserve">(3), 257–268.</w:t>
      </w:r>
      <w:r>
        <w:t xml:space="preserve"> </w:t>
      </w:r>
      <w:hyperlink r:id="rId53">
        <w:r>
          <w:rPr>
            <w:rStyle w:val="Hipervnculo"/>
          </w:rPr>
          <w:t xml:space="preserve">https://doi.org/10.1051/agro:2002089</w:t>
        </w:r>
      </w:hyperlink>
    </w:p>
    <w:bookmarkEnd w:id="54"/>
    <w:bookmarkStart w:id="56" w:name="ref-R-GerminaR"/>
    <w:p>
      <w:pPr>
        <w:pStyle w:val="Bibliografa"/>
      </w:pPr>
      <w:r>
        <w:t xml:space="preserve">Lozano Isla, F., Benites Alfaro, O., &amp; Pompelli, M. F. (2020).</w:t>
      </w:r>
      <w:r>
        <w:t xml:space="preserve"> </w:t>
      </w:r>
      <w:r>
        <w:rPr>
          <w:i/>
        </w:rPr>
        <w:t xml:space="preserve">GerminaR: Indices and graphics for assess seed germination process</w:t>
      </w:r>
      <w:r>
        <w:t xml:space="preserve">.</w:t>
      </w:r>
      <w:r>
        <w:t xml:space="preserve"> </w:t>
      </w:r>
      <w:hyperlink r:id="rId55">
        <w:r>
          <w:rPr>
            <w:rStyle w:val="Hipervnculo"/>
          </w:rPr>
          <w:t xml:space="preserve">https://flavjack.github.io/germinaquant/</w:t>
        </w:r>
      </w:hyperlink>
    </w:p>
    <w:bookmarkEnd w:id="56"/>
    <w:bookmarkStart w:id="58"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57">
        <w:r>
          <w:rPr>
            <w:rStyle w:val="Hipervnculo"/>
          </w:rPr>
          <w:t xml:space="preserve">https://doi.org/10.1093/jxb/49.325.1381</w:t>
        </w:r>
      </w:hyperlink>
    </w:p>
    <w:bookmarkEnd w:id="58"/>
    <w:bookmarkStart w:id="60"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59">
        <w:r>
          <w:rPr>
            <w:rStyle w:val="Hipervnculo"/>
          </w:rPr>
          <w:t xml:space="preserve">https://www.R-project.org/</w:t>
        </w:r>
      </w:hyperlink>
    </w:p>
    <w:bookmarkEnd w:id="60"/>
    <w:bookmarkStart w:id="62"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61">
        <w:r>
          <w:rPr>
            <w:rStyle w:val="Hipervnculo"/>
          </w:rPr>
          <w:t xml:space="preserve">https://doi.org/10.1071/PP9860329</w:t>
        </w:r>
      </w:hyperlink>
    </w:p>
    <w:bookmarkEnd w:id="62"/>
    <w:bookmarkStart w:id="64"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63">
        <w:r>
          <w:rPr>
            <w:rStyle w:val="Hipervnculo"/>
          </w:rPr>
          <w:t xml:space="preserve">https://doi.org/10.2307/1309424</w:t>
        </w:r>
      </w:hyperlink>
    </w:p>
    <w:bookmarkEnd w:id="64"/>
    <w:bookmarkStart w:id="66"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65">
        <w:r>
          <w:rPr>
            <w:rStyle w:val="Hipervnculo"/>
          </w:rPr>
          <w:t xml:space="preserve">https://doi.org/10.1093/jxb/ern073</w:t>
        </w:r>
      </w:hyperlink>
    </w:p>
    <w:bookmarkEnd w:id="66"/>
    <w:bookmarkEnd w:id="67"/>
    <w:p>
      <w:pPr>
        <w:pStyle w:val="Ttulo1"/>
      </w:pPr>
      <w:bookmarkStart w:id="68" w:name="tables"/>
      <w:r>
        <w:t xml:space="preserve">Tables</w:t>
      </w:r>
      <w:bookmarkEnd w:id="68"/>
    </w:p>
    <w:p>
      <w:pPr>
        <w:pStyle w:val="TableCaption"/>
      </w:pPr>
      <w:r>
        <w:t xml:space="preserve">Table 1: List of abbreviations</w:t>
      </w:r>
    </w:p>
    <w:tbl>
      <w:tblPr>
        <w:tblStyle w:val="Table"/>
        <w:tblW w:type="pct" w:w="0.0"/>
        <w:tblLook w:firstRow="1"/>
        <w:tblCaption w:val="Table 1: List of abbreviation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Abbreviation</w:t>
            </w:r>
          </w:p>
        </w:tc>
      </w:tr>
      <w:tr>
        <w:tc>
          <w:p>
            <w:pPr>
              <w:pStyle w:val="Compact"/>
              <w:jc w:val="left"/>
            </w:pPr>
            <w:r>
              <w:t xml:space="preserve">Soil Plant Analysis Development</w:t>
            </w:r>
          </w:p>
        </w:tc>
        <w:tc>
          <w:p>
            <w:pPr>
              <w:pStyle w:val="Compact"/>
              <w:jc w:val="left"/>
            </w:pPr>
            <w:r>
              <w:t xml:space="preserve">SPAD</w:t>
            </w:r>
          </w:p>
        </w:tc>
      </w:tr>
      <w:tr>
        <w:tc>
          <w:p>
            <w:pPr>
              <w:pStyle w:val="Compact"/>
              <w:jc w:val="left"/>
            </w:pPr>
            <w:r>
              <w:t xml:space="preserve">Height</w:t>
            </w:r>
          </w:p>
        </w:tc>
        <w:tc>
          <w:p>
            <w:pPr>
              <w:pStyle w:val="Compact"/>
              <w:jc w:val="left"/>
            </w:pPr>
            <w:r>
              <w:t xml:space="preserve">HGT</w:t>
            </w:r>
          </w:p>
        </w:tc>
      </w:tr>
      <w:tr>
        <w:tc>
          <w:p>
            <w:pPr>
              <w:pStyle w:val="Compact"/>
              <w:jc w:val="left"/>
            </w:pPr>
            <w:r>
              <w:t xml:space="preserve">Relative water content</w:t>
            </w:r>
          </w:p>
        </w:tc>
        <w:tc>
          <w:p>
            <w:pPr>
              <w:pStyle w:val="Compact"/>
              <w:jc w:val="left"/>
            </w:pPr>
            <w:r>
              <w:t xml:space="preserve">RWC</w:t>
            </w:r>
          </w:p>
        </w:tc>
      </w:tr>
      <w:tr>
        <w:tc>
          <w:p>
            <w:pPr>
              <w:pStyle w:val="Compact"/>
              <w:jc w:val="left"/>
            </w:pPr>
            <w:r>
              <w:t xml:space="preserve">Leaf osmotic potential</w:t>
            </w:r>
          </w:p>
        </w:tc>
        <w:tc>
          <w:p>
            <w:pPr>
              <w:pStyle w:val="Compact"/>
              <w:jc w:val="left"/>
            </w:pPr>
            <w:r>
              <w:t xml:space="preserve">LOP</w:t>
            </w:r>
          </w:p>
        </w:tc>
      </w:tr>
      <w:tr>
        <w:tc>
          <w:p>
            <w:pPr>
              <w:pStyle w:val="Compact"/>
              <w:jc w:val="left"/>
            </w:pPr>
            <w:r>
              <w:t xml:space="preserve">Leaf dry weight</w:t>
            </w:r>
          </w:p>
        </w:tc>
        <w:tc>
          <w:p>
            <w:pPr>
              <w:pStyle w:val="Compact"/>
              <w:jc w:val="left"/>
            </w:pPr>
            <w:r>
              <w:t xml:space="preserve">LDW</w:t>
            </w:r>
          </w:p>
        </w:tc>
      </w:tr>
      <w:tr>
        <w:tc>
          <w:p>
            <w:pPr>
              <w:pStyle w:val="Compact"/>
              <w:jc w:val="left"/>
            </w:pPr>
            <w:r>
              <w:t xml:space="preserve">Stem dry weight</w:t>
            </w:r>
          </w:p>
        </w:tc>
        <w:tc>
          <w:p>
            <w:pPr>
              <w:pStyle w:val="Compact"/>
              <w:jc w:val="left"/>
            </w:pPr>
            <w:r>
              <w:t xml:space="preserve">SDW</w:t>
            </w:r>
          </w:p>
        </w:tc>
      </w:tr>
      <w:tr>
        <w:tc>
          <w:p>
            <w:pPr>
              <w:pStyle w:val="Compact"/>
              <w:jc w:val="left"/>
            </w:pPr>
            <w:r>
              <w:t xml:space="preserve">Root dry weight</w:t>
            </w:r>
          </w:p>
        </w:tc>
        <w:tc>
          <w:p>
            <w:pPr>
              <w:pStyle w:val="Compact"/>
              <w:jc w:val="left"/>
            </w:pPr>
            <w:r>
              <w:t xml:space="preserve">RDW</w:t>
            </w:r>
          </w:p>
        </w:tc>
      </w:tr>
      <w:tr>
        <w:tc>
          <w:p>
            <w:pPr>
              <w:pStyle w:val="Compact"/>
              <w:jc w:val="left"/>
            </w:pPr>
            <w:r>
              <w:t xml:space="preserve">Tuber dry weight</w:t>
            </w:r>
          </w:p>
        </w:tc>
        <w:tc>
          <w:p>
            <w:pPr>
              <w:pStyle w:val="Compact"/>
              <w:jc w:val="left"/>
            </w:pPr>
            <w:r>
              <w:t xml:space="preserve">TDW</w:t>
            </w:r>
          </w:p>
        </w:tc>
      </w:tr>
      <w:tr>
        <w:tc>
          <w:p>
            <w:pPr>
              <w:pStyle w:val="Compact"/>
              <w:jc w:val="left"/>
            </w:pPr>
            <w:r>
              <w:t xml:space="preserve">Tuber number</w:t>
            </w:r>
          </w:p>
        </w:tc>
        <w:tc>
          <w:p>
            <w:pPr>
              <w:pStyle w:val="Compact"/>
              <w:jc w:val="left"/>
            </w:pPr>
            <w:r>
              <w:t xml:space="preserve">NTUB</w:t>
            </w:r>
          </w:p>
        </w:tc>
      </w:tr>
      <w:tr>
        <w:tc>
          <w:p>
            <w:pPr>
              <w:pStyle w:val="Compact"/>
              <w:jc w:val="left"/>
            </w:pPr>
            <w:r>
              <w:t xml:space="preserve">Total transpiration</w:t>
            </w:r>
          </w:p>
        </w:tc>
        <w:tc>
          <w:p>
            <w:pPr>
              <w:pStyle w:val="Compact"/>
              <w:jc w:val="left"/>
            </w:pPr>
            <w:r>
              <w:t xml:space="preserve">TRS</w:t>
            </w:r>
          </w:p>
        </w:tc>
      </w:tr>
      <w:tr>
        <w:tc>
          <w:p>
            <w:pPr>
              <w:pStyle w:val="Compact"/>
              <w:jc w:val="left"/>
            </w:pPr>
            <w:r>
              <w:t xml:space="preserve">Leaf area</w:t>
            </w:r>
          </w:p>
        </w:tc>
        <w:tc>
          <w:p>
            <w:pPr>
              <w:pStyle w:val="Compact"/>
              <w:jc w:val="left"/>
            </w:pPr>
            <w:r>
              <w:t xml:space="preserve">LFA</w:t>
            </w:r>
          </w:p>
        </w:tc>
      </w:tr>
      <w:tr>
        <w:tc>
          <w:p>
            <w:pPr>
              <w:pStyle w:val="Compact"/>
              <w:jc w:val="left"/>
            </w:pPr>
            <w:r>
              <w:t xml:space="preserve">Total dry biomass</w:t>
            </w:r>
          </w:p>
        </w:tc>
        <w:tc>
          <w:p>
            <w:pPr>
              <w:pStyle w:val="Compact"/>
              <w:jc w:val="left"/>
            </w:pPr>
            <w:r>
              <w:t xml:space="preserve">TDB</w:t>
            </w:r>
          </w:p>
        </w:tc>
      </w:tr>
      <w:tr>
        <w:tc>
          <w:p>
            <w:pPr>
              <w:pStyle w:val="Compact"/>
              <w:jc w:val="left"/>
            </w:pPr>
            <w:r>
              <w:t xml:space="preserve">Harvest index</w:t>
            </w:r>
          </w:p>
        </w:tc>
        <w:tc>
          <w:p>
            <w:pPr>
              <w:pStyle w:val="Compact"/>
              <w:jc w:val="left"/>
            </w:pPr>
            <w:r>
              <w:t xml:space="preserve">HI</w:t>
            </w:r>
          </w:p>
        </w:tc>
      </w:tr>
      <w:tr>
        <w:tc>
          <w:p>
            <w:pPr>
              <w:pStyle w:val="Compact"/>
              <w:jc w:val="left"/>
            </w:pPr>
            <w:r>
              <w:t xml:space="preserve">Specif leaf area</w:t>
            </w:r>
          </w:p>
        </w:tc>
        <w:tc>
          <w:p>
            <w:pPr>
              <w:pStyle w:val="Compact"/>
              <w:jc w:val="left"/>
            </w:pPr>
            <w:r>
              <w:t xml:space="preserve">SLA</w:t>
            </w:r>
          </w:p>
        </w:tc>
      </w:tr>
      <w:tr>
        <w:tc>
          <w:p>
            <w:pPr>
              <w:pStyle w:val="Compact"/>
              <w:jc w:val="left"/>
            </w:pPr>
            <w:r>
              <w:t xml:space="preserve">Water use efficiency</w:t>
            </w:r>
          </w:p>
        </w:tc>
        <w:tc>
          <w:p>
            <w:pPr>
              <w:pStyle w:val="Compact"/>
              <w:jc w:val="left"/>
            </w:pPr>
            <w:r>
              <w:t xml:space="preserve">WUE</w:t>
            </w:r>
          </w:p>
        </w:tc>
      </w:tr>
      <w:tr>
        <w:tc>
          <w:p>
            <w:pPr>
              <w:pStyle w:val="Compact"/>
              <w:jc w:val="left"/>
            </w:pPr>
            <w:r>
              <w:t xml:space="preserve">Tuber water use efficiency</w:t>
            </w:r>
          </w:p>
        </w:tc>
        <w:tc>
          <w:p>
            <w:pPr>
              <w:pStyle w:val="Compact"/>
              <w:jc w:val="left"/>
            </w:pPr>
            <w:r>
              <w:t xml:space="preserve">TWUE</w:t>
            </w:r>
          </w:p>
        </w:tc>
      </w:tr>
    </w:tbl>
    <w:p>
      <w:pPr>
        <w:pStyle w:val="TableCaption"/>
      </w:pPr>
      <w:r>
        <w:t xml:space="preserve">Table 2: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2: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pPr>
        <w:pStyle w:val="Ttulo1"/>
      </w:pPr>
      <w:bookmarkStart w:id="69" w:name="figures"/>
      <w:r>
        <w:t xml:space="preserve">Figures</w:t>
      </w:r>
      <w:bookmarkEnd w:id="69"/>
    </w:p>
    <w:p>
      <w:pPr>
        <w:pStyle w:val="CaptionedFigure"/>
      </w:pPr>
      <w:r>
        <w:drawing>
          <wp:inline>
            <wp:extent cx="3403769" cy="3403769"/>
            <wp:effectExtent b="0" l="0" r="0" t="0"/>
            <wp:docPr descr="Figure 1: Soil transpiration fraction and transpiration during the experiment" title="" id="1" name="Picture"/>
            <a:graphic>
              <a:graphicData uri="http://schemas.openxmlformats.org/drawingml/2006/picture">
                <pic:pic>
                  <pic:nvPicPr>
                    <pic:cNvPr descr="files/fig_trans.png" id="0" name="Picture"/>
                    <pic:cNvPicPr>
                      <a:picLocks noChangeArrowheads="1" noChangeAspect="1"/>
                    </pic:cNvPicPr>
                  </pic:nvPicPr>
                  <pic:blipFill>
                    <a:blip r:embed="rId70"/>
                    <a:stretch>
                      <a:fillRect/>
                    </a:stretch>
                  </pic:blipFill>
                  <pic:spPr bwMode="auto">
                    <a:xfrm>
                      <a:off x="0" y="0"/>
                      <a:ext cx="3403769" cy="3403769"/>
                    </a:xfrm>
                    <a:prstGeom prst="rect">
                      <a:avLst/>
                    </a:prstGeom>
                    <a:noFill/>
                    <a:ln w="9525">
                      <a:noFill/>
                      <a:headEnd/>
                      <a:tailEnd/>
                    </a:ln>
                  </pic:spPr>
                </pic:pic>
              </a:graphicData>
            </a:graphic>
          </wp:inline>
        </w:drawing>
      </w:r>
    </w:p>
    <w:p>
      <w:pPr>
        <w:pStyle w:val="ImageCaption"/>
      </w:pPr>
      <w:r>
        <w:t xml:space="preserve">Figure 1: Soil transpiration fraction and transpiration during the experiment</w:t>
      </w:r>
    </w:p>
    <w:p>
      <w:pPr>
        <w:pStyle w:val="CaptionedFigure"/>
      </w:pPr>
      <w:r>
        <w:drawing>
          <wp:inline>
            <wp:extent cx="5969000" cy="2777381"/>
            <wp:effectExtent b="0" l="0" r="0" t="0"/>
            <wp:docPr descr="Figure 2: Principal component analysis" title="" id="1" name="Picture"/>
            <a:graphic>
              <a:graphicData uri="http://schemas.openxmlformats.org/drawingml/2006/picture">
                <pic:pic>
                  <pic:nvPicPr>
                    <pic:cNvPr descr="files/fig_mv.png" id="0" name="Picture"/>
                    <pic:cNvPicPr>
                      <a:picLocks noChangeArrowheads="1" noChangeAspect="1"/>
                    </pic:cNvPicPr>
                  </pic:nvPicPr>
                  <pic:blipFill>
                    <a:blip r:embed="rId71"/>
                    <a:stretch>
                      <a:fillRect/>
                    </a:stretch>
                  </pic:blipFill>
                  <pic:spPr bwMode="auto">
                    <a:xfrm>
                      <a:off x="0" y="0"/>
                      <a:ext cx="5969000" cy="2777381"/>
                    </a:xfrm>
                    <a:prstGeom prst="rect">
                      <a:avLst/>
                    </a:prstGeom>
                    <a:noFill/>
                    <a:ln w="9525">
                      <a:noFill/>
                      <a:headEnd/>
                      <a:tailEnd/>
                    </a:ln>
                  </pic:spPr>
                </pic:pic>
              </a:graphicData>
            </a:graphic>
          </wp:inline>
        </w:drawing>
      </w:r>
    </w:p>
    <w:p>
      <w:pPr>
        <w:pStyle w:val="ImageCaption"/>
      </w:pPr>
      <w:r>
        <w:t xml:space="preserve">Figure 2: Principal component analysis</w:t>
      </w:r>
    </w:p>
    <w:p>
      <w:pPr>
        <w:pStyle w:val="CaptionedFigure"/>
      </w:pPr>
      <w:r>
        <w:drawing>
          <wp:inline>
            <wp:extent cx="4082688" cy="3403769"/>
            <wp:effectExtent b="0" l="0" r="0" t="0"/>
            <wp:docPr descr="Figure 3: Harvest Index, tuber water use efficency" title="" id="1" name="Picture"/>
            <a:graphic>
              <a:graphicData uri="http://schemas.openxmlformats.org/drawingml/2006/picture">
                <pic:pic>
                  <pic:nvPicPr>
                    <pic:cNvPr descr="files/fig_ylc.png" id="0" name="Picture"/>
                    <pic:cNvPicPr>
                      <a:picLocks noChangeArrowheads="1" noChangeAspect="1"/>
                    </pic:cNvPicPr>
                  </pic:nvPicPr>
                  <pic:blipFill>
                    <a:blip r:embed="rId72"/>
                    <a:stretch>
                      <a:fillRect/>
                    </a:stretch>
                  </pic:blipFill>
                  <pic:spPr bwMode="auto">
                    <a:xfrm>
                      <a:off x="0" y="0"/>
                      <a:ext cx="4082688" cy="3403769"/>
                    </a:xfrm>
                    <a:prstGeom prst="rect">
                      <a:avLst/>
                    </a:prstGeom>
                    <a:noFill/>
                    <a:ln w="9525">
                      <a:noFill/>
                      <a:headEnd/>
                      <a:tailEnd/>
                    </a:ln>
                  </pic:spPr>
                </pic:pic>
              </a:graphicData>
            </a:graphic>
          </wp:inline>
        </w:drawing>
      </w:r>
    </w:p>
    <w:p>
      <w:pPr>
        <w:pStyle w:val="ImageCaption"/>
      </w:pPr>
      <w:r>
        <w:t xml:space="preserve">Figure 3: Harvest Index, tuber water use efficency</w:t>
      </w:r>
    </w:p>
    <w:sectPr w:rsidR="00903246" w:rsidRPr="00796E4F"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0D1C1" w14:textId="77777777" w:rsidR="00A04089" w:rsidRPr="00750171" w:rsidRDefault="009F3A14">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513B8DF0" w14:textId="77777777" w:rsidR="00A04089" w:rsidRDefault="009F3A1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DE21F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8AA8B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756CE8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6E9B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40AD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8CDA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46EC5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2CCC11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B249FF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4D2D7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143225"/>
    <w:pPr>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556C73"/>
    <w:pPr>
      <w:keepNext/>
      <w:keepLines/>
      <w:spacing w:before="240" w:after="340"/>
      <w:jc w:val="left"/>
    </w:pPr>
    <w:rPr>
      <w:rFonts w:ascii="Courier New" w:hAnsi="Courier New"/>
      <w:b/>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647EB9"/>
    <w:pPr>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C4612C"/>
    <w:pPr>
      <w:keepNext/>
    </w:pPr>
    <w:rPr>
      <w:i w:val="0"/>
    </w:rPr>
  </w:style>
  <w:style w:type="paragraph" w:customStyle="1" w:styleId="ImageCaption">
    <w:name w:val="Image Caption"/>
    <w:basedOn w:val="Descripcin"/>
    <w:rsid w:val="00C4612C"/>
    <w:rPr>
      <w:i w:val="0"/>
    </w:rPr>
  </w:style>
  <w:style w:type="paragraph" w:customStyle="1" w:styleId="Figure">
    <w:name w:val="Figure"/>
    <w:basedOn w:val="Normal"/>
  </w:style>
  <w:style w:type="paragraph" w:customStyle="1" w:styleId="CaptionedFigure">
    <w:name w:val="Captioned Figure"/>
    <w:basedOn w:val="Figure"/>
    <w:rsid w:val="00B2600A"/>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71" Target="media/rId71.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hyperlink" Id="rId51" Target="https://CRAN.R-project.org/package=FactoMineR" TargetMode="External" /><Relationship Type="http://schemas.openxmlformats.org/officeDocument/2006/relationships/hyperlink" Id="rId47" Target="https://CRAN.R-project.org/package=agricolae" TargetMode="External" /><Relationship Type="http://schemas.openxmlformats.org/officeDocument/2006/relationships/hyperlink" Id="rId43" Target="https://doi.org/10.1007/BF02407559" TargetMode="External" /><Relationship Type="http://schemas.openxmlformats.org/officeDocument/2006/relationships/hyperlink" Id="rId41" Target="https://doi.org/10.1007/s00299-007-0406-8" TargetMode="External" /><Relationship Type="http://schemas.openxmlformats.org/officeDocument/2006/relationships/hyperlink" Id="rId45" Target="https://doi.org/10.1016/S1161-0301(99)00019-2" TargetMode="External" /><Relationship Type="http://schemas.openxmlformats.org/officeDocument/2006/relationships/hyperlink" Id="rId49" Target="https://doi.org/10.1016/j.envexpbot.2009.06.010" TargetMode="External" /><Relationship Type="http://schemas.openxmlformats.org/officeDocument/2006/relationships/hyperlink" Id="rId53" Target="https://doi.org/10.1051/agro:2002089" TargetMode="External" /><Relationship Type="http://schemas.openxmlformats.org/officeDocument/2006/relationships/hyperlink" Id="rId61" Target="https://doi.org/10.1071/PP9860329" TargetMode="External" /><Relationship Type="http://schemas.openxmlformats.org/officeDocument/2006/relationships/hyperlink" Id="rId57" Target="https://doi.org/10.1093/jxb/49.325.1381" TargetMode="External" /><Relationship Type="http://schemas.openxmlformats.org/officeDocument/2006/relationships/hyperlink" Id="rId65" Target="https://doi.org/10.1093/jxb/ern073" TargetMode="External" /><Relationship Type="http://schemas.openxmlformats.org/officeDocument/2006/relationships/hyperlink" Id="rId63" Target="https://doi.org/10.2307/1309424" TargetMode="External" /><Relationship Type="http://schemas.openxmlformats.org/officeDocument/2006/relationships/hyperlink" Id="rId55" Target="https://flavjack.github.io/germinaquant/" TargetMode="External" /><Relationship Type="http://schemas.openxmlformats.org/officeDocument/2006/relationships/hyperlink" Id="rId59"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package=FactoMineR" TargetMode="External" /><Relationship Type="http://schemas.openxmlformats.org/officeDocument/2006/relationships/hyperlink" Id="rId47" Target="https://CRAN.R-project.org/package=agricolae" TargetMode="External" /><Relationship Type="http://schemas.openxmlformats.org/officeDocument/2006/relationships/hyperlink" Id="rId43" Target="https://doi.org/10.1007/BF02407559" TargetMode="External" /><Relationship Type="http://schemas.openxmlformats.org/officeDocument/2006/relationships/hyperlink" Id="rId41" Target="https://doi.org/10.1007/s00299-007-0406-8" TargetMode="External" /><Relationship Type="http://schemas.openxmlformats.org/officeDocument/2006/relationships/hyperlink" Id="rId45" Target="https://doi.org/10.1016/S1161-0301(99)00019-2" TargetMode="External" /><Relationship Type="http://schemas.openxmlformats.org/officeDocument/2006/relationships/hyperlink" Id="rId49" Target="https://doi.org/10.1016/j.envexpbot.2009.06.010" TargetMode="External" /><Relationship Type="http://schemas.openxmlformats.org/officeDocument/2006/relationships/hyperlink" Id="rId53" Target="https://doi.org/10.1051/agro:2002089" TargetMode="External" /><Relationship Type="http://schemas.openxmlformats.org/officeDocument/2006/relationships/hyperlink" Id="rId61" Target="https://doi.org/10.1071/PP9860329" TargetMode="External" /><Relationship Type="http://schemas.openxmlformats.org/officeDocument/2006/relationships/hyperlink" Id="rId57" Target="https://doi.org/10.1093/jxb/49.325.1381" TargetMode="External" /><Relationship Type="http://schemas.openxmlformats.org/officeDocument/2006/relationships/hyperlink" Id="rId65" Target="https://doi.org/10.1093/jxb/ern073" TargetMode="External" /><Relationship Type="http://schemas.openxmlformats.org/officeDocument/2006/relationships/hyperlink" Id="rId63" Target="https://doi.org/10.2307/1309424" TargetMode="External" /><Relationship Type="http://schemas.openxmlformats.org/officeDocument/2006/relationships/hyperlink" Id="rId55" Target="https://flavjack.github.io/germinaquant/" TargetMode="External" /><Relationship Type="http://schemas.openxmlformats.org/officeDocument/2006/relationships/hyperlink" Id="rId59"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and transpiration efficiency in potato (Solanum tuberosum L.)</dc:title>
  <dc:creator>Flavio Lozano-Isla ^{1*}, Farfan-Vignolo, Evelyn^{1}, Gutierrez, Raymundo ^{1}, Blas Raul^{2}, Khan Awais^{1}; ^{1} International Potato Center (CIP), Av. La Molina 1895, La Molina, 1558, Peru; ^{2}Universidad Nacional Agraria La Molina (UNALM), Av. La Molina, 1558, Peru; ^{*} Corresponding author. E-mail address: flavjack@gmail.com (F. Lozano-Isla)</dc:creator>
  <dc:description>document template for scientific report</dc:description>
  <cp:keywords/>
  <dcterms:created xsi:type="dcterms:W3CDTF">2020-03-03T12:48:53Z</dcterms:created>
  <dcterms:modified xsi:type="dcterms:W3CDTF">2020-03-03T12:48:53Z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