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2.png" ContentType="image/png"/>
  <Override PartName="/word/media/rId71.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references"/>
      <w:r>
        <w:t xml:space="preserve">References</w:t>
      </w:r>
      <w:bookmarkEnd w:id="40"/>
    </w:p>
    <w:bookmarkStart w:id="67" w:name="refs"/>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3">
        <w:r>
          <w:rPr>
            <w:rStyle w:val="Hipervnculo"/>
          </w:rPr>
          <w:t xml:space="preserve">https://doi.org/10.1007/BF02407559</w:t>
        </w:r>
      </w:hyperlink>
    </w:p>
    <w:bookmarkEnd w:id="44"/>
    <w:bookmarkStart w:id="46"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5">
        <w:r>
          <w:rPr>
            <w:rStyle w:val="Hipervnculo"/>
          </w:rPr>
          <w:t xml:space="preserve">https://doi.org/10.1016/S1161-0301(99)00019-2</w:t>
        </w:r>
      </w:hyperlink>
    </w:p>
    <w:bookmarkEnd w:id="46"/>
    <w:bookmarkStart w:id="48"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7">
        <w:r>
          <w:rPr>
            <w:rStyle w:val="Hipervnculo"/>
          </w:rPr>
          <w:t xml:space="preserve">https://CRAN.R-project.org/package=agricolae</w:t>
        </w:r>
      </w:hyperlink>
    </w:p>
    <w:bookmarkEnd w:id="48"/>
    <w:bookmarkStart w:id="50"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9">
        <w:r>
          <w:rPr>
            <w:rStyle w:val="Hipervnculo"/>
          </w:rPr>
          <w:t xml:space="preserve">https://doi.org/10.1016/j.envexpbot.2009.06.010</w:t>
        </w:r>
      </w:hyperlink>
    </w:p>
    <w:bookmarkEnd w:id="50"/>
    <w:bookmarkStart w:id="5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1">
        <w:r>
          <w:rPr>
            <w:rStyle w:val="Hipervnculo"/>
          </w:rPr>
          <w:t xml:space="preserve">https://CRAN.R-project.org/package=FactoMineR</w:t>
        </w:r>
      </w:hyperlink>
    </w:p>
    <w:bookmarkEnd w:id="52"/>
    <w:bookmarkStart w:id="5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3">
        <w:r>
          <w:rPr>
            <w:rStyle w:val="Hipervnculo"/>
          </w:rPr>
          <w:t xml:space="preserve">https://doi.org/10.1051/agro:2002089</w:t>
        </w:r>
      </w:hyperlink>
    </w:p>
    <w:bookmarkEnd w:id="54"/>
    <w:bookmarkStart w:id="56"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5">
        <w:r>
          <w:rPr>
            <w:rStyle w:val="Hipervnculo"/>
          </w:rPr>
          <w:t xml:space="preserve">https://flavjack.github.io/germinaquant/</w:t>
        </w:r>
      </w:hyperlink>
    </w:p>
    <w:bookmarkEnd w:id="56"/>
    <w:bookmarkStart w:id="5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7">
        <w:r>
          <w:rPr>
            <w:rStyle w:val="Hipervnculo"/>
          </w:rPr>
          <w:t xml:space="preserve">https://doi.org/10.1093/jxb/49.325.1381</w:t>
        </w:r>
      </w:hyperlink>
    </w:p>
    <w:bookmarkEnd w:id="58"/>
    <w:bookmarkStart w:id="60"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59">
        <w:r>
          <w:rPr>
            <w:rStyle w:val="Hipervnculo"/>
          </w:rPr>
          <w:t xml:space="preserve">https://www.R-project.org/</w:t>
        </w:r>
      </w:hyperlink>
    </w:p>
    <w:bookmarkEnd w:id="60"/>
    <w:bookmarkStart w:id="6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1">
        <w:r>
          <w:rPr>
            <w:rStyle w:val="Hipervnculo"/>
          </w:rPr>
          <w:t xml:space="preserve">https://doi.org/10.1071/PP9860329</w:t>
        </w:r>
      </w:hyperlink>
    </w:p>
    <w:bookmarkEnd w:id="62"/>
    <w:bookmarkStart w:id="6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3">
        <w:r>
          <w:rPr>
            <w:rStyle w:val="Hipervnculo"/>
          </w:rPr>
          <w:t xml:space="preserve">https://doi.org/10.2307/1309424</w:t>
        </w:r>
      </w:hyperlink>
    </w:p>
    <w:bookmarkEnd w:id="64"/>
    <w:bookmarkStart w:id="6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5">
        <w:r>
          <w:rPr>
            <w:rStyle w:val="Hipervnculo"/>
          </w:rPr>
          <w:t xml:space="preserve">https://doi.org/10.1093/jxb/ern073</w:t>
        </w:r>
      </w:hyperlink>
    </w:p>
    <w:bookmarkEnd w:id="66"/>
    <w:bookmarkEnd w:id="67"/>
    <w:p>
      <w:pPr>
        <w:pStyle w:val="Ttulo1"/>
      </w:pPr>
      <w:bookmarkStart w:id="68" w:name="tables"/>
      <w:r>
        <w:t xml:space="preserve">Tables</w:t>
      </w:r>
      <w:bookmarkEnd w:id="6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Summary descriptives table by groups of `treat’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55"/>
        <w:gridCol w:w="1597"/>
        <w:gridCol w:w="1658"/>
        <w:gridCol w:w="1273"/>
      </w:tblGrid>
      <w:tr>
        <w:trPr>
          <w:cantSplit/>
          <w:trHeight w:val="330" w:hRule="auto"/>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WD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WW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p.overall</w:t>
            </w:r>
          </w:p>
        </w:tc>
      </w:tr>
      <w:tr>
        <w:trPr>
          <w:cantSplit/>
          <w:trHeight w:val="284"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N=75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N=75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spad_29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 (4.92)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 (4.98)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0.470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spad_59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 (4.36)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 (3.66)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spad_76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 (5.44)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 (3.61)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spad_83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 (5.92)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 (4.52)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hgt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132 (15.3)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150 (15.8)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rwc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 (6.09)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 (5.33)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 (0.29)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ldw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 (3.68)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 (5.55)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(9.06)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 (6.10)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0.020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rdw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 (1.94)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 (1.96)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0.588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tdw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 (10.8)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 (19.0)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 (6.21)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 (4.94)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0.976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 (1.22)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 (2.20)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lfa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2488 (797)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 (2380)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rdl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 (6.45)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 (5.81)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0.528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tdb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 (15.7)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 (24.1)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 (0.16)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(0.14)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0.016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 (62.0)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415 (81.8)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wue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(2.15)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 (1.26)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&lt;0.001  </w:t>
            </w:r>
          </w:p>
        </w:tc>
      </w:tr>
      <w:tr>
        <w:trPr>
          <w:cantSplit/>
          <w:trHeight w:val="45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twue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 (2.03)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 (1.75)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0.493  </w:t>
            </w:r>
          </w:p>
        </w:tc>
      </w:tr>
    </w:tbl>
    <w:p>
      <w:pPr>
        <w:pStyle w:val="Ttulo1"/>
      </w:pPr>
      <w:bookmarkStart w:id="69" w:name="figures"/>
      <w:r>
        <w:t xml:space="preserve">Figures</w:t>
      </w:r>
      <w:bookmarkEnd w:id="69"/>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7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7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3730625"/>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72"/>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 ^{1*}, Farfan-Vignolo, Evelyn^{1}, Gutierrez, Raymundo ^{1},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2020-03-04T16:23:57Z</dcterms:created>
  <dcterms:modified xsi:type="dcterms:W3CDTF">2020-03-04T16:23:57Z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