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2.png" ContentType="image/png"/>
  <Override PartName="/word/media/rId71.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without the resultant yield lost, understand the mechanisms of tolerance, and provide useful information for the selection of tolerance in breeding programs. In order to explore the different responses of potato under drought, we have evaluated fifteen genotypes under well watered (WD) and water deficit (WD) conditions for a range of agro-morphological and physiological traits.</w:t>
      </w:r>
    </w:p>
    <w:p>
      <w:pPr>
        <w:pStyle w:val="BodyText"/>
      </w:pPr>
      <w:r>
        <w:t xml:space="preserve">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2020</w:t>
        </w:r>
      </w:hyperlink>
      <w:r>
        <w:t xml:space="preserve">; 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2020</w:t>
        </w:r>
      </w:hyperlink>
      <w:r>
        <w:t xml:space="preserve">)</w:t>
      </w:r>
      <w:r>
        <w:t xml:space="preserve">. For the multivariate analysis correlation analysis was performed</w:t>
      </w:r>
      <w:r>
        <w:t xml:space="preserve"> </w:t>
      </w:r>
      <w:r>
        <w:t xml:space="preserve">(</w:t>
      </w:r>
      <w:r>
        <w:rPr>
          <w:b/>
        </w:rPr>
        <w:t xml:space="preserve">???</w:t>
      </w:r>
      <w:r>
        <w:t xml:space="preserve">; de Mendiburu,</w:t>
      </w:r>
      <w:r>
        <w:t xml:space="preserve"> </w:t>
      </w:r>
      <w:hyperlink w:anchor="ref-R-agricolae">
        <w:r>
          <w:rPr>
            <w:rStyle w:val="Hipervnculo"/>
          </w:rPr>
          <w:t xml:space="preserve">2020</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2020</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references"/>
      <w:r>
        <w:t xml:space="preserve">References</w:t>
      </w:r>
      <w:bookmarkEnd w:id="40"/>
    </w:p>
    <w:bookmarkStart w:id="67" w:name="refs"/>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3">
        <w:r>
          <w:rPr>
            <w:rStyle w:val="Hipervnculo"/>
          </w:rPr>
          <w:t xml:space="preserve">https://doi.org/10.1007/BF02407559</w:t>
        </w:r>
      </w:hyperlink>
    </w:p>
    <w:bookmarkEnd w:id="44"/>
    <w:bookmarkStart w:id="46"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5">
        <w:r>
          <w:rPr>
            <w:rStyle w:val="Hipervnculo"/>
          </w:rPr>
          <w:t xml:space="preserve">https://doi.org/10.1016/S1161-0301(99)00019-2</w:t>
        </w:r>
      </w:hyperlink>
    </w:p>
    <w:bookmarkEnd w:id="46"/>
    <w:bookmarkStart w:id="48"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47">
        <w:r>
          <w:rPr>
            <w:rStyle w:val="Hipervnculo"/>
          </w:rPr>
          <w:t xml:space="preserve">https://CRAN.R-project.org/package=agricolae</w:t>
        </w:r>
      </w:hyperlink>
    </w:p>
    <w:bookmarkEnd w:id="48"/>
    <w:bookmarkStart w:id="50"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49">
        <w:r>
          <w:rPr>
            <w:rStyle w:val="Hipervnculo"/>
          </w:rPr>
          <w:t xml:space="preserve">https://doi.org/10.1016/j.envexpbot.2009.06.010</w:t>
        </w:r>
      </w:hyperlink>
    </w:p>
    <w:bookmarkEnd w:id="50"/>
    <w:bookmarkStart w:id="5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1">
        <w:r>
          <w:rPr>
            <w:rStyle w:val="Hipervnculo"/>
          </w:rPr>
          <w:t xml:space="preserve">https://CRAN.R-project.org/package=FactoMineR</w:t>
        </w:r>
      </w:hyperlink>
    </w:p>
    <w:bookmarkEnd w:id="52"/>
    <w:bookmarkStart w:id="54"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53">
        <w:r>
          <w:rPr>
            <w:rStyle w:val="Hipervnculo"/>
          </w:rPr>
          <w:t xml:space="preserve">https://doi.org/10.1051/agro:2002089</w:t>
        </w:r>
      </w:hyperlink>
    </w:p>
    <w:bookmarkEnd w:id="54"/>
    <w:bookmarkStart w:id="56" w:name="ref-R-GerminaR"/>
    <w:p>
      <w:pPr>
        <w:pStyle w:val="Bibliografa"/>
      </w:pPr>
      <w:r>
        <w:t xml:space="preserve">Lozano Isla, F., Benites Alfaro, O., &amp; Pompelli, M. F. (2020).</w:t>
      </w:r>
      <w:r>
        <w:t xml:space="preserve"> </w:t>
      </w:r>
      <w:r>
        <w:rPr>
          <w:i/>
        </w:rPr>
        <w:t xml:space="preserve">GerminaR: Indices and graphics for assess seed germination process</w:t>
      </w:r>
      <w:r>
        <w:t xml:space="preserve">.</w:t>
      </w:r>
      <w:r>
        <w:t xml:space="preserve"> </w:t>
      </w:r>
      <w:hyperlink r:id="rId55">
        <w:r>
          <w:rPr>
            <w:rStyle w:val="Hipervnculo"/>
          </w:rPr>
          <w:t xml:space="preserve">https://flavjack.github.io/germinaquant/</w:t>
        </w:r>
      </w:hyperlink>
    </w:p>
    <w:bookmarkEnd w:id="56"/>
    <w:bookmarkStart w:id="5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57">
        <w:r>
          <w:rPr>
            <w:rStyle w:val="Hipervnculo"/>
          </w:rPr>
          <w:t xml:space="preserve">https://doi.org/10.1093/jxb/49.325.1381</w:t>
        </w:r>
      </w:hyperlink>
    </w:p>
    <w:bookmarkEnd w:id="58"/>
    <w:bookmarkStart w:id="6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59">
        <w:r>
          <w:rPr>
            <w:rStyle w:val="Hipervnculo"/>
          </w:rPr>
          <w:t xml:space="preserve">https://www.R-project.org/</w:t>
        </w:r>
      </w:hyperlink>
    </w:p>
    <w:bookmarkEnd w:id="60"/>
    <w:bookmarkStart w:id="6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1">
        <w:r>
          <w:rPr>
            <w:rStyle w:val="Hipervnculo"/>
          </w:rPr>
          <w:t xml:space="preserve">https://doi.org/10.1071/PP9860329</w:t>
        </w:r>
      </w:hyperlink>
    </w:p>
    <w:bookmarkEnd w:id="62"/>
    <w:bookmarkStart w:id="6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63">
        <w:r>
          <w:rPr>
            <w:rStyle w:val="Hipervnculo"/>
          </w:rPr>
          <w:t xml:space="preserve">https://doi.org/10.2307/1309424</w:t>
        </w:r>
      </w:hyperlink>
    </w:p>
    <w:bookmarkEnd w:id="64"/>
    <w:bookmarkStart w:id="6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65">
        <w:r>
          <w:rPr>
            <w:rStyle w:val="Hipervnculo"/>
          </w:rPr>
          <w:t xml:space="preserve">https://doi.org/10.1093/jxb/ern073</w:t>
        </w:r>
      </w:hyperlink>
    </w:p>
    <w:bookmarkEnd w:id="66"/>
    <w:bookmarkEnd w:id="67"/>
    <w:p>
      <w:pPr>
        <w:pStyle w:val="Ttulo1"/>
      </w:pPr>
      <w:bookmarkStart w:id="68" w:name="tables"/>
      <w:r>
        <w:t xml:space="preserve">Tables</w:t>
      </w:r>
      <w:bookmarkEnd w:id="6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3: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56.5 (53.2, 59.4)</w:t>
            </w:r>
          </w:p>
        </w:tc>
        <w:tc>
          <w:p>
            <w:pPr>
              <w:pStyle w:val="Compact"/>
              <w:jc w:val="left"/>
            </w:pPr>
            <w:r>
              <w:t xml:space="preserve">57.2 (53.6, 60.6)</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48.2 (45.0, 50.8)</w:t>
            </w:r>
          </w:p>
        </w:tc>
        <w:tc>
          <w:p>
            <w:pPr>
              <w:pStyle w:val="Compact"/>
              <w:jc w:val="left"/>
            </w:pPr>
            <w:r>
              <w:t xml:space="preserve">46.3 (43.8, 48.4)</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45.8 (42.1, 48.7)</w:t>
            </w:r>
          </w:p>
        </w:tc>
        <w:tc>
          <w:p>
            <w:pPr>
              <w:pStyle w:val="Compact"/>
              <w:jc w:val="left"/>
            </w:pPr>
            <w:r>
              <w:t xml:space="preserve">41.7 (39.4, 44.2)</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44.5 (41.1, 46.2)</w:t>
            </w:r>
          </w:p>
        </w:tc>
        <w:tc>
          <w:p>
            <w:pPr>
              <w:pStyle w:val="Compact"/>
              <w:jc w:val="left"/>
            </w:pPr>
            <w:r>
              <w:t xml:space="preserve">39.6 (36.5, 42.3)</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134 (123, 142)</w:t>
            </w:r>
          </w:p>
        </w:tc>
        <w:tc>
          <w:p>
            <w:pPr>
              <w:pStyle w:val="Compact"/>
              <w:jc w:val="left"/>
            </w:pPr>
            <w:r>
              <w:t xml:space="preserve">151 (141, 162)</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(53, 62)</w:t>
            </w:r>
          </w:p>
        </w:tc>
        <w:tc>
          <w:p>
            <w:pPr>
              <w:pStyle w:val="Compact"/>
              <w:jc w:val="left"/>
            </w:pPr>
            <w:r>
              <w:t xml:space="preserve">69 (66, 73)</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-2.87 (-3.08, -2.65)</w:t>
            </w:r>
          </w:p>
        </w:tc>
        <w:tc>
          <w:p>
            <w:pPr>
              <w:pStyle w:val="Compact"/>
              <w:jc w:val="left"/>
            </w:pPr>
            <w:r>
              <w:t xml:space="preserve">-2.27 (-2.43, -2.07)</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11.8 (10.1, 14.3)</w:t>
            </w:r>
          </w:p>
        </w:tc>
        <w:tc>
          <w:p>
            <w:pPr>
              <w:pStyle w:val="Compact"/>
              <w:jc w:val="left"/>
            </w:pPr>
            <w:r>
              <w:t xml:space="preserve">18.4 (14.6, 20.9)</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11.0 (8.3, 13.4)</w:t>
            </w:r>
          </w:p>
        </w:tc>
        <w:tc>
          <w:p>
            <w:pPr>
              <w:pStyle w:val="Compact"/>
              <w:jc w:val="left"/>
            </w:pPr>
            <w:r>
              <w:t xml:space="preserve">14.2 (11.4, 18.1)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3.50 (2.08, 5.12)</w:t>
            </w:r>
          </w:p>
        </w:tc>
        <w:tc>
          <w:p>
            <w:pPr>
              <w:pStyle w:val="Compact"/>
              <w:jc w:val="left"/>
            </w:pPr>
            <w:r>
              <w:t xml:space="preserve">2.99 (2.01, 4.78)</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22 (17, 30)</w:t>
            </w:r>
          </w:p>
        </w:tc>
        <w:tc>
          <w:p>
            <w:pPr>
              <w:pStyle w:val="Compact"/>
              <w:jc w:val="left"/>
            </w:pPr>
            <w:r>
              <w:t xml:space="preserve">36 (26, 54)</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11.0 (8.0, 15.5)</w:t>
            </w:r>
          </w:p>
        </w:tc>
        <w:tc>
          <w:p>
            <w:pPr>
              <w:pStyle w:val="Compact"/>
              <w:jc w:val="left"/>
            </w:pPr>
            <w:r>
              <w:t xml:space="preserve">11.0 (8.0, 15.0)</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4.50 (3.71, 5.44)</w:t>
            </w:r>
          </w:p>
        </w:tc>
        <w:tc>
          <w:p>
            <w:pPr>
              <w:pStyle w:val="Compact"/>
              <w:jc w:val="left"/>
            </w:pPr>
            <w:r>
              <w:t xml:space="preserve">7.92 (6.58, 9.34)</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2541 (1994, 3141)</w:t>
            </w:r>
          </w:p>
        </w:tc>
        <w:tc>
          <w:p>
            <w:pPr>
              <w:pStyle w:val="Compact"/>
              <w:jc w:val="left"/>
            </w:pPr>
            <w:r>
              <w:t xml:space="preserve">7194 (6050, 8867)</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35.0 (28.0, 40.0)</w:t>
            </w:r>
          </w:p>
        </w:tc>
        <w:tc>
          <w:p>
            <w:pPr>
              <w:pStyle w:val="Compact"/>
              <w:jc w:val="left"/>
            </w:pPr>
            <w:r>
              <w:t xml:space="preserve">32.0 (28.0, 40.0)</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50 (42, 59)</w:t>
            </w:r>
          </w:p>
        </w:tc>
        <w:tc>
          <w:p>
            <w:pPr>
              <w:pStyle w:val="Compact"/>
              <w:jc w:val="left"/>
            </w:pPr>
            <w:r>
              <w:t xml:space="preserve">73 (60, 95)</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(0.38, 0.60)</w:t>
            </w:r>
          </w:p>
        </w:tc>
        <w:tc>
          <w:p>
            <w:pPr>
              <w:pStyle w:val="Compact"/>
              <w:jc w:val="left"/>
            </w:pPr>
            <w:r>
              <w:t xml:space="preserve">0.54 (0.43, 0.63)</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213 (179, 245)</w:t>
            </w:r>
          </w:p>
        </w:tc>
        <w:tc>
          <w:p>
            <w:pPr>
              <w:pStyle w:val="Compact"/>
              <w:jc w:val="left"/>
            </w:pPr>
            <w:r>
              <w:t xml:space="preserve">411 (372, 458)</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10.98 (10.32, 12.01)</w:t>
            </w:r>
          </w:p>
        </w:tc>
        <w:tc>
          <w:p>
            <w:pPr>
              <w:pStyle w:val="Compact"/>
              <w:jc w:val="left"/>
            </w:pPr>
            <w:r>
              <w:t xml:space="preserve">9.37 (8.62, 10.38)</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5.08 (4.07, 6.72)</w:t>
            </w:r>
          </w:p>
        </w:tc>
        <w:tc>
          <w:p>
            <w:pPr>
              <w:pStyle w:val="Compact"/>
              <w:jc w:val="left"/>
            </w:pPr>
            <w:r>
              <w:t xml:space="preserve">5.02 (3.67, 6.23)</w:t>
            </w:r>
          </w:p>
        </w:tc>
        <w:tc>
          <w:p>
            <w:pPr>
              <w:pStyle w:val="Compact"/>
              <w:jc w:val="left"/>
            </w:pPr>
            <w:r>
              <w:t xml:space="preserve">0.5</w:t>
            </w:r>
          </w:p>
        </w:tc>
      </w:tr>
    </w:tbl>
    <w:p>
      <w:pPr>
        <w:pStyle w:val="Ttulo1"/>
      </w:pPr>
      <w:bookmarkStart w:id="69" w:name="figures"/>
      <w:r>
        <w:t xml:space="preserve">Figures</w:t>
      </w:r>
      <w:bookmarkEnd w:id="69"/>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7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7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7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FactoMineR" TargetMode="External" /><Relationship Type="http://schemas.openxmlformats.org/officeDocument/2006/relationships/hyperlink" Id="rId47" Target="https://CRAN.R-project.org/package=agricolae" TargetMode="External" /><Relationship Type="http://schemas.openxmlformats.org/officeDocument/2006/relationships/hyperlink" Id="rId43"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45" Target="https://doi.org/10.1016/S1161-0301(99)00019-2" TargetMode="External" /><Relationship Type="http://schemas.openxmlformats.org/officeDocument/2006/relationships/hyperlink" Id="rId49" Target="https://doi.org/10.1016/j.envexpbot.2009.06.010" TargetMode="External" /><Relationship Type="http://schemas.openxmlformats.org/officeDocument/2006/relationships/hyperlink" Id="rId53" Target="https://doi.org/10.1051/agro:2002089" TargetMode="External" /><Relationship Type="http://schemas.openxmlformats.org/officeDocument/2006/relationships/hyperlink" Id="rId61" Target="https://doi.org/10.1071/PP9860329" TargetMode="External" /><Relationship Type="http://schemas.openxmlformats.org/officeDocument/2006/relationships/hyperlink" Id="rId57" Target="https://doi.org/10.1093/jxb/49.325.1381" TargetMode="External" /><Relationship Type="http://schemas.openxmlformats.org/officeDocument/2006/relationships/hyperlink" Id="rId65" Target="https://doi.org/10.1093/jxb/ern073" TargetMode="External" /><Relationship Type="http://schemas.openxmlformats.org/officeDocument/2006/relationships/hyperlink" Id="rId63" Target="https://doi.org/10.2307/1309424" TargetMode="External" /><Relationship Type="http://schemas.openxmlformats.org/officeDocument/2006/relationships/hyperlink" Id="rId55" Target="https://flavjack.github.io/germinaquant/" TargetMode="External" /><Relationship Type="http://schemas.openxmlformats.org/officeDocument/2006/relationships/hyperlink" Id="rId59"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2020-03-04T22:15:15Z</dcterms:created>
  <dcterms:modified xsi:type="dcterms:W3CDTF">2020-03-04T22:15:15Z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