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87.png" ContentType="image/png"/>
  <Override PartName="/word/media/rId86.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list-of-abbreviations"/>
      <w:r>
        <w:t xml:space="preserve">List of abbreviations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Abbreviation</w:t>
            </w:r>
          </w:p>
        </w:tc>
      </w:tr>
      <w:tr>
        <w:tc>
          <w:p>
            <w:pPr>
              <w:pStyle w:val="Compact"/>
              <w:jc w:val="left"/>
            </w:pPr>
            <w:r>
              <w:t xml:space="preserve">Soil Plant Analysis Development</w:t>
            </w:r>
          </w:p>
        </w:tc>
        <w:tc>
          <w:p>
            <w:pPr>
              <w:pStyle w:val="Compact"/>
              <w:jc w:val="left"/>
            </w:pPr>
            <w:r>
              <w:t xml:space="preserve">spad</w:t>
            </w:r>
          </w:p>
        </w:tc>
      </w:tr>
      <w:tr>
        <w:tc>
          <w:p>
            <w:pPr>
              <w:pStyle w:val="Compact"/>
              <w:jc w:val="left"/>
            </w:pPr>
            <w:r>
              <w:t xml:space="preserve">Plant height</w:t>
            </w:r>
          </w:p>
        </w:tc>
        <w:tc>
          <w:p>
            <w:pPr>
              <w:pStyle w:val="Compact"/>
              <w:jc w:val="left"/>
            </w:pPr>
            <w:r>
              <w:t xml:space="preserve">hgt</w:t>
            </w:r>
          </w:p>
        </w:tc>
      </w:tr>
      <w:tr>
        <w:tc>
          <w:p>
            <w:pPr>
              <w:pStyle w:val="Compact"/>
              <w:jc w:val="left"/>
            </w:pPr>
            <w:r>
              <w:t xml:space="preserve">Relative water content</w:t>
            </w:r>
          </w:p>
        </w:tc>
        <w:tc>
          <w:p>
            <w:pPr>
              <w:pStyle w:val="Compact"/>
              <w:jc w:val="left"/>
            </w:pPr>
            <w:r>
              <w:t xml:space="preserve">rwc</w:t>
            </w:r>
          </w:p>
        </w:tc>
      </w:tr>
      <w:tr>
        <w:tc>
          <w:p>
            <w:pPr>
              <w:pStyle w:val="Compact"/>
              <w:jc w:val="left"/>
            </w:pPr>
            <w:r>
              <w:t xml:space="preserve">Leaf osmotic potential</w:t>
            </w:r>
          </w:p>
        </w:tc>
        <w:tc>
          <w:p>
            <w:pPr>
              <w:pStyle w:val="Compact"/>
              <w:jc w:val="left"/>
            </w:pPr>
            <w:r>
              <w:t xml:space="preserve">lop</w:t>
            </w:r>
          </w:p>
        </w:tc>
      </w:tr>
      <w:tr>
        <w:tc>
          <w:p>
            <w:pPr>
              <w:pStyle w:val="Compact"/>
              <w:jc w:val="left"/>
            </w:pPr>
            <w:r>
              <w:t xml:space="preserve">Leaf dry weight</w:t>
            </w:r>
          </w:p>
        </w:tc>
        <w:tc>
          <w:p>
            <w:pPr>
              <w:pStyle w:val="Compact"/>
              <w:jc w:val="left"/>
            </w:pPr>
            <w:r>
              <w:t xml:space="preserve">ldw</w:t>
            </w:r>
          </w:p>
        </w:tc>
      </w:tr>
      <w:tr>
        <w:tc>
          <w:p>
            <w:pPr>
              <w:pStyle w:val="Compact"/>
              <w:jc w:val="left"/>
            </w:pPr>
            <w:r>
              <w:t xml:space="preserve">Stem dry weight</w:t>
            </w:r>
          </w:p>
        </w:tc>
        <w:tc>
          <w:p>
            <w:pPr>
              <w:pStyle w:val="Compact"/>
              <w:jc w:val="left"/>
            </w:pPr>
            <w:r>
              <w:t xml:space="preserve">sdw</w:t>
            </w:r>
          </w:p>
        </w:tc>
      </w:tr>
      <w:tr>
        <w:tc>
          <w:p>
            <w:pPr>
              <w:pStyle w:val="Compact"/>
              <w:jc w:val="left"/>
            </w:pPr>
            <w:r>
              <w:t xml:space="preserve">Root dry weight</w:t>
            </w:r>
          </w:p>
        </w:tc>
        <w:tc>
          <w:p>
            <w:pPr>
              <w:pStyle w:val="Compact"/>
              <w:jc w:val="left"/>
            </w:pPr>
            <w:r>
              <w:t xml:space="preserve">rdw</w:t>
            </w:r>
          </w:p>
        </w:tc>
      </w:tr>
      <w:tr>
        <w:tc>
          <w:p>
            <w:pPr>
              <w:pStyle w:val="Compact"/>
              <w:jc w:val="left"/>
            </w:pPr>
            <w:r>
              <w:t xml:space="preserve">Tuber dry weight</w:t>
            </w:r>
          </w:p>
        </w:tc>
        <w:tc>
          <w:p>
            <w:pPr>
              <w:pStyle w:val="Compact"/>
              <w:jc w:val="left"/>
            </w:pPr>
            <w:r>
              <w:t xml:space="preserve">tdw</w:t>
            </w:r>
          </w:p>
        </w:tc>
      </w:tr>
      <w:tr>
        <w:tc>
          <w:p>
            <w:pPr>
              <w:pStyle w:val="Compact"/>
              <w:jc w:val="left"/>
            </w:pPr>
            <w:r>
              <w:t xml:space="preserve">Tuber number</w:t>
            </w:r>
          </w:p>
        </w:tc>
        <w:tc>
          <w:p>
            <w:pPr>
              <w:pStyle w:val="Compact"/>
              <w:jc w:val="left"/>
            </w:pPr>
            <w:r>
              <w:t xml:space="preserve">ntub</w:t>
            </w:r>
          </w:p>
        </w:tc>
      </w:tr>
      <w:tr>
        <w:tc>
          <w:p>
            <w:pPr>
              <w:pStyle w:val="Compact"/>
              <w:jc w:val="left"/>
            </w:pPr>
            <w:r>
              <w:t xml:space="preserve">Root length</w:t>
            </w:r>
          </w:p>
        </w:tc>
        <w:tc>
          <w:p>
            <w:pPr>
              <w:pStyle w:val="Compact"/>
              <w:jc w:val="left"/>
            </w:pPr>
            <w:r>
              <w:t xml:space="preserve">rdl</w:t>
            </w:r>
          </w:p>
        </w:tc>
      </w:tr>
      <w:tr>
        <w:tc>
          <w:p>
            <w:pPr>
              <w:pStyle w:val="Compact"/>
              <w:jc w:val="left"/>
            </w:pPr>
            <w:r>
              <w:t xml:space="preserve">Total transpiration</w:t>
            </w:r>
          </w:p>
        </w:tc>
        <w:tc>
          <w:p>
            <w:pPr>
              <w:pStyle w:val="Compact"/>
              <w:jc w:val="left"/>
            </w:pPr>
            <w:r>
              <w:t xml:space="preserve">trs</w:t>
            </w:r>
          </w:p>
        </w:tc>
      </w:tr>
      <w:tr>
        <w:tc>
          <w:p>
            <w:pPr>
              <w:pStyle w:val="Compact"/>
              <w:jc w:val="left"/>
            </w:pPr>
            <w:r>
              <w:t xml:space="preserve">Leaf area</w:t>
            </w:r>
          </w:p>
        </w:tc>
        <w:tc>
          <w:p>
            <w:pPr>
              <w:pStyle w:val="Compact"/>
              <w:jc w:val="left"/>
            </w:pPr>
            <w:r>
              <w:t xml:space="preserve">lfa</w:t>
            </w:r>
          </w:p>
        </w:tc>
      </w:tr>
      <w:tr>
        <w:tc>
          <w:p>
            <w:pPr>
              <w:pStyle w:val="Compact"/>
              <w:jc w:val="left"/>
            </w:pPr>
            <w:r>
              <w:t xml:space="preserve">Total dry biomass</w:t>
            </w:r>
          </w:p>
        </w:tc>
        <w:tc>
          <w:p>
            <w:pPr>
              <w:pStyle w:val="Compact"/>
              <w:jc w:val="left"/>
            </w:pPr>
            <w:r>
              <w:t xml:space="preserve">tdb</w:t>
            </w:r>
          </w:p>
        </w:tc>
      </w:tr>
      <w:tr>
        <w:tc>
          <w:p>
            <w:pPr>
              <w:pStyle w:val="Compact"/>
              <w:jc w:val="left"/>
            </w:pPr>
            <w:r>
              <w:t xml:space="preserve">Harvest index</w:t>
            </w:r>
          </w:p>
        </w:tc>
        <w:tc>
          <w:p>
            <w:pPr>
              <w:pStyle w:val="Compact"/>
              <w:jc w:val="left"/>
            </w:pPr>
            <w:r>
              <w:t xml:space="preserve">hi</w:t>
            </w:r>
          </w:p>
        </w:tc>
      </w:tr>
      <w:tr>
        <w:tc>
          <w:p>
            <w:pPr>
              <w:pStyle w:val="Compact"/>
              <w:jc w:val="left"/>
            </w:pPr>
            <w:r>
              <w:t xml:space="preserve">Specif leaf area</w:t>
            </w:r>
          </w:p>
        </w:tc>
        <w:tc>
          <w:p>
            <w:pPr>
              <w:pStyle w:val="Compact"/>
              <w:jc w:val="left"/>
            </w:pPr>
            <w:r>
              <w:t xml:space="preserve">sla</w:t>
            </w:r>
          </w:p>
        </w:tc>
      </w:tr>
      <w:tr>
        <w:tc>
          <w:p>
            <w:pPr>
              <w:pStyle w:val="Compact"/>
              <w:jc w:val="left"/>
            </w:pPr>
            <w:r>
              <w:t xml:space="preserve">Water use efficiency</w:t>
            </w:r>
          </w:p>
        </w:tc>
        <w:tc>
          <w:p>
            <w:pPr>
              <w:pStyle w:val="Compact"/>
              <w:jc w:val="left"/>
            </w:pPr>
            <w:r>
              <w:t xml:space="preserve">wue</w:t>
            </w:r>
          </w:p>
        </w:tc>
      </w:tr>
      <w:tr>
        <w:tc>
          <w:p>
            <w:pPr>
              <w:pStyle w:val="Compact"/>
              <w:jc w:val="left"/>
            </w:pPr>
            <w:r>
              <w:t xml:space="preserve">Tuber water use efficiency</w:t>
            </w:r>
          </w:p>
        </w:tc>
        <w:tc>
          <w:p>
            <w:pPr>
              <w:pStyle w:val="Compact"/>
              <w:jc w:val="left"/>
            </w:pPr>
            <w:r>
              <w:t xml:space="preserve">twue</w:t>
            </w:r>
          </w:p>
        </w:tc>
      </w:tr>
    </w:tbl>
    <w:p>
      <w:pPr>
        <w:pStyle w:val="Ttulo1"/>
      </w:pPr>
      <w:bookmarkStart w:id="22" w:name="abstract"/>
      <w:r>
        <w:t xml:space="preserve">Abstract</w:t>
      </w:r>
      <w:bookmarkEnd w:id="22"/>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(twue). We also found correlation between hi and twue 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3" w:name="introduction"/>
      <w:r>
        <w:t xml:space="preserve">Introduction</w:t>
      </w:r>
      <w:bookmarkEnd w:id="23"/>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BodyText"/>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(twue),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Ttulo1"/>
      </w:pPr>
      <w:bookmarkStart w:id="24" w:name="materials-and-methods"/>
      <w:r>
        <w:t xml:space="preserve">Materials and Methods</w:t>
      </w:r>
      <w:bookmarkEnd w:id="24"/>
    </w:p>
    <w:p>
      <w:pPr>
        <w:pStyle w:val="Ttulo2"/>
      </w:pPr>
      <w:bookmarkStart w:id="25" w:name="plant-material-and-experimental-design"/>
      <w:r>
        <w:t xml:space="preserve">Plant material and experimental design</w:t>
      </w:r>
      <w:bookmarkEnd w:id="25"/>
    </w:p>
    <w:p>
      <w:pPr>
        <w:pStyle w:val="FirstParagraph"/>
      </w:pPr>
      <w:r>
        <w:t xml:space="preserve">Thirteen potato clones were selected from advanced breeding population collection at International Potato Center (CIP) and two commercial varieties were grown in an environmentally controlled greenhouse at CIP (La Molina Experimental Station) at 28/15°C day/night with 70±5% average relative humidity. 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w:t>
      </w:r>
    </w:p>
    <w:p>
      <w:pPr>
        <w:pStyle w:val="Ttulo2"/>
      </w:pPr>
      <w:bookmarkStart w:id="26" w:name="Xb2a003cd5eb9a7ca8b409056d453fb1474f0977"/>
      <w:r>
        <w:t xml:space="preserve">Relationship between transpiration rate and soil water supply</w:t>
      </w:r>
      <w:bookmarkEnd w:id="26"/>
    </w:p>
    <w:p>
      <w:pPr>
        <w:pStyle w:val="FirstParagraph"/>
      </w:pPr>
      <w:r>
        <w:t xml:space="preserve">Single plants were grown in a greenhouse in 5 liters plastic pots and It was sown containing 5 kg of dry commercial Sogemix SM2 (75% Peat Moss, perlite, vermiculite, and limestone). Fertilization was done twice with ammonium nitrate; triple superphosphate and potassium sulphate, one before planting mixed with the substrate and the other applied at the surface at 40 days after planting (dap).</w:t>
      </w:r>
    </w:p>
    <w:p>
      <w:pPr>
        <w:pStyle w:val="BodyText"/>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 and tuber water use efficiency (twue).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twue was used the dry weight from tuber production divide the cumulative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 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content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8" w:name="statistical-analysis"/>
      <w:r>
        <w:t xml:space="preserve">Statistical analysis</w:t>
      </w:r>
      <w:bookmarkEnd w:id="28"/>
    </w:p>
    <w:p>
      <w:pPr>
        <w:pStyle w:val="FirstParagraph"/>
      </w:pPr>
      <w:r>
        <w:t xml:space="preserve">The experiment was carried out in a complete randomize block design with two factors; the irrigation, well water (WW) and water deficit (WD) treatments and fifteen potato genotypes. Each treatment consisted of five replicates with one potato plant for each experimental unit. Statistical analysis and graphs were performed in the statistical software R</w:t>
      </w:r>
      <w:r>
        <w:t xml:space="preserve"> </w:t>
      </w:r>
      <w:r>
        <w:t xml:space="preserve">(R Core Team,</w:t>
      </w:r>
      <w:r>
        <w:t xml:space="preserve"> </w:t>
      </w:r>
      <w:hyperlink w:anchor="ref-R-base">
        <w:r>
          <w:rPr>
            <w:rStyle w:val="Hipervnculo"/>
          </w:rPr>
          <w:t xml:space="preserve">2020</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hierarchical clustering between treatments and genotypes were computed with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29" w:name="result"/>
      <w:r>
        <w:t xml:space="preserve">Result</w:t>
      </w:r>
      <w:bookmarkEnd w:id="29"/>
    </w:p>
    <w:p>
      <w:pPr>
        <w:pStyle w:val="Ttulo2"/>
      </w:pPr>
      <w:bookmarkStart w:id="30" w:name="treatment-application"/>
      <w:r>
        <w:t xml:space="preserve">Treatment application</w:t>
      </w:r>
      <w:bookmarkEnd w:id="30"/>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1" w:name="agro-phisological-traits"/>
      <w:r>
        <w:t xml:space="preserve">Agro-phisological traits</w:t>
      </w:r>
      <w:bookmarkEnd w:id="31"/>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Supplementary table</w:t>
      </w:r>
      <w:r>
        <w:t xml:space="preserve"> </w:t>
      </w:r>
      <w:r>
        <w:t xml:space="preserve">??</w:t>
      </w:r>
      <w:r>
        <w:t xml:space="preserve">.</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wth 53, 65, and 64% respectively, Supplementary table</w:t>
      </w:r>
      <w:r>
        <w:t xml:space="preserve"> </w:t>
      </w:r>
      <w:r>
        <w:t xml:space="preserve">??</w:t>
      </w:r>
      <w:r>
        <w:t xml:space="preserve">.</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2" w:name="yield-components"/>
      <w:r>
        <w:t xml:space="preserve">Yield components</w:t>
      </w:r>
      <w:bookmarkEnd w:id="32"/>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Supplementary table</w:t>
      </w:r>
      <w:r>
        <w:t xml:space="preserve"> </w:t>
      </w:r>
      <w:r>
        <w:t xml:space="preserve">??</w:t>
      </w:r>
      <w:r>
        <w:t xml:space="preserve">.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Water use efficiency (wue) was generally higher in WD than WW plants (p&lt;0.001), Table</w:t>
      </w:r>
      <w:r>
        <w:t xml:space="preserve"> </w:t>
      </w:r>
      <w:r>
        <w:t xml:space="preserve">2</w:t>
      </w:r>
      <w:r>
        <w:t xml:space="preserve">. Under WD treatment, CIP397077.16, CIP398208.620, CIP392797.22 and CIP398190.89 showed the highest wue with 13.06, 12.03, and 11.59 g.L</w:t>
      </w:r>
      <w:r>
        <w:rPr>
          <w:vertAlign w:val="superscript"/>
        </w:rPr>
        <w:t xml:space="preserve">-1</w:t>
      </w:r>
      <w:r>
        <w:t xml:space="preserve">, respectively, Figure</w:t>
      </w:r>
      <w:r>
        <w:t xml:space="preserve"> </w:t>
      </w:r>
      <w:r>
        <w:t xml:space="preserve">2</w:t>
      </w:r>
      <w:r>
        <w:t xml:space="preserve">A. The lowest wue with 8.50 and 9.24 g.L</w:t>
      </w:r>
      <w:r>
        <w:rPr>
          <w:vertAlign w:val="superscript"/>
        </w:rPr>
        <w:t xml:space="preserve">-1</w:t>
      </w:r>
      <w:r>
        <w:t xml:space="preserve"> </w:t>
      </w:r>
      <w:r>
        <w:t xml:space="preserve">were presented by CIP398180.612 and CIP398203.5, respectively. For Tuber Water Use efficiency (twue) there is not difference between treatments (p=0.5), Table</w:t>
      </w:r>
      <w:r>
        <w:t xml:space="preserve"> </w:t>
      </w:r>
      <w:r>
        <w:t xml:space="preserve">2</w:t>
      </w:r>
      <w:r>
        <w:t xml:space="preserve">. The genotypes with better twue under WD were CIP397077.16, CIP392797.22, CIP720088 and CIP398208.620, Figure</w:t>
      </w:r>
      <w:r>
        <w:t xml:space="preserve"> </w:t>
      </w:r>
      <w:r>
        <w:t xml:space="preserve">1</w:t>
      </w:r>
      <w:r>
        <w:t xml:space="preserve"> </w:t>
      </w:r>
      <w:r>
        <w:t xml:space="preserve">and Supplementary table</w:t>
      </w:r>
      <w:r>
        <w:t xml:space="preserve"> </w:t>
      </w:r>
      <w:r>
        <w:t xml:space="preserve">??</w:t>
      </w:r>
      <w:r>
        <w:t xml:space="preserve">.</w:t>
      </w:r>
    </w:p>
    <w:p>
      <w:pPr>
        <w:pStyle w:val="Ttulo2"/>
      </w:pPr>
      <w:bookmarkStart w:id="33" w:name="multivariate-analysis"/>
      <w:r>
        <w:t xml:space="preserve">Multivariate analysis</w:t>
      </w:r>
      <w:bookmarkEnd w:id="33"/>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twue (-0.9) and associated to WW treatment, Figure</w:t>
      </w:r>
      <w:r>
        <w:t xml:space="preserve"> </w:t>
      </w:r>
      <w:r>
        <w:t xml:space="preserve">2</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twue, hi and tdw, traits that are important in the yield component, Figure</w:t>
      </w:r>
      <w:r>
        <w:t xml:space="preserve"> </w:t>
      </w:r>
      <w:r>
        <w:t xml:space="preserve">2</w:t>
      </w:r>
      <w:r>
        <w:t xml:space="preserve">.</w:t>
      </w:r>
    </w:p>
    <w:p>
      <w:pPr>
        <w:pStyle w:val="BodyText"/>
      </w:pPr>
      <w:r>
        <w:t xml:space="preserve">The association between the cluster an the variables shown that the genotypes in the cluster 1 are positive correlated with the spad, rdl and rdw and negative correlated to hi, tdw, twue, sla. The genoytpes in the cluster 2 are positive associated with the hi and negative associated with ldw, tdb, sdw. In the cluster 3 the genotypes are positive correlated at wue, twue and negative correlated for rwc, lop and sla. The cluster 4 positive association with rdw, ldw, lfa, sdw, trs and negative correlated with wue and twue. And the cluster 5 is associated with sla, tdw, rwc, lfa and negative associated with spad and rdw, Figure</w:t>
      </w:r>
      <w:r>
        <w:t xml:space="preserve"> </w:t>
      </w:r>
      <w:r>
        <w:t xml:space="preserve">2</w:t>
      </w:r>
      <w:r>
        <w:t xml:space="preserve">.</w:t>
      </w:r>
    </w:p>
    <w:p>
      <w:pPr>
        <w:pStyle w:val="BodyText"/>
      </w:pPr>
      <w:r>
        <w:t xml:space="preserve">The values of tdb and trs were strongly and positively correlated with 0.93 (P&lt;0.05) with Euclidean distance of 0.91, Figure</w:t>
      </w:r>
      <w:r>
        <w:t xml:space="preserve"> </w:t>
      </w:r>
      <w:r>
        <w:t xml:space="preserve">3</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3</w:t>
      </w:r>
      <w:r>
        <w:t xml:space="preserve">.</w:t>
      </w:r>
    </w:p>
    <w:p>
      <w:pPr>
        <w:pStyle w:val="BodyText"/>
      </w:pPr>
      <w:r>
        <w:t xml:space="preserve">For correlation between hi and twue was strong (r=0.92) with an euclidean distance of 0.68, shown not only a good correlation but also a good association between these two variables, Figure</w:t>
      </w:r>
      <w:r>
        <w:t xml:space="preserve"> </w:t>
      </w:r>
      <w:r>
        <w:t xml:space="preserve">3</w:t>
      </w:r>
      <w:r>
        <w:t xml:space="preserve">. While tuber dry weight (tdw) shown better correlation with hi (r=0.61) and twue (r=0.55) than wue (r=0.05) with a euclidean distance of the traits 4.21, shown low association with tdw, Figure</w:t>
      </w:r>
      <w:r>
        <w:t xml:space="preserve"> </w:t>
      </w:r>
      <w:r>
        <w:t xml:space="preserve">2</w:t>
      </w:r>
      <w:r>
        <w:t xml:space="preserve"> </w:t>
      </w:r>
      <w:r>
        <w:t xml:space="preserve">and Figure</w:t>
      </w:r>
      <w:r>
        <w:t xml:space="preserve"> </w:t>
      </w:r>
      <w:r>
        <w:t xml:space="preserve">3</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assoction between them. Apparently spad measure is sensitive to the detect the drought stress and it is related with the tuber production, Figure</w:t>
      </w:r>
      <w:r>
        <w:t xml:space="preserve"> </w:t>
      </w:r>
      <w:r>
        <w:t xml:space="preserve">2</w:t>
      </w:r>
      <w:r>
        <w:t xml:space="preserve"> </w:t>
      </w:r>
      <w:r>
        <w:t xml:space="preserve">and Figure</w:t>
      </w:r>
      <w:r>
        <w:t xml:space="preserve"> </w:t>
      </w:r>
      <w:r>
        <w:t xml:space="preserve">3</w:t>
      </w:r>
      <w:r>
        <w:t xml:space="preserve">.</w:t>
      </w:r>
    </w:p>
    <w:p>
      <w:pPr>
        <w:pStyle w:val="Ttulo1"/>
      </w:pPr>
      <w:bookmarkStart w:id="34" w:name="dicussion"/>
      <w:r>
        <w:t xml:space="preserve">Dicussion</w:t>
      </w:r>
      <w:bookmarkEnd w:id="34"/>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twue, by absorbing the limited water and nutrients available in the soil without changing have a high reduction in the final yield, Figure</w:t>
      </w:r>
      <w:r>
        <w:t xml:space="preserve"> </w:t>
      </w:r>
      <w:r>
        <w:t xml:space="preserve">2</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Hence, potato genotypes with the ability to maintain low SPAD and high SLA under WD conditions, can maintain higher twue 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We found root dry weight, spad and hi to be good indicators for tuber water use efficient and useful traits for drought tolerance breeding programs Figure</w:t>
      </w:r>
      <w:r>
        <w:t xml:space="preserve"> </w:t>
      </w:r>
      <w:r>
        <w:t xml:space="preserve">2</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It is important to remember that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Payne et al. (1995) found that N uptake was linearly related to plant transpiration, and that about twice as much N is taken up per kg of transpiration in water-stressed plants than in non-water-stressed plants. In our study, we found that CIP397077.16 and CIP398208.620 could maintain turgor, which, combined with the reduction of SLA, helped them to conserve water. Additionally, increased amounts of RWC under WD treatment in CIP720088 may have been the result of higher stomata conductivity, since the root length of CIP720088 in WW and WD treated plants were comparable (Figure 3a).</w:t>
      </w:r>
    </w:p>
    <w:p>
      <w:pPr>
        <w:pStyle w:val="BodyText"/>
      </w:pPr>
      <w:r>
        <w:t xml:space="preserve">The strong correlation between WUE in this experiment and tuber yield (r = 0 .78, p &lt; .001) indicates direct association between them, and at the same time, reflected the conservative relationship between biomass production and WUE through a range of limited soil water availability. Reduced stomatal conductance can constrain the diffusion of CO2 for photosynthesis, and accordingly the average total biomass in the WD treatment was significantly lower than that of the corresponding genotypes in WW treatment. Different studies have measured WUE at the leaf, whole plant, and crop levels (Guoju et al. 2013; Hochman et al. 2009) and have found no significant differences at plant or crop levels (Deblonde et al. 1999). In this study, WUE is considered a critical trait that can affect yield and its increase can lead a plant to tolerate or avoid water deficit conditions.</w:t>
      </w:r>
    </w:p>
    <w:p>
      <w:pPr>
        <w:pStyle w:val="BodyText"/>
      </w:pPr>
      <w:r>
        <w:t xml:space="preserve">This ratio is called harvest index (H) and has been found to be relatively stable for a particular cultivar over a fairly wide range of conditions (Donald and Hamblin 1976).</w:t>
      </w:r>
    </w:p>
    <w:p>
      <w:pPr>
        <w:pStyle w:val="BodyText"/>
      </w:pPr>
      <w:r>
        <w:t xml:space="preserve">Evans (1980) suggested that one of the main variables for yield increases seen to date has been increases in harvest index.</w:t>
      </w:r>
    </w:p>
    <w:p>
      <w:pPr>
        <w:pStyle w:val="BodyText"/>
      </w:pPr>
      <w:r>
        <w:t xml:space="preserve">Evans (1980) further suggested that additional large increases in harvest indices are unlikely. Therefore, further increases in water-use efficiency based on marketable yield are not likely from increasesin the harvest index.</w:t>
      </w:r>
    </w:p>
    <w:p>
      <w:pPr>
        <w:pStyle w:val="BodyText"/>
      </w:pPr>
      <w:r>
        <w:t xml:space="preserve">Passioura (1977) and Fischer (1979) have argued that obtaining high harvest indexes underwater-limitedconditions is especially importantin obtaining high water-use efficiencies.</w:t>
      </w:r>
    </w:p>
    <w:p>
      <w:pPr>
        <w:pStyle w:val="BodyText"/>
      </w:pPr>
      <w:r>
        <w:t xml:space="preserve">Passioura (1977) proposed that cereals for water-limited environments be developed with roots with restricted water uptake rates. Again, such an alteration would, in principle, conserve water during vegetative growth leaving more soil waterfor extraction during grain development. The key aspect of both strategies is that sustained reproductive growth is essential for a high harvest index.</w:t>
      </w:r>
    </w:p>
    <w:p>
      <w:pPr>
        <w:pStyle w:val="BodyText"/>
      </w:pPr>
      <w:r>
        <w:t xml:space="preserve">However, a deeper and more extensive rooting system may have drawbacks. A greater root biomass would almost surely result in lowered harvest index (in potato can be advantage?)</w:t>
      </w:r>
    </w:p>
    <w:p>
      <w:pPr>
        <w:pStyle w:val="BodyText"/>
      </w:pPr>
      <w:r>
        <w:t xml:space="preserve">Improved harvest index. As illustrated in equations(7) and(9) improvements in harvest index result directly in increased water-use efficiency. The difficulty is that for many crops it appears that further substantial improvements in harvest index are unlikely.</w:t>
      </w:r>
    </w:p>
    <w:p>
      <w:pPr>
        <w:pStyle w:val="BodyText"/>
      </w:pPr>
      <w:r>
        <w:t xml:space="preserve">SPAD measurements of the leaf were used as an indicator of nitrogen status and leaf senescence.</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Ttulo1"/>
      </w:pPr>
      <w:bookmarkStart w:id="35" w:name="conclusions"/>
      <w:r>
        <w:t xml:space="preserve">Conclusions</w:t>
      </w:r>
      <w:bookmarkEnd w:id="35"/>
    </w:p>
    <w:p>
      <w:pPr>
        <w:pStyle w:val="Ttulo1"/>
      </w:pPr>
      <w:bookmarkStart w:id="36" w:name="acknowledgments"/>
      <w:r>
        <w:t xml:space="preserve">Acknowledgments</w:t>
      </w:r>
      <w:bookmarkEnd w:id="36"/>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7" w:name="references"/>
      <w:r>
        <w:t xml:space="preserve">References</w:t>
      </w:r>
      <w:bookmarkEnd w:id="37"/>
    </w:p>
    <w:bookmarkStart w:id="84" w:name="refs"/>
    <w:bookmarkStart w:id="39"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38">
        <w:r>
          <w:rPr>
            <w:rStyle w:val="Hipervnculo"/>
          </w:rPr>
          <w:t xml:space="preserve">https://doi.org/10.1007/s00299-007-0406-8</w:t>
        </w:r>
      </w:hyperlink>
    </w:p>
    <w:bookmarkEnd w:id="39"/>
    <w:bookmarkStart w:id="41"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0">
        <w:r>
          <w:rPr>
            <w:rStyle w:val="Hipervnculo"/>
          </w:rPr>
          <w:t xml:space="preserve">https://doi.org/10.1071/AR05069</w:t>
        </w:r>
      </w:hyperlink>
    </w:p>
    <w:bookmarkEnd w:id="41"/>
    <w:bookmarkStart w:id="43"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2">
        <w:r>
          <w:rPr>
            <w:rStyle w:val="Hipervnculo"/>
          </w:rPr>
          <w:t xml:space="preserve">https://doi.org/10.1071/FP11101</w:t>
        </w:r>
      </w:hyperlink>
    </w:p>
    <w:bookmarkEnd w:id="43"/>
    <w:bookmarkStart w:id="45"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44">
        <w:r>
          <w:rPr>
            <w:rStyle w:val="Hipervnculo"/>
          </w:rPr>
          <w:t xml:space="preserve">https://doi.org/10.1016/j.fcr.2014.03.021</w:t>
        </w:r>
      </w:hyperlink>
    </w:p>
    <w:bookmarkEnd w:id="45"/>
    <w:bookmarkStart w:id="46"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46"/>
    <w:bookmarkStart w:id="48"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7">
        <w:r>
          <w:rPr>
            <w:rStyle w:val="Hipervnculo"/>
          </w:rPr>
          <w:t xml:space="preserve">https://doi.org/10.1007/BF02407559</w:t>
        </w:r>
      </w:hyperlink>
    </w:p>
    <w:bookmarkEnd w:id="48"/>
    <w:bookmarkStart w:id="50"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49">
        <w:r>
          <w:rPr>
            <w:rStyle w:val="Hipervnculo"/>
          </w:rPr>
          <w:t xml:space="preserve">https://doi.org/10.1016/S1161-0301(00)00081-2</w:t>
        </w:r>
      </w:hyperlink>
    </w:p>
    <w:bookmarkEnd w:id="50"/>
    <w:bookmarkStart w:id="5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1">
        <w:r>
          <w:rPr>
            <w:rStyle w:val="Hipervnculo"/>
          </w:rPr>
          <w:t xml:space="preserve">https://CRAN.R-project.org/package=agricolae</w:t>
        </w:r>
      </w:hyperlink>
    </w:p>
    <w:bookmarkEnd w:id="52"/>
    <w:bookmarkStart w:id="54"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3">
        <w:r>
          <w:rPr>
            <w:rStyle w:val="Hipervnculo"/>
          </w:rPr>
          <w:t xml:space="preserve">https://doi.org/10.1093/bioinformatics/btx657</w:t>
        </w:r>
      </w:hyperlink>
    </w:p>
    <w:bookmarkEnd w:id="54"/>
    <w:bookmarkStart w:id="56"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55">
        <w:r>
          <w:rPr>
            <w:rStyle w:val="Hipervnculo"/>
          </w:rPr>
          <w:t xml:space="preserve">https://doi.org/10.1071/CP09064</w:t>
        </w:r>
      </w:hyperlink>
    </w:p>
    <w:bookmarkEnd w:id="56"/>
    <w:bookmarkStart w:id="58"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7">
        <w:r>
          <w:rPr>
            <w:rStyle w:val="Hipervnculo"/>
          </w:rPr>
          <w:t xml:space="preserve">https://CRAN.R-project.org/package=FactoMineR</w:t>
        </w:r>
      </w:hyperlink>
    </w:p>
    <w:bookmarkEnd w:id="58"/>
    <w:bookmarkStart w:id="60"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59">
        <w:r>
          <w:rPr>
            <w:rStyle w:val="Hipervnculo"/>
          </w:rPr>
          <w:t xml:space="preserve">https://doi.org/10.18637/jss.v025.i01</w:t>
        </w:r>
      </w:hyperlink>
    </w:p>
    <w:bookmarkEnd w:id="60"/>
    <w:bookmarkStart w:id="62"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61">
        <w:r>
          <w:rPr>
            <w:rStyle w:val="Hipervnculo"/>
          </w:rPr>
          <w:t xml:space="preserve">https://doi.org/10.1111/1440-1703.1275</w:t>
        </w:r>
      </w:hyperlink>
    </w:p>
    <w:bookmarkEnd w:id="62"/>
    <w:bookmarkStart w:id="64"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63">
        <w:r>
          <w:rPr>
            <w:rStyle w:val="Hipervnculo"/>
          </w:rPr>
          <w:t xml:space="preserve">https://doi.org/10.1016/S0098-8472(03)00019-4</w:t>
        </w:r>
      </w:hyperlink>
    </w:p>
    <w:bookmarkEnd w:id="64"/>
    <w:bookmarkStart w:id="66"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65">
        <w:r>
          <w:rPr>
            <w:rStyle w:val="Hipervnculo"/>
          </w:rPr>
          <w:t xml:space="preserve">https://doi.org/10.1093/jxb/49.325.1381</w:t>
        </w:r>
      </w:hyperlink>
    </w:p>
    <w:bookmarkEnd w:id="66"/>
    <w:bookmarkStart w:id="68" w:name="ref-R-base"/>
    <w:p>
      <w:pPr>
        <w:pStyle w:val="Bibliografa"/>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67">
        <w:r>
          <w:rPr>
            <w:rStyle w:val="Hipervnculo"/>
          </w:rPr>
          <w:t xml:space="preserve">https://www.R-project.org/</w:t>
        </w:r>
      </w:hyperlink>
    </w:p>
    <w:bookmarkEnd w:id="68"/>
    <w:bookmarkStart w:id="70"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69">
        <w:r>
          <w:rPr>
            <w:rStyle w:val="Hipervnculo"/>
          </w:rPr>
          <w:t xml:space="preserve">https://doi.org/10.1071/PP9860329</w:t>
        </w:r>
      </w:hyperlink>
    </w:p>
    <w:bookmarkEnd w:id="70"/>
    <w:bookmarkStart w:id="72"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71">
        <w:r>
          <w:rPr>
            <w:rStyle w:val="Hipervnculo"/>
          </w:rPr>
          <w:t xml:space="preserve">https://doi.org/10.2307/1309424</w:t>
        </w:r>
      </w:hyperlink>
    </w:p>
    <w:bookmarkEnd w:id="72"/>
    <w:bookmarkStart w:id="74"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73">
        <w:r>
          <w:rPr>
            <w:rStyle w:val="Hipervnculo"/>
          </w:rPr>
          <w:t xml:space="preserve">https://doi.org/10.1007/s12230-012-9285-9</w:t>
        </w:r>
      </w:hyperlink>
    </w:p>
    <w:bookmarkEnd w:id="74"/>
    <w:bookmarkStart w:id="76"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75">
        <w:r>
          <w:rPr>
            <w:rStyle w:val="Hipervnculo"/>
          </w:rPr>
          <w:t xml:space="preserve">https://doi.org/10.2134/agronj2008.0079x</w:t>
        </w:r>
      </w:hyperlink>
    </w:p>
    <w:bookmarkEnd w:id="76"/>
    <w:bookmarkStart w:id="78"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77">
        <w:r>
          <w:rPr>
            <w:rStyle w:val="Hipervnculo"/>
          </w:rPr>
          <w:t xml:space="preserve">https://doi.org/10.1017/S0021859600072713</w:t>
        </w:r>
      </w:hyperlink>
    </w:p>
    <w:bookmarkEnd w:id="78"/>
    <w:bookmarkStart w:id="80"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79">
        <w:r>
          <w:rPr>
            <w:rStyle w:val="Hipervnculo"/>
          </w:rPr>
          <w:t xml:space="preserve">https://doi.org/10.3389/fphys.2012.00347</w:t>
        </w:r>
      </w:hyperlink>
    </w:p>
    <w:bookmarkEnd w:id="80"/>
    <w:bookmarkStart w:id="82"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81">
        <w:r>
          <w:rPr>
            <w:rStyle w:val="Hipervnculo"/>
          </w:rPr>
          <w:t xml:space="preserve">https://doi.org/10.1093/jxb/ern073</w:t>
        </w:r>
      </w:hyperlink>
    </w:p>
    <w:bookmarkEnd w:id="82"/>
    <w:bookmarkStart w:id="83"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p>
    <w:bookmarkEnd w:id="83"/>
    <w:bookmarkEnd w:id="84"/>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List of variables measured in 15 potato genotypes under well-watered (WW) and water deficit (WD) treatment. Where: Tuber dry weight (TDW), tuber number (NTUB), root dry weight (RWD), leaf area (LFA), harvest index (HI), tuber water use efficency (TWUE).</w:t>
      </w:r>
    </w:p>
    <w:tbl>
      <w:tblPr>
        <w:tblStyle w:val="Table"/>
        <w:tblW w:type="pct" w:w="0.0"/>
        <w:tblLook w:firstRow="1"/>
        <w:tblCaption w:val="Table 2: List of variables measured in 15 potato genotypes under well-watered (WW) and water deficit (WD) treatment. Where: Tuber dry weight (TDW), tuber number (NTUB), root dry weight (RWD), leaf area (LFA), harvest index (HI), tuber water use efficency (TWUE)."/>
      </w:tblPr>
      <w:tblGrid/>
      <w:tr>
        <w:trPr>
          <w:cnfStyle w:firstRow="1"/>
        </w:trPr>
        <w:tc>
          <w:tcPr>
            <w:tcBorders>
              <w:bottom w:val="single"/>
            </w:tcBorders>
            <w:vAlign w:val="bottom"/>
          </w:tcPr>
          <w:p>
            <w:pPr>
              <w:pStyle w:val="Compact"/>
              <w:jc w:val="left"/>
            </w:pPr>
            <w:r>
              <w:rPr>
                <w:b/>
              </w:rPr>
              <w:t xml:space="preserve">Characteristic</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twue</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Soil transpiration fraction and transpiration during the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85"/>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Soil transpiration fraction and transpiration during the experiment</w:t>
      </w:r>
    </w:p>
    <w:p>
      <w:r>
        <w:br w:type="page"/>
      </w:r>
    </w:p>
    <w:p>
      <w:pPr>
        <w:pStyle w:val="CaptionedFigure"/>
      </w:pPr>
      <w:r>
        <w:drawing>
          <wp:inline>
            <wp:extent cx="5504749" cy="3403769"/>
            <wp:effectExtent b="0" l="0" r="0" t="0"/>
            <wp:docPr descr="Figure 2: Principal component analysis" title="" id="1" name="Picture"/>
            <a:graphic>
              <a:graphicData uri="http://schemas.openxmlformats.org/drawingml/2006/picture">
                <pic:pic>
                  <pic:nvPicPr>
                    <pic:cNvPr descr="files/fig_mv.png" id="0" name="Picture"/>
                    <pic:cNvPicPr>
                      <a:picLocks noChangeArrowheads="1" noChangeAspect="1"/>
                    </pic:cNvPicPr>
                  </pic:nvPicPr>
                  <pic:blipFill>
                    <a:blip r:embed="rId8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2: Principal component analysis</w:t>
      </w:r>
    </w:p>
    <w:p>
      <w:r>
        <w:br w:type="page"/>
      </w:r>
    </w:p>
    <w:p>
      <w:pPr>
        <w:pStyle w:val="CaptionedFigure"/>
      </w:pPr>
      <w:r>
        <w:drawing>
          <wp:inline>
            <wp:extent cx="5969000" cy="4263571"/>
            <wp:effectExtent b="0" l="0" r="0" t="0"/>
            <wp:docPr descr="Figure 3: Correlation analysis" title="" id="1" name="Picture"/>
            <a:graphic>
              <a:graphicData uri="http://schemas.openxmlformats.org/drawingml/2006/picture">
                <pic:pic>
                  <pic:nvPicPr>
                    <pic:cNvPr descr="files/fig_cor.png" id="0" name="Picture"/>
                    <pic:cNvPicPr>
                      <a:picLocks noChangeArrowheads="1" noChangeAspect="1"/>
                    </pic:cNvPicPr>
                  </pic:nvPicPr>
                  <pic:blipFill>
                    <a:blip r:embed="rId8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3: Correlation analysis</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87" Target="media/rId87.png" /><Relationship Type="http://schemas.openxmlformats.org/officeDocument/2006/relationships/image" Id="rId86" Target="media/rId86.png" /><Relationship Type="http://schemas.openxmlformats.org/officeDocument/2006/relationships/image" Id="rId85" Target="media/rId85.png" /><Relationship Type="http://schemas.openxmlformats.org/officeDocument/2006/relationships/hyperlink" Id="rId57"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38" Target="https://doi.org/10.1007/s00299-007-0406-8" TargetMode="External" /><Relationship Type="http://schemas.openxmlformats.org/officeDocument/2006/relationships/hyperlink" Id="rId73" Target="https://doi.org/10.1007/s12230-012-9285-9" TargetMode="External" /><Relationship Type="http://schemas.openxmlformats.org/officeDocument/2006/relationships/hyperlink" Id="rId63"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44" Target="https://doi.org/10.1016/j.fcr.2014.03.021" TargetMode="External" /><Relationship Type="http://schemas.openxmlformats.org/officeDocument/2006/relationships/hyperlink" Id="rId77" Target="https://doi.org/10.1017/S0021859600072713" TargetMode="External" /><Relationship Type="http://schemas.openxmlformats.org/officeDocument/2006/relationships/hyperlink" Id="rId40" Target="https://doi.org/10.1071/AR05069" TargetMode="External" /><Relationship Type="http://schemas.openxmlformats.org/officeDocument/2006/relationships/hyperlink" Id="rId55" Target="https://doi.org/10.1071/CP09064" TargetMode="External" /><Relationship Type="http://schemas.openxmlformats.org/officeDocument/2006/relationships/hyperlink" Id="rId42" Target="https://doi.org/10.1071/FP11101" TargetMode="External" /><Relationship Type="http://schemas.openxmlformats.org/officeDocument/2006/relationships/hyperlink" Id="rId69" Target="https://doi.org/10.1071/PP9860329" TargetMode="External" /><Relationship Type="http://schemas.openxmlformats.org/officeDocument/2006/relationships/hyperlink" Id="rId53" Target="https://doi.org/10.1093/bioinformatics/btx657" TargetMode="External" /><Relationship Type="http://schemas.openxmlformats.org/officeDocument/2006/relationships/hyperlink" Id="rId65" Target="https://doi.org/10.1093/jxb/49.325.1381" TargetMode="External" /><Relationship Type="http://schemas.openxmlformats.org/officeDocument/2006/relationships/hyperlink" Id="rId81" Target="https://doi.org/10.1093/jxb/ern073" TargetMode="External" /><Relationship Type="http://schemas.openxmlformats.org/officeDocument/2006/relationships/hyperlink" Id="rId61" Target="https://doi.org/10.1111/1440-1703.1275" TargetMode="External" /><Relationship Type="http://schemas.openxmlformats.org/officeDocument/2006/relationships/hyperlink" Id="rId59" Target="https://doi.org/10.18637/jss.v025.i01" TargetMode="External" /><Relationship Type="http://schemas.openxmlformats.org/officeDocument/2006/relationships/hyperlink" Id="rId75" Target="https://doi.org/10.2134/agronj2008.0079x" TargetMode="External" /><Relationship Type="http://schemas.openxmlformats.org/officeDocument/2006/relationships/hyperlink" Id="rId71" Target="https://doi.org/10.2307/1309424" TargetMode="External" /><Relationship Type="http://schemas.openxmlformats.org/officeDocument/2006/relationships/hyperlink" Id="rId79" Target="https://doi.org/10.3389/fphys.2012.00347" TargetMode="External" /><Relationship Type="http://schemas.openxmlformats.org/officeDocument/2006/relationships/hyperlink" Id="rId67"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38" Target="https://doi.org/10.1007/s00299-007-0406-8" TargetMode="External" /><Relationship Type="http://schemas.openxmlformats.org/officeDocument/2006/relationships/hyperlink" Id="rId73" Target="https://doi.org/10.1007/s12230-012-9285-9" TargetMode="External" /><Relationship Type="http://schemas.openxmlformats.org/officeDocument/2006/relationships/hyperlink" Id="rId63"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44" Target="https://doi.org/10.1016/j.fcr.2014.03.021" TargetMode="External" /><Relationship Type="http://schemas.openxmlformats.org/officeDocument/2006/relationships/hyperlink" Id="rId77" Target="https://doi.org/10.1017/S0021859600072713" TargetMode="External" /><Relationship Type="http://schemas.openxmlformats.org/officeDocument/2006/relationships/hyperlink" Id="rId40" Target="https://doi.org/10.1071/AR05069" TargetMode="External" /><Relationship Type="http://schemas.openxmlformats.org/officeDocument/2006/relationships/hyperlink" Id="rId55" Target="https://doi.org/10.1071/CP09064" TargetMode="External" /><Relationship Type="http://schemas.openxmlformats.org/officeDocument/2006/relationships/hyperlink" Id="rId42" Target="https://doi.org/10.1071/FP11101" TargetMode="External" /><Relationship Type="http://schemas.openxmlformats.org/officeDocument/2006/relationships/hyperlink" Id="rId69" Target="https://doi.org/10.1071/PP9860329" TargetMode="External" /><Relationship Type="http://schemas.openxmlformats.org/officeDocument/2006/relationships/hyperlink" Id="rId53" Target="https://doi.org/10.1093/bioinformatics/btx657" TargetMode="External" /><Relationship Type="http://schemas.openxmlformats.org/officeDocument/2006/relationships/hyperlink" Id="rId65" Target="https://doi.org/10.1093/jxb/49.325.1381" TargetMode="External" /><Relationship Type="http://schemas.openxmlformats.org/officeDocument/2006/relationships/hyperlink" Id="rId81" Target="https://doi.org/10.1093/jxb/ern073" TargetMode="External" /><Relationship Type="http://schemas.openxmlformats.org/officeDocument/2006/relationships/hyperlink" Id="rId61" Target="https://doi.org/10.1111/1440-1703.1275" TargetMode="External" /><Relationship Type="http://schemas.openxmlformats.org/officeDocument/2006/relationships/hyperlink" Id="rId59" Target="https://doi.org/10.18637/jss.v025.i01" TargetMode="External" /><Relationship Type="http://schemas.openxmlformats.org/officeDocument/2006/relationships/hyperlink" Id="rId75" Target="https://doi.org/10.2134/agronj2008.0079x" TargetMode="External" /><Relationship Type="http://schemas.openxmlformats.org/officeDocument/2006/relationships/hyperlink" Id="rId71" Target="https://doi.org/10.2307/1309424" TargetMode="External" /><Relationship Type="http://schemas.openxmlformats.org/officeDocument/2006/relationships/hyperlink" Id="rId79" Target="https://doi.org/10.3389/fphys.2012.00347" TargetMode="External" /><Relationship Type="http://schemas.openxmlformats.org/officeDocument/2006/relationships/hyperlink" Id="rId67"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2020-03-09T12:27:02Z</dcterms:created>
  <dcterms:modified xsi:type="dcterms:W3CDTF">2020-03-09T12:27:02Z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