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7.png" ContentType="image/png"/>
  <Override PartName="/word/media/rId86.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list-of-abbreviations"/>
      <w:r>
        <w:t xml:space="preserve">List of abbreviations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Plant 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Root length</w:t>
            </w:r>
          </w:p>
        </w:tc>
        <w:tc>
          <w:p>
            <w:pPr>
              <w:pStyle w:val="Compact"/>
              <w:jc w:val="left"/>
            </w:pPr>
            <w:r>
              <w:t xml:space="preserve">rdl</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tulo1"/>
      </w:pPr>
      <w:bookmarkStart w:id="22" w:name="abstract"/>
      <w:r>
        <w:t xml:space="preserve">Abstract</w:t>
      </w:r>
      <w:bookmarkEnd w:id="22"/>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 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(twue). We also found correlation between hi and twue 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3" w:name="introduction"/>
      <w:r>
        <w:t xml:space="preserve">Introduction</w:t>
      </w:r>
      <w:bookmarkEnd w:id="23"/>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BodyText"/>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fifteen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Ttulo1"/>
      </w:pPr>
      <w:bookmarkStart w:id="24" w:name="materials-and-methods"/>
      <w:r>
        <w:t xml:space="preserve">Materials and Methods</w:t>
      </w:r>
      <w:bookmarkEnd w:id="24"/>
    </w:p>
    <w:p>
      <w:pPr>
        <w:pStyle w:val="Ttulo2"/>
      </w:pPr>
      <w:bookmarkStart w:id="25" w:name="plant-material-and-experimental-design"/>
      <w:r>
        <w:t xml:space="preserve">Plant material and experimental design</w:t>
      </w:r>
      <w:bookmarkEnd w:id="25"/>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w:t>
      </w:r>
    </w:p>
    <w:p>
      <w:pPr>
        <w:pStyle w:val="Ttulo2"/>
      </w:pPr>
      <w:bookmarkStart w:id="26" w:name="Xb2a003cd5eb9a7ca8b409056d453fb1474f0977"/>
      <w:r>
        <w:t xml:space="preserve">Relationship between transpiration rate and soil water supply</w:t>
      </w:r>
      <w:bookmarkEnd w:id="26"/>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content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8" w:name="statistical-analysis"/>
      <w:r>
        <w:t xml:space="preserve">Statistical analysis</w:t>
      </w:r>
      <w:bookmarkEnd w:id="28"/>
    </w:p>
    <w:p>
      <w:pPr>
        <w:pStyle w:val="FirstParagraph"/>
      </w:pPr>
      <w:r>
        <w:t xml:space="preserve">The experiment was carried out in a complete randomize block design with two factors; the irrigation,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hierarchical clustering between treatments and genotypes were computed with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29" w:name="result"/>
      <w:r>
        <w:t xml:space="preserve">Result</w:t>
      </w:r>
      <w:bookmarkEnd w:id="29"/>
    </w:p>
    <w:p>
      <w:pPr>
        <w:pStyle w:val="Ttulo2"/>
      </w:pPr>
      <w:bookmarkStart w:id="30" w:name="treatment-application"/>
      <w:r>
        <w:t xml:space="preserve">Treatment application</w:t>
      </w:r>
      <w:bookmarkEnd w:id="30"/>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8 days after not water irrigation, Figure</w:t>
      </w:r>
      <w:r>
        <w:t xml:space="preserve"> </w:t>
      </w:r>
      <w:r>
        <w:t xml:space="preserve">1</w:t>
      </w:r>
      <w:r>
        <w:t xml:space="preserve">B.</w:t>
      </w:r>
    </w:p>
    <w:p>
      <w:pPr>
        <w:pStyle w:val="Ttulo2"/>
      </w:pPr>
      <w:bookmarkStart w:id="31" w:name="agro-phisological-traits"/>
      <w:r>
        <w:t xml:space="preserve">Agro-phisological traits</w:t>
      </w:r>
      <w:bookmarkEnd w:id="31"/>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Supplementary table</w:t>
      </w:r>
      <w:r>
        <w:t xml:space="preserve"> </w:t>
      </w:r>
      <w:r>
        <w:t xml:space="preserve">??</w:t>
      </w:r>
      <w:r>
        <w:t xml:space="preserve">.</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wth 53, 65, and 64% respectively, Supplementary table</w:t>
      </w:r>
      <w:r>
        <w:t xml:space="preserve"> </w:t>
      </w:r>
      <w:r>
        <w:t xml:space="preserve">??</w:t>
      </w:r>
      <w:r>
        <w:t xml:space="preserve">.</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2" w:name="yield-components"/>
      <w:r>
        <w:t xml:space="preserve">Yield components</w:t>
      </w:r>
      <w:bookmarkEnd w:id="32"/>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Supplementary table</w:t>
      </w:r>
      <w:r>
        <w:t xml:space="preserve"> </w:t>
      </w:r>
      <w:r>
        <w:t xml:space="preserve">??</w:t>
      </w:r>
      <w:r>
        <w:t xml:space="preserve">.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Water use efficiency (wue) was generally higher in WD than WW plants (p&lt;0.001), Table</w:t>
      </w:r>
      <w:r>
        <w:t xml:space="preserve"> </w:t>
      </w:r>
      <w:r>
        <w:t xml:space="preserve">2</w:t>
      </w:r>
      <w:r>
        <w:t xml:space="preserve">. Under WD treatment, CIP397077.16, CIP398208.620, CIP392797.22 and CIP398190.89 showed the highest wue with 13.06, 12.03, and 11.59 g.L</w:t>
      </w:r>
      <w:r>
        <w:rPr>
          <w:vertAlign w:val="superscript"/>
        </w:rPr>
        <w:t xml:space="preserve">-1</w:t>
      </w:r>
      <w:r>
        <w:t xml:space="preserve">, respectively, Figure</w:t>
      </w:r>
      <w:r>
        <w:t xml:space="preserve"> </w:t>
      </w:r>
      <w:r>
        <w:t xml:space="preserve">2</w:t>
      </w:r>
      <w:r>
        <w:t xml:space="preserve">A. The lowest wue with 8.50 and 9.24 g.L</w:t>
      </w:r>
      <w:r>
        <w:rPr>
          <w:vertAlign w:val="superscript"/>
        </w:rPr>
        <w:t xml:space="preserve">-1</w:t>
      </w:r>
      <w:r>
        <w:t xml:space="preserve"> </w:t>
      </w:r>
      <w:r>
        <w:t xml:space="preserve">were presented by CIP398180.612 and CIP398203.5, respectively. For Tuber Water Use efficiency (twue) there is not difference between treatments (p=0.5), Table</w:t>
      </w:r>
      <w:r>
        <w:t xml:space="preserve"> </w:t>
      </w:r>
      <w:r>
        <w:t xml:space="preserve">2</w:t>
      </w:r>
      <w:r>
        <w:t xml:space="preserve">. The genotypes with better twue under WD were CIP397077.16, CIP392797.22, CIP720088 and CIP398208.620, Figure</w:t>
      </w:r>
      <w:r>
        <w:t xml:space="preserve"> </w:t>
      </w:r>
      <w:r>
        <w:t xml:space="preserve">1</w:t>
      </w:r>
      <w:r>
        <w:t xml:space="preserve"> </w:t>
      </w:r>
      <w:r>
        <w:t xml:space="preserve">and Supplementary table</w:t>
      </w:r>
      <w:r>
        <w:t xml:space="preserve"> </w:t>
      </w:r>
      <w:r>
        <w:t xml:space="preserve">??</w:t>
      </w:r>
      <w:r>
        <w:t xml:space="preserve">.</w:t>
      </w:r>
    </w:p>
    <w:p>
      <w:pPr>
        <w:pStyle w:val="Ttulo2"/>
      </w:pPr>
      <w:bookmarkStart w:id="33" w:name="multivariate-analysis"/>
      <w:r>
        <w:t xml:space="preserve">Multivariate analysis</w:t>
      </w:r>
      <w:bookmarkEnd w:id="33"/>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twue (-0.9) and associated to WW treatment, Figure</w:t>
      </w:r>
      <w:r>
        <w:t xml:space="preserve"> </w:t>
      </w:r>
      <w:r>
        <w:t xml:space="preserve">2</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twue, hi and tdw, traits that are important in the yield component, Figure</w:t>
      </w:r>
      <w:r>
        <w:t xml:space="preserve"> </w:t>
      </w:r>
      <w:r>
        <w:t xml:space="preserve">2</w:t>
      </w:r>
      <w:r>
        <w:t xml:space="preserve">.</w:t>
      </w:r>
    </w:p>
    <w:p>
      <w:pPr>
        <w:pStyle w:val="BodyText"/>
      </w:pPr>
      <w:r>
        <w:t xml:space="preserve">The association between the cluster an the variables shown that the genotypes in the cluster 1 are positive correlated with the spad, rdl and rdw and negative correlated to hi, tdw, twue, sla. The genoytpes in the cluster 2 are positive associated with the hi and negative associated with ldw, tdb, sdw. In the cluster 3 the genotypes are positive correlated at wue, twue and negative correlated for rwc, lop and sla. The cluster 4 positive association with rdw, ldw, lfa, sdw, trs and negative correlated with wue and twue. And the cluster 5 is associated with sla, tdw, rwc, lfa and negative associated with spad and rdw, Figure</w:t>
      </w:r>
      <w:r>
        <w:t xml:space="preserve"> </w:t>
      </w:r>
      <w:r>
        <w:t xml:space="preserve">2</w:t>
      </w:r>
      <w:r>
        <w:t xml:space="preserve">.</w:t>
      </w:r>
    </w:p>
    <w:p>
      <w:pPr>
        <w:pStyle w:val="BodyText"/>
      </w:pPr>
      <w:r>
        <w:t xml:space="preserve">The values of tdb and trs were strongly and positively correlated with 0.93 (P&lt;0.05) with Euclidean distance of 0.91, Figure</w:t>
      </w:r>
      <w:r>
        <w:t xml:space="preserve"> </w:t>
      </w:r>
      <w:r>
        <w:t xml:space="preserve">3</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3</w:t>
      </w:r>
      <w:r>
        <w:t xml:space="preserve">.</w:t>
      </w:r>
    </w:p>
    <w:p>
      <w:pPr>
        <w:pStyle w:val="BodyText"/>
      </w:pPr>
      <w:r>
        <w:t xml:space="preserve">For correlation between hi and twue was strong (r=0.92) with an euclidean distance of 0.68, shown not only a good correlation but also a good association between these two variables, Figure</w:t>
      </w:r>
      <w:r>
        <w:t xml:space="preserve"> </w:t>
      </w:r>
      <w:r>
        <w:t xml:space="preserve">3</w:t>
      </w:r>
      <w:r>
        <w:t xml:space="preserve">. While tuber dry weight (tdw) shown better correlation with hi (r=0.61) and twue (r=0.55) than wue (r=0.05) with a euclidean distance of the traits 4.21, shown low association with tdw, Figure</w:t>
      </w:r>
      <w:r>
        <w:t xml:space="preserve"> </w:t>
      </w:r>
      <w:r>
        <w:t xml:space="preserve">2</w:t>
      </w:r>
      <w:r>
        <w:t xml:space="preserve"> </w:t>
      </w:r>
      <w:r>
        <w:t xml:space="preserve">and Figure</w:t>
      </w:r>
      <w:r>
        <w:t xml:space="preserve"> </w:t>
      </w:r>
      <w:r>
        <w:t xml:space="preserve">3</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2</w:t>
      </w:r>
      <w:r>
        <w:t xml:space="preserve"> </w:t>
      </w:r>
      <w:r>
        <w:t xml:space="preserve">and Figure</w:t>
      </w:r>
      <w:r>
        <w:t xml:space="preserve"> </w:t>
      </w:r>
      <w:r>
        <w:t xml:space="preserve">3</w:t>
      </w:r>
      <w:r>
        <w:t xml:space="preserve">.</w:t>
      </w:r>
    </w:p>
    <w:p>
      <w:pPr>
        <w:pStyle w:val="Ttulo1"/>
      </w:pPr>
      <w:bookmarkStart w:id="34" w:name="dicussion"/>
      <w:r>
        <w:t xml:space="preserve">Dicussion</w:t>
      </w:r>
      <w:bookmarkEnd w:id="34"/>
    </w:p>
    <w:p>
      <w:pPr>
        <w:pStyle w:val="FirstParagraph"/>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twue, by absorbing the limited water and nutrients available in the soil without changing have a high reduction in the final yield, Figure</w:t>
      </w:r>
      <w:r>
        <w:t xml:space="preserve"> </w:t>
      </w:r>
      <w:r>
        <w:t xml:space="preserve">2</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twue 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2</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twue and hi than wue indicates direct association between them, and at the same time, reflected the conservative relationship between biomass production and wue through a range of limited soil water availability. We found root dry weight, spad and hi to be good indicators for tuber water use efficient and useful traits for drought tolerance breeding programs, Figure</w:t>
      </w:r>
      <w:r>
        <w:t xml:space="preserve"> </w:t>
      </w:r>
      <w:r>
        <w:t xml:space="preserve">2</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 (in potato can be advantage?</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Ttulo1"/>
      </w:pPr>
      <w:bookmarkStart w:id="35" w:name="conclusions"/>
      <w:r>
        <w:t xml:space="preserve">Conclusions</w:t>
      </w:r>
      <w:bookmarkEnd w:id="35"/>
    </w:p>
    <w:p>
      <w:pPr>
        <w:pStyle w:val="FirstParagraph"/>
      </w:pPr>
      <w:r>
        <w:t xml:space="preserve">The genotypes with high hi, low spad content under WD and WW conditions present mechanisms for drought avoiding. Additionally, tolerant genotypes like CIP397077.16, CIP398190.89, and CIP392797.22 (UNICA) preferentially use available water for tuber production rather than above ground biomass represented by their high twue. Traits like spad and hi are associated to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6" w:name="acknowledgments"/>
      <w:r>
        <w:t xml:space="preserve">Acknowledgments</w:t>
      </w:r>
      <w:bookmarkEnd w:id="36"/>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7" w:name="references"/>
      <w:r>
        <w:t xml:space="preserve">References</w:t>
      </w:r>
      <w:bookmarkEnd w:id="37"/>
    </w:p>
    <w:bookmarkStart w:id="84" w:name="refs"/>
    <w:bookmarkStart w:id="39"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8">
        <w:r>
          <w:rPr>
            <w:rStyle w:val="Hipervnculo"/>
          </w:rPr>
          <w:t xml:space="preserve">https://doi.org/10.1007/s00299-007-0406-8</w:t>
        </w:r>
      </w:hyperlink>
    </w:p>
    <w:bookmarkEnd w:id="39"/>
    <w:bookmarkStart w:id="41"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0">
        <w:r>
          <w:rPr>
            <w:rStyle w:val="Hipervnculo"/>
          </w:rPr>
          <w:t xml:space="preserve">https://doi.org/10.1071/AR05069</w:t>
        </w:r>
      </w:hyperlink>
    </w:p>
    <w:bookmarkEnd w:id="41"/>
    <w:bookmarkStart w:id="43"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2">
        <w:r>
          <w:rPr>
            <w:rStyle w:val="Hipervnculo"/>
          </w:rPr>
          <w:t xml:space="preserve">https://doi.org/10.1071/FP11101</w:t>
        </w:r>
      </w:hyperlink>
    </w:p>
    <w:bookmarkEnd w:id="43"/>
    <w:bookmarkStart w:id="45"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4">
        <w:r>
          <w:rPr>
            <w:rStyle w:val="Hipervnculo"/>
          </w:rPr>
          <w:t xml:space="preserve">https://doi.org/10.1016/j.fcr.2014.03.021</w:t>
        </w:r>
      </w:hyperlink>
    </w:p>
    <w:bookmarkEnd w:id="45"/>
    <w:bookmarkStart w:id="46"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6"/>
    <w:bookmarkStart w:id="48"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7">
        <w:r>
          <w:rPr>
            <w:rStyle w:val="Hipervnculo"/>
          </w:rPr>
          <w:t xml:space="preserve">https://doi.org/10.1007/BF02407559</w:t>
        </w:r>
      </w:hyperlink>
    </w:p>
    <w:bookmarkEnd w:id="48"/>
    <w:bookmarkStart w:id="50"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49">
        <w:r>
          <w:rPr>
            <w:rStyle w:val="Hipervnculo"/>
          </w:rPr>
          <w:t xml:space="preserve">https://doi.org/10.1016/S1161-0301(00)00081-2</w:t>
        </w:r>
      </w:hyperlink>
    </w:p>
    <w:bookmarkEnd w:id="50"/>
    <w:bookmarkStart w:id="52"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1">
        <w:r>
          <w:rPr>
            <w:rStyle w:val="Hipervnculo"/>
          </w:rPr>
          <w:t xml:space="preserve">https://CRAN.R-project.org/package=agricolae</w:t>
        </w:r>
      </w:hyperlink>
    </w:p>
    <w:bookmarkEnd w:id="52"/>
    <w:bookmarkStart w:id="54"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3">
        <w:r>
          <w:rPr>
            <w:rStyle w:val="Hipervnculo"/>
          </w:rPr>
          <w:t xml:space="preserve">https://doi.org/10.1093/bioinformatics/btx657</w:t>
        </w:r>
      </w:hyperlink>
    </w:p>
    <w:bookmarkEnd w:id="54"/>
    <w:bookmarkStart w:id="56"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5">
        <w:r>
          <w:rPr>
            <w:rStyle w:val="Hipervnculo"/>
          </w:rPr>
          <w:t xml:space="preserve">https://doi.org/10.1071/CP09064</w:t>
        </w:r>
      </w:hyperlink>
    </w:p>
    <w:bookmarkEnd w:id="56"/>
    <w:bookmarkStart w:id="58"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7">
        <w:r>
          <w:rPr>
            <w:rStyle w:val="Hipervnculo"/>
          </w:rPr>
          <w:t xml:space="preserve">https://CRAN.R-project.org/package=FactoMineR</w:t>
        </w:r>
      </w:hyperlink>
    </w:p>
    <w:bookmarkEnd w:id="58"/>
    <w:bookmarkStart w:id="60"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59">
        <w:r>
          <w:rPr>
            <w:rStyle w:val="Hipervnculo"/>
          </w:rPr>
          <w:t xml:space="preserve">https://doi.org/10.18637/jss.v025.i01</w:t>
        </w:r>
      </w:hyperlink>
    </w:p>
    <w:bookmarkEnd w:id="60"/>
    <w:bookmarkStart w:id="62"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1">
        <w:r>
          <w:rPr>
            <w:rStyle w:val="Hipervnculo"/>
          </w:rPr>
          <w:t xml:space="preserve">https://doi.org/10.1111/1440-1703.1275</w:t>
        </w:r>
      </w:hyperlink>
    </w:p>
    <w:bookmarkEnd w:id="62"/>
    <w:bookmarkStart w:id="64"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3">
        <w:r>
          <w:rPr>
            <w:rStyle w:val="Hipervnculo"/>
          </w:rPr>
          <w:t xml:space="preserve">https://doi.org/10.1016/S0098-8472(03)00019-4</w:t>
        </w:r>
      </w:hyperlink>
    </w:p>
    <w:bookmarkEnd w:id="64"/>
    <w:bookmarkStart w:id="66"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65">
        <w:r>
          <w:rPr>
            <w:rStyle w:val="Hipervnculo"/>
          </w:rPr>
          <w:t xml:space="preserve">https://doi.org/10.1093/jxb/49.325.1381</w:t>
        </w:r>
      </w:hyperlink>
    </w:p>
    <w:bookmarkEnd w:id="66"/>
    <w:bookmarkStart w:id="68"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67">
        <w:r>
          <w:rPr>
            <w:rStyle w:val="Hipervnculo"/>
          </w:rPr>
          <w:t xml:space="preserve">https://www.R-project.org/</w:t>
        </w:r>
      </w:hyperlink>
    </w:p>
    <w:bookmarkEnd w:id="68"/>
    <w:bookmarkStart w:id="70"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9">
        <w:r>
          <w:rPr>
            <w:rStyle w:val="Hipervnculo"/>
          </w:rPr>
          <w:t xml:space="preserve">https://doi.org/10.1071/PP9860329</w:t>
        </w:r>
      </w:hyperlink>
    </w:p>
    <w:bookmarkEnd w:id="70"/>
    <w:bookmarkStart w:id="72"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71">
        <w:r>
          <w:rPr>
            <w:rStyle w:val="Hipervnculo"/>
          </w:rPr>
          <w:t xml:space="preserve">https://doi.org/10.2307/1309424</w:t>
        </w:r>
      </w:hyperlink>
    </w:p>
    <w:bookmarkEnd w:id="72"/>
    <w:bookmarkStart w:id="74"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73">
        <w:r>
          <w:rPr>
            <w:rStyle w:val="Hipervnculo"/>
          </w:rPr>
          <w:t xml:space="preserve">https://doi.org/10.1007/s12230-012-9285-9</w:t>
        </w:r>
      </w:hyperlink>
    </w:p>
    <w:bookmarkEnd w:id="74"/>
    <w:bookmarkStart w:id="76"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75">
        <w:r>
          <w:rPr>
            <w:rStyle w:val="Hipervnculo"/>
          </w:rPr>
          <w:t xml:space="preserve">https://doi.org/10.2134/agronj2008.0079x</w:t>
        </w:r>
      </w:hyperlink>
    </w:p>
    <w:bookmarkEnd w:id="76"/>
    <w:bookmarkStart w:id="78"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77">
        <w:r>
          <w:rPr>
            <w:rStyle w:val="Hipervnculo"/>
          </w:rPr>
          <w:t xml:space="preserve">https://doi.org/10.1017/S0021859600072713</w:t>
        </w:r>
      </w:hyperlink>
    </w:p>
    <w:bookmarkEnd w:id="78"/>
    <w:bookmarkStart w:id="80"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79">
        <w:r>
          <w:rPr>
            <w:rStyle w:val="Hipervnculo"/>
          </w:rPr>
          <w:t xml:space="preserve">https://doi.org/10.3389/fphys.2012.00347</w:t>
        </w:r>
      </w:hyperlink>
    </w:p>
    <w:bookmarkEnd w:id="80"/>
    <w:bookmarkStart w:id="82"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81">
        <w:r>
          <w:rPr>
            <w:rStyle w:val="Hipervnculo"/>
          </w:rPr>
          <w:t xml:space="preserve">https://doi.org/10.1093/jxb/ern073</w:t>
        </w:r>
      </w:hyperlink>
    </w:p>
    <w:bookmarkEnd w:id="82"/>
    <w:bookmarkStart w:id="83"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83"/>
    <w:bookmarkEnd w:id="84"/>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2: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85"/>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r>
        <w:br w:type="page"/>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8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r>
        <w:br w:type="page"/>
      </w:r>
    </w:p>
    <w:p>
      <w:pPr>
        <w:pStyle w:val="CaptionedFigure"/>
      </w:pPr>
      <w:r>
        <w:drawing>
          <wp:inline>
            <wp:extent cx="5969000" cy="4263571"/>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87"/>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3: Correlation analysis</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87" Target="media/rId87.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hyperlink" Id="rId57"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38" Target="https://doi.org/10.1007/s00299-007-0406-8" TargetMode="External" /><Relationship Type="http://schemas.openxmlformats.org/officeDocument/2006/relationships/hyperlink" Id="rId73" Target="https://doi.org/10.1007/s12230-012-9285-9" TargetMode="External" /><Relationship Type="http://schemas.openxmlformats.org/officeDocument/2006/relationships/hyperlink" Id="rId63"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44" Target="https://doi.org/10.1016/j.fcr.2014.03.021" TargetMode="External" /><Relationship Type="http://schemas.openxmlformats.org/officeDocument/2006/relationships/hyperlink" Id="rId77" Target="https://doi.org/10.1017/S0021859600072713" TargetMode="External" /><Relationship Type="http://schemas.openxmlformats.org/officeDocument/2006/relationships/hyperlink" Id="rId40" Target="https://doi.org/10.1071/AR05069" TargetMode="External" /><Relationship Type="http://schemas.openxmlformats.org/officeDocument/2006/relationships/hyperlink" Id="rId55" Target="https://doi.org/10.1071/CP09064" TargetMode="External" /><Relationship Type="http://schemas.openxmlformats.org/officeDocument/2006/relationships/hyperlink" Id="rId42" Target="https://doi.org/10.1071/FP11101" TargetMode="External" /><Relationship Type="http://schemas.openxmlformats.org/officeDocument/2006/relationships/hyperlink" Id="rId69" Target="https://doi.org/10.1071/PP9860329" TargetMode="External" /><Relationship Type="http://schemas.openxmlformats.org/officeDocument/2006/relationships/hyperlink" Id="rId53" Target="https://doi.org/10.1093/bioinformatics/btx657" TargetMode="External" /><Relationship Type="http://schemas.openxmlformats.org/officeDocument/2006/relationships/hyperlink" Id="rId65" Target="https://doi.org/10.1093/jxb/49.325.1381" TargetMode="External" /><Relationship Type="http://schemas.openxmlformats.org/officeDocument/2006/relationships/hyperlink" Id="rId81" Target="https://doi.org/10.1093/jxb/ern073" TargetMode="External" /><Relationship Type="http://schemas.openxmlformats.org/officeDocument/2006/relationships/hyperlink" Id="rId61" Target="https://doi.org/10.1111/1440-1703.1275" TargetMode="External" /><Relationship Type="http://schemas.openxmlformats.org/officeDocument/2006/relationships/hyperlink" Id="rId59" Target="https://doi.org/10.18637/jss.v025.i01" TargetMode="External" /><Relationship Type="http://schemas.openxmlformats.org/officeDocument/2006/relationships/hyperlink" Id="rId75" Target="https://doi.org/10.2134/agronj2008.0079x" TargetMode="External" /><Relationship Type="http://schemas.openxmlformats.org/officeDocument/2006/relationships/hyperlink" Id="rId71" Target="https://doi.org/10.2307/1309424" TargetMode="External" /><Relationship Type="http://schemas.openxmlformats.org/officeDocument/2006/relationships/hyperlink" Id="rId79" Target="https://doi.org/10.3389/fphys.2012.00347" TargetMode="External" /><Relationship Type="http://schemas.openxmlformats.org/officeDocument/2006/relationships/hyperlink" Id="rId67"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38" Target="https://doi.org/10.1007/s00299-007-0406-8" TargetMode="External" /><Relationship Type="http://schemas.openxmlformats.org/officeDocument/2006/relationships/hyperlink" Id="rId73" Target="https://doi.org/10.1007/s12230-012-9285-9" TargetMode="External" /><Relationship Type="http://schemas.openxmlformats.org/officeDocument/2006/relationships/hyperlink" Id="rId63"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44" Target="https://doi.org/10.1016/j.fcr.2014.03.021" TargetMode="External" /><Relationship Type="http://schemas.openxmlformats.org/officeDocument/2006/relationships/hyperlink" Id="rId77" Target="https://doi.org/10.1017/S0021859600072713" TargetMode="External" /><Relationship Type="http://schemas.openxmlformats.org/officeDocument/2006/relationships/hyperlink" Id="rId40" Target="https://doi.org/10.1071/AR05069" TargetMode="External" /><Relationship Type="http://schemas.openxmlformats.org/officeDocument/2006/relationships/hyperlink" Id="rId55" Target="https://doi.org/10.1071/CP09064" TargetMode="External" /><Relationship Type="http://schemas.openxmlformats.org/officeDocument/2006/relationships/hyperlink" Id="rId42" Target="https://doi.org/10.1071/FP11101" TargetMode="External" /><Relationship Type="http://schemas.openxmlformats.org/officeDocument/2006/relationships/hyperlink" Id="rId69" Target="https://doi.org/10.1071/PP9860329" TargetMode="External" /><Relationship Type="http://schemas.openxmlformats.org/officeDocument/2006/relationships/hyperlink" Id="rId53" Target="https://doi.org/10.1093/bioinformatics/btx657" TargetMode="External" /><Relationship Type="http://schemas.openxmlformats.org/officeDocument/2006/relationships/hyperlink" Id="rId65" Target="https://doi.org/10.1093/jxb/49.325.1381" TargetMode="External" /><Relationship Type="http://schemas.openxmlformats.org/officeDocument/2006/relationships/hyperlink" Id="rId81" Target="https://doi.org/10.1093/jxb/ern073" TargetMode="External" /><Relationship Type="http://schemas.openxmlformats.org/officeDocument/2006/relationships/hyperlink" Id="rId61" Target="https://doi.org/10.1111/1440-1703.1275" TargetMode="External" /><Relationship Type="http://schemas.openxmlformats.org/officeDocument/2006/relationships/hyperlink" Id="rId59" Target="https://doi.org/10.18637/jss.v025.i01" TargetMode="External" /><Relationship Type="http://schemas.openxmlformats.org/officeDocument/2006/relationships/hyperlink" Id="rId75" Target="https://doi.org/10.2134/agronj2008.0079x" TargetMode="External" /><Relationship Type="http://schemas.openxmlformats.org/officeDocument/2006/relationships/hyperlink" Id="rId71" Target="https://doi.org/10.2307/1309424" TargetMode="External" /><Relationship Type="http://schemas.openxmlformats.org/officeDocument/2006/relationships/hyperlink" Id="rId79" Target="https://doi.org/10.3389/fphys.2012.00347" TargetMode="External" /><Relationship Type="http://schemas.openxmlformats.org/officeDocument/2006/relationships/hyperlink" Id="rId67"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2020-03-09T13:37:52Z</dcterms:created>
  <dcterms:modified xsi:type="dcterms:W3CDTF">2020-03-09T13:37:52Z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