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14.png" ContentType="image/png"/>
  <Override PartName="/word/media/rId111.png" ContentType="image/png"/>
  <Override PartName="/word/media/rId112.png" ContentType="image/png"/>
  <Override PartName="/word/media/rId11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sup>
        </m:sSup>
      </m:oMath>
      <w:r>
        <w:t xml:space="preserve">,</w:t>
      </w:r>
      <w:r>
        <w:t xml:space="preserve"> </w:t>
      </w:r>
      <w:r>
        <w:t xml:space="preserve">Evelyn</w:t>
      </w:r>
      <w:r>
        <w:t xml:space="preserve"> </w:t>
      </w:r>
      <w:r>
        <w:t xml:space="preserve">Farfan-Vignolo</w:t>
      </w:r>
      <m:oMath>
        <m:sSup>
          <m:e>
            <m:r>
              <m:t>​</m:t>
            </m:r>
          </m:e>
          <m:sup>
            <m:r>
              <m:t>1</m:t>
            </m:r>
          </m:sup>
        </m:sSup>
      </m:oMath>
      <w:r>
        <w:t xml:space="preserve">,</w:t>
      </w:r>
      <w:r>
        <w:t xml:space="preserve"> </w:t>
      </w:r>
      <w:r>
        <w:t xml:space="preserve">Raymundo</w:t>
      </w:r>
      <w:r>
        <w:t xml:space="preserve"> </w:t>
      </w:r>
      <w:r>
        <w:t xml:space="preserve">Gutierrez</w:t>
      </w:r>
      <m:oMath>
        <m:sSup>
          <m:e>
            <m:r>
              <m:t>​</m:t>
            </m:r>
          </m:e>
          <m:sup>
            <m:r>
              <m:t>1</m:t>
            </m:r>
          </m:sup>
        </m:sSup>
      </m:oMath>
      <w:r>
        <w:t xml:space="preserve">,</w:t>
      </w:r>
      <w:r>
        <w:t xml:space="preserve"> </w:t>
      </w:r>
      <w:r>
        <w:t xml:space="preserve">Raul</w:t>
      </w:r>
      <w:r>
        <w:t xml:space="preserve"> </w:t>
      </w:r>
      <w:r>
        <w:t xml:space="preserve">Blas</w:t>
      </w:r>
      <m:oMath>
        <m:sSup>
          <m:e>
            <m:r>
              <m:t>​</m:t>
            </m:r>
          </m:e>
          <m:sup>
            <m:r>
              <m:t>2</m:t>
            </m:r>
          </m:sup>
        </m:sSup>
      </m:oMath>
      <w:r>
        <w:t xml:space="preserve">,</w:t>
      </w:r>
      <w:r>
        <w:t xml:space="preserve"> </w:t>
      </w:r>
      <w:r>
        <w:t xml:space="preserve">Khan</w:t>
      </w:r>
      <w:r>
        <w:t xml:space="preserve"> </w:t>
      </w:r>
      <w:r>
        <w:t xml:space="preserve">Awais</w:t>
      </w:r>
      <m:oMath>
        <m:sSup>
          <m:e>
            <m:r>
              <m:t>​</m:t>
            </m:r>
          </m:e>
          <m:sup>
            <m:r>
              <m:t>1</m:t>
            </m:r>
            <m:r>
              <m:t>*</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p>
    <w:p>
      <w:pPr>
        <w:pStyle w:val="Ttulo1"/>
      </w:pPr>
      <w:bookmarkStart w:id="20" w:name="abstract"/>
      <w:r>
        <w:t xml:space="preserve">Abstract</w:t>
      </w:r>
      <w:bookmarkEnd w:id="20"/>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improve water use efficiency and reduce the yield lost. Potato is one of most important food crop worldwide and modern cultivars are highly sensitive to soil drought. In this work, we aim to study the physiological responses potato (</w:t>
      </w:r>
      <w:r>
        <w:rPr>
          <w:i/>
        </w:rPr>
        <w:t xml:space="preserve">Solanum tuberosum</w:t>
      </w:r>
      <w:r>
        <w:t xml:space="preserve"> </w:t>
      </w:r>
      <w:r>
        <w:t xml:space="preserve">L) under drought stress in controlled condition. In order to explore the different responses, we evaluated fifteen genotypes under well watered (WD) and water deficit (WD) conditions for a range of agro-physiological traits and understand the mechanisms of tolerance to drought stress in potato. Genotypes with better mechanisms for avoid the water shortage and maintain the yield production are CIP392797.22 (UNICA), CIP397077.16, CIP398190.89, CIP398208.219 and CIP398208.620 were able to preferentially use the limited water in tuber production rather than biomass accumulation. Multivariate analysis shown that this genotypes have a high production under WW conditions and increasing the phosyntetic activity under WD producing with better water use efficiency for tuber production (wue</w:t>
      </w:r>
      <w:r>
        <w:rPr>
          <w:vertAlign w:val="subscript"/>
        </w:rPr>
        <w:t xml:space="preserve">t</w:t>
      </w:r>
      <w:r>
        <w:t xml:space="preserve">). Variables such as harvest index (hi), root dry weigth (rdw), relative chrolopyll content (rcc) and chlorophyll concentration (spad) provide useful information for select potato genotypes under drought stress in breeding programs.</w:t>
      </w:r>
    </w:p>
    <w:p>
      <w:pPr>
        <w:pStyle w:val="BodyText"/>
      </w:pPr>
      <w:r>
        <w:rPr>
          <w:b/>
        </w:rPr>
        <w:t xml:space="preserve">Key words:</w:t>
      </w:r>
      <w:r>
        <w:t xml:space="preserve"> </w:t>
      </w:r>
      <w:r>
        <w:t xml:space="preserve">abiotic stress, harvest index, lisimeter, drought tolerance, SPAD</w:t>
      </w:r>
    </w:p>
    <w:p>
      <w:pPr>
        <w:pStyle w:val="Ttulo1"/>
      </w:pPr>
      <w:bookmarkStart w:id="21" w:name="introduction"/>
      <w:r>
        <w:t xml:space="preserve">Introduction</w:t>
      </w:r>
      <w:bookmarkEnd w:id="21"/>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 [</w:t>
      </w:r>
      <w:r>
        <w:t xml:space="preserve">Birch et al. (</w:t>
      </w:r>
      <w:hyperlink w:anchor="ref-birch2012Crops">
        <w:r>
          <w:rPr>
            <w:rStyle w:val="Hipervnculo"/>
          </w:rPr>
          <w:t xml:space="preserve">2012</w:t>
        </w:r>
      </w:hyperlink>
      <w:r>
        <w:t xml:space="preserve">)</w:t>
      </w:r>
      <w:r>
        <w:t xml:space="preserve">; FAO 2017].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about 2000 deferentially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and @sprenger2016drought;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drought stress could provide information on their capacity to tolerate the water shortage.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 the mechanisms for drought tolerance and yield in eleven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genotypes with tolerance to water deficit mitigating the lost in the tuber production.</w:t>
      </w:r>
    </w:p>
    <w:p>
      <w:pPr>
        <w:pStyle w:val="Ttulo1"/>
      </w:pPr>
      <w:bookmarkStart w:id="22" w:name="materials-and-methods"/>
      <w:r>
        <w:t xml:space="preserve">Materials and Methods</w:t>
      </w:r>
      <w:bookmarkEnd w:id="22"/>
    </w:p>
    <w:p>
      <w:pPr>
        <w:pStyle w:val="Ttulo2"/>
      </w:pPr>
      <w:bookmarkStart w:id="23" w:name="plant-material"/>
      <w:r>
        <w:t xml:space="preserve">Plant material</w:t>
      </w:r>
      <w:bookmarkEnd w:id="23"/>
    </w:p>
    <w:p>
      <w:pPr>
        <w:pStyle w:val="FirstParagraph"/>
      </w:pPr>
      <w:r>
        <w:t xml:space="preserve">Thirteen potato clones were selected from advanced breeding population collection at International Potato Center (CIP) and two commercial varieties, Table (</w:t>
      </w:r>
      <w:r>
        <w:t xml:space="preserve">1</w:t>
      </w:r>
      <w:r>
        <w:t xml:space="preserve">). The varieties, UNICA ( CIP392797.22) with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4" w:name="experimental-conditions"/>
      <w:r>
        <w:t xml:space="preserve">Experimental conditions</w:t>
      </w:r>
      <w:bookmarkEnd w:id="24"/>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with a gradual reduction in the water application;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5" w:name="cultivation-and-management"/>
      <w:r>
        <w:t xml:space="preserve">Cultivation and management</w:t>
      </w:r>
      <w:bookmarkEnd w:id="25"/>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containing 5 kg of dry commercial Sogemix SM2 (75% Peat Moss, perlite, vermiculite, and limestone). The potato tubers were pre-sprouted for 2 weeks in dark chamber and after planted in the pots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6" w:name="transpiration-rate-and-soil-water-supply"/>
      <w:r>
        <w:t xml:space="preserve">Transpiration rate and soil water supply</w:t>
      </w:r>
      <w:bookmarkEnd w:id="26"/>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7" w:name="evaluated-traits"/>
      <w:r>
        <w:t xml:space="preserve">Evaluated traits</w:t>
      </w:r>
      <w:bookmarkEnd w:id="27"/>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in fresh weight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w:t>
      </w:r>
    </w:p>
    <w:p>
      <w:pPr>
        <w:pStyle w:val="BodyText"/>
      </w:pPr>
      <w:r>
        <w:rPr>
          <w:b/>
        </w:rPr>
        <w:t xml:space="preserve">Post-harvest traits.</w:t>
      </w:r>
      <w:r>
        <w:t xml:space="preserve"> </w:t>
      </w:r>
      <w:r>
        <w:t xml:space="preserve">The harvest was at 90 dap and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(spad_83) dap and leaf area (lfa) multiplied by 100 for better the scale interpretation.</w:t>
      </w:r>
    </w:p>
    <w:p>
      <w:pPr>
        <w:pStyle w:val="Ttulo2"/>
      </w:pPr>
      <w:bookmarkStart w:id="28" w:name="statistical-analysis"/>
      <w:r>
        <w:t xml:space="preserve">Statistical analysis</w:t>
      </w:r>
      <w:bookmarkEnd w:id="28"/>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Student’s t-test was performed between well water and water deficit treatment (p&lt;0.05). For the multivariate analysis, correlation and principal components analysis (PCA)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For compute the hierarchical clustering between treatments and genotypes were used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For reproducible analysis, the code and statistical analysis used in this manuscript are available in the following github repository</w:t>
      </w:r>
      <w:r>
        <w:t xml:space="preserve"> </w:t>
      </w:r>
      <w:hyperlink r:id="rId29">
        <w:r>
          <w:rPr>
            <w:rStyle w:val="Hipervnculo"/>
          </w:rPr>
          <w:t xml:space="preserve">https://github.com/flavjack/20130515LM</w:t>
        </w:r>
      </w:hyperlink>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their transpiration rate 8 days after water restriction,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The chlorophyll concentration (spad) was taken over the course of plant development (29, 59, 76, and 83 dap), Table</w:t>
      </w:r>
      <w:r>
        <w:t xml:space="preserve"> </w:t>
      </w:r>
      <w:r>
        <w:t xml:space="preserve">2</w:t>
      </w:r>
      <w:r>
        <w:t xml:space="preserve">; showed at 29 dap all plants were at the same level as no treatment was applied, Figure</w:t>
      </w:r>
      <w:r>
        <w:t xml:space="preserve"> </w:t>
      </w:r>
      <w:r>
        <w:t xml:space="preserve">2</w:t>
      </w:r>
      <w:r>
        <w:t xml:space="preserve">E. At 59, 76 and 83 the spad shown difference en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 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Figure</w:t>
      </w:r>
      <w:r>
        <w:t xml:space="preserve"> </w:t>
      </w:r>
      <w:r>
        <w:t xml:space="preserve">2</w:t>
      </w:r>
      <w:r>
        <w:t xml:space="preserve">B. While the components such as number of tuber (ntub), root dry weight (rdw) and root length (rdl) did not shown differences between the treatments (p&gt;0.5).</w:t>
      </w:r>
    </w:p>
    <w:p>
      <w:pPr>
        <w:pStyle w:val="BodyText"/>
      </w:pPr>
      <w:r>
        <w:t xml:space="preserve">The relative chlorophyll content (rcc) is the relation between the chlorophyll concentration in the leaves (spad) in relation with the leaf area and It has been shown difference between treatment (p&lt;0.001) and it was able to discriminate plats in WW and WD genotypes, Figure</w:t>
      </w:r>
      <w:r>
        <w:t xml:space="preserve"> </w:t>
      </w:r>
      <w:r>
        <w:t xml:space="preserve">2</w:t>
      </w:r>
      <w:r>
        <w:t xml:space="preserve">B. The genotyps with best performace in rcc were CIP720088 (Achirana-INTA), CIP398208.620, CIP398208.704, CIP398201.510, CIP392797.22 (UNICA) and CIP397077.16.</w:t>
      </w:r>
    </w:p>
    <w:p>
      <w:pPr>
        <w:pStyle w:val="Ttulo2"/>
      </w:pPr>
      <w:bookmarkStart w:id="33" w:name="yield-components"/>
      <w:r>
        <w:t xml:space="preserve">Yield components</w:t>
      </w:r>
      <w:bookmarkEnd w:id="33"/>
    </w:p>
    <w:p>
      <w:pPr>
        <w:pStyle w:val="FirstParagraph"/>
      </w:pPr>
      <w:r>
        <w:t xml:space="preserve">Differences existed among genotypes in total dry biomass (tdb)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(tdw) across genotypes by an average of 40% (p&lt;0.001).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 64.9% of the variance in the experiment. In the first dimension trs (r=0.94), lfa (r=0.93), tbd (r=0.86), sla (r=0.81), tdw (r=0.73) and ldw (r=0.72) show a high correlation and association with WW treatment, in the other side rcc (r=-0.73), spad (r~-0,63) shown an negatives correlation and association with WD treatment. In the second dimension rdl (r=0.88) and rdw (r=0.87) have a high correlation and associated at WW treatment and negate correlated with hi (-0.92) and wue</w:t>
      </w:r>
      <w:r>
        <w:rPr>
          <w:vertAlign w:val="subscript"/>
        </w:rPr>
        <w:t xml:space="preserve">t</w:t>
      </w:r>
      <w:r>
        <w:t xml:space="preserve"> </w:t>
      </w:r>
      <w:r>
        <w:t xml:space="preserve">(-0.90) and associated to WD treatment, Figure</w:t>
      </w:r>
      <w:r>
        <w:t xml:space="preserve"> </w:t>
      </w:r>
      <w:r>
        <w:t xml:space="preserve">3</w:t>
      </w:r>
      <w:r>
        <w:t xml:space="preserve">.</w:t>
      </w:r>
    </w:p>
    <w:p>
      <w:pPr>
        <w:pStyle w:val="BodyText"/>
      </w:pPr>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the second association is the cluster 1, 3 and 5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 The association between the cluster an the variables shown that the genotypes in the cluster 2 are positive correlated with the spad, rdl and rdw and negative correlated to tdw, hi and wue</w:t>
      </w:r>
      <w:r>
        <w:rPr>
          <w:vertAlign w:val="subscript"/>
        </w:rPr>
        <w:t xml:space="preserve">t</w:t>
      </w:r>
      <w:r>
        <w:t xml:space="preserve">. The genoytpes in the cluster 3 and 1 are positive associated with the rcc and wue</w:t>
      </w:r>
      <w:r>
        <w:rPr>
          <w:vertAlign w:val="subscript"/>
        </w:rPr>
        <w:t xml:space="preserve">b</w:t>
      </w:r>
      <w:r>
        <w:t xml:space="preserve">. In the cluster 4 the genotypes are positive correlated with ldw, tdb, lfa and trs. The cluster 5 is associated with sla, tdw and rwc and negative associated with spad and rdw, Figure</w:t>
      </w:r>
      <w:r>
        <w:t xml:space="preserve"> </w:t>
      </w:r>
      <w:r>
        <w:t xml:space="preserve">3</w:t>
      </w:r>
      <w:r>
        <w:t xml:space="preserve">.</w:t>
      </w:r>
    </w:p>
    <w:p>
      <w:pPr>
        <w:pStyle w:val="BodyText"/>
      </w:pPr>
      <w:r>
        <w:t xml:space="preserve">According the Pearson correlation analysis (Figure S</w:t>
      </w:r>
      <w:r>
        <w:t xml:space="preserve">4</w:t>
      </w:r>
      <w:r>
        <w:t xml:space="preserve">) values of tdb and trs were strongly and positively correlated with 0.93 (p&lt;0.05) with Euclidean distance of 0.91, Figure S</w:t>
      </w:r>
      <w:r>
        <w:t xml:space="preserve">4</w:t>
      </w:r>
      <w:r>
        <w:t xml:space="preserve">. The spad measurements shown good correlation between them (r~0.80) and at negative correlation with hi (r=-0.07). A negative correlation (r= -0.73) among rdw and hi was found with a euclidean distance of 4.96. A strong correlation between hi and wue</w:t>
      </w:r>
      <w:r>
        <w:rPr>
          <w:vertAlign w:val="subscript"/>
        </w:rPr>
        <w:t xml:space="preserve">t</w:t>
      </w:r>
      <w:r>
        <w:t xml:space="preserve"> </w:t>
      </w:r>
      <w:r>
        <w:t xml:space="preserve">was found (r=0.92) with an euclidean distance of 0.68, shown not only a good correlation but also a good association between these two variables, Figure S</w:t>
      </w:r>
      <w:r>
        <w:t xml:space="preserve">4</w:t>
      </w:r>
      <w:r>
        <w:t xml:space="preserve">. Tuber dry weight (tdw) shown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4.96, shown low association with tdw and wue</w:t>
      </w:r>
      <w:r>
        <w:rPr>
          <w:vertAlign w:val="subscript"/>
        </w:rPr>
        <w:t xml:space="preserve">b</w:t>
      </w:r>
      <w:r>
        <w:t xml:space="preserve">, Figure</w:t>
      </w:r>
      <w:r>
        <w:t xml:space="preserve"> </w:t>
      </w:r>
      <w:r>
        <w:t xml:space="preserve">3</w:t>
      </w:r>
      <w:r>
        <w:t xml:space="preserve"> </w:t>
      </w:r>
      <w:r>
        <w:t xml:space="preserve">and Figure S</w:t>
      </w:r>
      <w:r>
        <w:t xml:space="preserve">4</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 S</w:t>
      </w:r>
      <w:r>
        <w:t xml:space="preserve">4</w:t>
      </w:r>
      <w:r>
        <w:t xml:space="preserve">. The inclusion in the analysis the relative chlorophyll content (rcc) was able to differentiate the genotypes by their photosynthetic efficiency, Figure</w:t>
      </w:r>
      <w:r>
        <w:t xml:space="preserve"> </w:t>
      </w:r>
      <w:r>
        <w:t xml:space="preserve">3</w:t>
      </w:r>
      <w:r>
        <w:t xml:space="preserve"> </w:t>
      </w:r>
      <w:r>
        <w:t xml:space="preserve">and Figure</w:t>
      </w:r>
      <w:r>
        <w:t xml:space="preserve"> </w:t>
      </w:r>
      <w:r>
        <w:t xml:space="preserve">2</w:t>
      </w:r>
      <w:r>
        <w:t xml:space="preserve">B.</w:t>
      </w:r>
    </w:p>
    <w:p>
      <w:pPr>
        <w:pStyle w:val="Ttulo1"/>
      </w:pPr>
      <w:bookmarkStart w:id="35" w:name="dicussion"/>
      <w:r>
        <w:t xml:space="preserve">Dicussion</w:t>
      </w:r>
      <w:bookmarkEnd w:id="35"/>
    </w:p>
    <w:p>
      <w:pPr>
        <w:pStyle w:val="FirstParagraph"/>
      </w:pPr>
      <w:r>
        <w:t xml:space="preserve">Under well water conditions, soil can supply water at a steady rate to meet the transpiration demand. However, as the soil becomes dry, water flux from soil to root surface decreases and cannot satisfy the demand of transpiration. Water stress reduces photosynthetic efficiency and have a negative effect during tuber initiation and bulking</w:t>
      </w:r>
      <w:r>
        <w:t xml:space="preserve"> </w:t>
      </w:r>
      <w:r>
        <w:rPr>
          <w:i/>
        </w:rPr>
        <w:t xml:space="preserve">(Yuan et al., 2003; Onder et al., 2005)</w:t>
      </w:r>
      <w:r>
        <w:t xml:space="preserve">. In the present work give an overview of the behavior of different potato genotypes under drought stress and the penalty for the yield causes by the water shortage. Water stress triggered a range of morphological and physiological mechanisms in the tested potato genotypes. Most characteristics measure showed differences between treatments, pointing to their value in evaluating the impact of drought.</w:t>
      </w:r>
    </w:p>
    <w:p>
      <w:pPr>
        <w:pStyle w:val="BodyText"/>
      </w:pPr>
      <w:r>
        <w:t xml:space="preserve">Plant biomass accumulation and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The tolerance to drought in potato is a combination of mechanism and the response change amount the different groups of genotypes with difference morpho-physiological adaptation. Potato genotypes under water stress have a reduction in their transpiration rate based in the reduction of the leaf area, decreased plant growth, tuber yield, tubers per plant and tuber size and quality</w:t>
      </w:r>
      <w:r>
        <w:t xml:space="preserve"> </w:t>
      </w:r>
      <w:r>
        <w:rPr>
          <w:i/>
        </w:rPr>
        <w:t xml:space="preserve">(Lynch et al., 1995; Dalla Costa et al., 1997; Yuan et al., 2003)</w:t>
      </w:r>
      <w:r>
        <w:t xml:space="preserve">. One mechanism to drought resistance is the reduction of transpiration achieved by the reduction of leaf area with thick leaves often have greater photosynthetic capacity than thin leaves, due to their higher chlorophyll per leaf area counts</w:t>
      </w:r>
      <w:r>
        <w:t xml:space="preserve"> </w:t>
      </w:r>
      <w:r>
        <w:rPr>
          <w:i/>
        </w:rPr>
        <w:t xml:space="preserve">(Songsri et al. 2009)</w:t>
      </w:r>
      <w:r>
        <w:t xml:space="preserve">. For these reason the genotypes that shown increase in their relative chlorophyll content (rcc) under drought stress were associated with better water use efficiency and mitigating the yield reduction.</w:t>
      </w:r>
    </w:p>
    <w:p>
      <w:pPr>
        <w:pStyle w:val="BodyText"/>
      </w:pPr>
      <w:r>
        <w:t xml:space="preserve">It is difficult to define a trait or index for determinate the tolerance in the crops because it can be achieved with different strategies in the genotypes, but we are looking for genotypes under well water condition have a good tuber production and it have a water shortage its can cope with the stress and increase their efficiency in the biomass traslocation for maintain the tuber yield components related to the harvest index and tuber water use efficiency. The harvest index without show large difference between treatments have a high correlation with the water use efficiency for tuber production.</w:t>
      </w:r>
      <w:r>
        <w:t xml:space="preserve"> </w:t>
      </w:r>
      <w:r>
        <w:rPr>
          <w:i/>
        </w:rPr>
        <w:t xml:space="preserve">Evans (1980)</w:t>
      </w:r>
      <w:r>
        <w:t xml:space="preserve"> </w:t>
      </w:r>
      <w:r>
        <w:t xml:space="preserve">suggested that one of the main variables for yield increases seen to date has been increases in harvest index. Harvest index has been found to be relatively stable for a particular cultivar over wide range of conditions</w:t>
      </w:r>
      <w:r>
        <w:t xml:space="preserve"> </w:t>
      </w:r>
      <w:r>
        <w:rPr>
          <w:i/>
        </w:rPr>
        <w:t xml:space="preserve">(Donald and Hamblin 1976)</w:t>
      </w:r>
      <w:r>
        <w:t xml:space="preserve">.</w:t>
      </w:r>
      <w:r>
        <w:t xml:space="preserve"> </w:t>
      </w:r>
      <w:r>
        <w:rPr>
          <w:i/>
        </w:rPr>
        <w:t xml:space="preserve">Passioura (1977) and Fischer (1979)</w:t>
      </w:r>
      <w:r>
        <w:t xml:space="preserve"> </w:t>
      </w:r>
      <w:r>
        <w:t xml:space="preserve">have argued that obtaining high harvest indexes underwater-limited conditions is especially important obtaining high water-use efficiencies even if many crops it appears that further substantial improvements in harvest index are unlikely</w:t>
      </w:r>
      <w:r>
        <w:t xml:space="preserve"> </w:t>
      </w:r>
      <w:r>
        <w:rPr>
          <w:i/>
        </w:rPr>
        <w:t xml:space="preserve">[Evans (1980)]</w:t>
      </w:r>
      <w:r>
        <w:t xml:space="preserve">.</w:t>
      </w:r>
    </w:p>
    <w:p>
      <w:pPr>
        <w:pStyle w:val="BodyText"/>
      </w:pPr>
      <w:r>
        <w:t xml:space="preserve">Potato genotypes with the ability to maintain high relative chlorophyll content under WD conditions, can maintain higher wue</w:t>
      </w:r>
      <w:r>
        <w:rPr>
          <w:vertAlign w:val="subscript"/>
        </w:rPr>
        <w:t xml:space="preserve">t</w:t>
      </w:r>
      <w:r>
        <w:t xml:space="preserve"> </w:t>
      </w:r>
      <w:r>
        <w:t xml:space="preserve">and hi and reduce the losses in the tuber production. Minimal yield losses in some genotypes like CIP398190.89 under WD could be related to its ability to increase their rcc and reduce the production of roots and leafs resulting in a better wue</w:t>
      </w:r>
      <w:r>
        <w:rPr>
          <w:vertAlign w:val="subscript"/>
        </w:rPr>
        <w:t xml:space="preserve">t</w:t>
      </w:r>
      <w:r>
        <w:t xml:space="preserve"> </w:t>
      </w:r>
      <w:r>
        <w:t xml:space="preserve">using the limited water and nutrients available in the soil without a drasticall reduction in the final yield, Figure</w:t>
      </w:r>
      <w:r>
        <w:t xml:space="preserve"> </w:t>
      </w:r>
      <w:r>
        <w:t xml:space="preserve">3</w:t>
      </w:r>
      <w:r>
        <w:t xml:space="preserve"> </w:t>
      </w:r>
      <w:r>
        <w:t xml:space="preserve">and</w:t>
      </w:r>
      <w:r>
        <w:t xml:space="preserve"> </w:t>
      </w:r>
      <w:r>
        <w:t xml:space="preserve">2</w:t>
      </w:r>
      <w:r>
        <w:t xml:space="preserve">A. Sensitive genotypes such as CIP398203.244 and CIP398201.510 preferred to produce leaves and more roots instead of tubers. In this genotype, the long roots seem to contribute to vegetative growth rather than yield components in contradistinction to</w:t>
      </w:r>
      <w:r>
        <w:t xml:space="preserve"> </w:t>
      </w:r>
      <w:r>
        <w:rPr>
          <w:i/>
        </w:rPr>
        <w:t xml:space="preserve">Songsri et al. 2009)</w:t>
      </w:r>
      <w:r>
        <w:t xml:space="preserve"> </w:t>
      </w:r>
      <w:r>
        <w:t xml:space="preserve">that mention enhanced extraction of water and nutrients from the soil due to large root system and long roots is a drought resistance mechanism in potato. However, a deeper and more extensive rooting system may have drawbacks. A greater root biomass would almost surely result in lowered harvest index.</w:t>
      </w:r>
    </w:p>
    <w:p>
      <w:pPr>
        <w:pStyle w:val="BodyText"/>
      </w:pPr>
      <w:r>
        <w:t xml:space="preserve">The chlorophyll content is an indicator of the photosynthetic active and light transmittance of the leaf and correlated with a + b chlorophyll concentration per unit leaf area</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 The spad measurment have been correlated with chlorophyll and carotenoid content in potato and other crops</w:t>
      </w:r>
      <w:r>
        <w:t xml:space="preserve"> </w:t>
      </w:r>
      <w:r>
        <w:rPr>
          <w:i/>
        </w:rPr>
        <w:t xml:space="preserve">(Ramírez et al. 2014: Marenco et al. 2009)</w:t>
      </w:r>
      <w:r>
        <w:t xml:space="preserve"> </w:t>
      </w:r>
      <w:r>
        <w:t xml:space="preserve">and are used in selecting genotypes tolerant to drought in breeding programs. The multivariate analysis shown that genotypes under drougth stress increase their spad content for offset the reduction in the leaf area with thicker leaves because the impose of drought decrease severely the leaf area in all genotypes, this phoenom cause that the plant tray to be more efficient with less leaf area and increase the phosyntetic activity reflected in the quantity of clorophyll related to the leaf area that we denominated relative chlorophyll content</w:t>
      </w:r>
      <w:r>
        <w:t xml:space="preserve"> </w:t>
      </w:r>
      <w:r>
        <w:t xml:space="preserve">2</w:t>
      </w:r>
      <w:r>
        <w:t xml:space="preserve">B. In our results genotypes in WW condition all have in average the same values of rcc, but it changes for WD conditions showing genotypes with better performance in this indice and be realted with the water use efficiency</w:t>
      </w:r>
      <w:r>
        <w:t xml:space="preserve"> </w:t>
      </w:r>
      <w:r>
        <w:t xml:space="preserve">3</w:t>
      </w:r>
      <w:r>
        <w:t xml:space="preserve">A. Include the rcc in the multivariate analysis allows to discern between the best genotypes under WD deficit such as CIP392797.22 (UNICA), CIP397077.16, CIP398190.89, CIP398208.219, CIP398208.620, Figure</w:t>
      </w:r>
      <w:r>
        <w:t xml:space="preserve"> </w:t>
      </w:r>
      <w:r>
        <w:t xml:space="preserve">3</w:t>
      </w:r>
      <w:r>
        <w:t xml:space="preserve">B; and the same genotypes shown good response in tuber production under WW condition. In average this genotypes have better water use efficency in tuber production y have more harvet index Figure</w:t>
      </w:r>
      <w:r>
        <w:t xml:space="preserve"> </w:t>
      </w:r>
      <w:r>
        <w:t xml:space="preserve">3</w:t>
      </w:r>
      <w:r>
        <w:t xml:space="preserve">.</w:t>
      </w:r>
    </w:p>
    <w:p>
      <w:pPr>
        <w:pStyle w:val="BodyText"/>
      </w:pPr>
      <w:r>
        <w:t xml:space="preserve">In the present work we apply gradually reduction of the water supply and evaluate the process in fifteen genotype response under controlled condition, but it is known that in field condition the abiotic stress is a combination of several factor and not only the drought or heat of both at the same time so is necessary study the mechanims of tolerance to water stress (Hu et al., 2010; Zegada-Lizarazu and Monti, 2013). Uni-variate variable analysis is not too much helpful to understands the response of the potato under drought stress. Variables such as the chlorophyll content, harvest index, spad and root dry weight are outlined to be a good indicators for tuber water use efficient, useful traits for direct and indirect selection fot tolerant genotypes to drought stress using fast, easy and inexpensive evaluations for first stage of breeding programs were is required to plant high number of accessions.</w:t>
      </w:r>
    </w:p>
    <w:p>
      <w:pPr>
        <w:pStyle w:val="Ttulo1"/>
      </w:pPr>
      <w:bookmarkStart w:id="36" w:name="conclusions"/>
      <w:r>
        <w:t xml:space="preserve">Conclusions</w:t>
      </w:r>
      <w:bookmarkEnd w:id="36"/>
    </w:p>
    <w:p>
      <w:pPr>
        <w:pStyle w:val="FirstParagraph"/>
      </w:pPr>
      <w:r>
        <w:t xml:space="preserve">Tolerant genotypes like CIP392797.22 (UNICA), CIP397077.16, CIP398190.89, CIP398208.219, CIP398208.620 preferentially use available water for tuber production rather than biomass production represented by their high wue</w:t>
      </w:r>
      <w:r>
        <w:rPr>
          <w:vertAlign w:val="subscript"/>
        </w:rPr>
        <w:t xml:space="preserve">t</w:t>
      </w:r>
      <w:r>
        <w:t xml:space="preserve">. The genotypes with high harvest index and relative chlorophyll content with less root dry weight present mechanisms for drought avoiding and be good indicators for tuber water use efficient. This traits could be useful as selection criteria for first stage breeding programs because are easy and chip to measure in large populations.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09" w:name="refs"/>
    <w:bookmarkStart w:id="40"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39">
        <w:r>
          <w:rPr>
            <w:rStyle w:val="Hipervnculo"/>
          </w:rPr>
          <w:t xml:space="preserve">https://doi.org/10.1007/s11032-012-9728-5</w:t>
        </w:r>
      </w:hyperlink>
    </w:p>
    <w:bookmarkEnd w:id="40"/>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3">
        <w:r>
          <w:rPr>
            <w:rStyle w:val="Hipervnculo"/>
          </w:rPr>
          <w:t xml:space="preserve">https://doi.org/10.1007/s12571-012-0220-1</w:t>
        </w:r>
      </w:hyperlink>
    </w:p>
    <w:bookmarkEnd w:id="44"/>
    <w:bookmarkStart w:id="46"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5">
        <w:r>
          <w:rPr>
            <w:rStyle w:val="Hipervnculo"/>
          </w:rPr>
          <w:t xml:space="preserve">https://doi.org/10.1071/FP11101</w:t>
        </w:r>
      </w:hyperlink>
    </w:p>
    <w:bookmarkEnd w:id="46"/>
    <w:bookmarkStart w:id="48"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7">
        <w:r>
          <w:rPr>
            <w:rStyle w:val="Hipervnculo"/>
          </w:rPr>
          <w:t xml:space="preserve">https://doi.org/10.1007/BF02407559</w:t>
        </w:r>
      </w:hyperlink>
    </w:p>
    <w:bookmarkEnd w:id="48"/>
    <w:bookmarkStart w:id="50"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49">
        <w:r>
          <w:rPr>
            <w:rStyle w:val="Hipervnculo"/>
          </w:rPr>
          <w:t xml:space="preserve">https://doi.org/10.1016/S1161-0301(00)00081-2</w:t>
        </w:r>
      </w:hyperlink>
    </w:p>
    <w:bookmarkEnd w:id="50"/>
    <w:bookmarkStart w:id="52"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1">
        <w:r>
          <w:rPr>
            <w:rStyle w:val="Hipervnculo"/>
          </w:rPr>
          <w:t xml:space="preserve">https://CRAN.R-project.org/package=agricolae</w:t>
        </w:r>
      </w:hyperlink>
    </w:p>
    <w:bookmarkEnd w:id="52"/>
    <w:bookmarkStart w:id="54"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53">
        <w:r>
          <w:rPr>
            <w:rStyle w:val="Hipervnculo"/>
          </w:rPr>
          <w:t xml:space="preserve">https://doi.org/10.3389/fpls.2020.00169</w:t>
        </w:r>
      </w:hyperlink>
    </w:p>
    <w:bookmarkEnd w:id="54"/>
    <w:bookmarkStart w:id="56"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5">
        <w:r>
          <w:rPr>
            <w:rStyle w:val="Hipervnculo"/>
          </w:rPr>
          <w:t xml:space="preserve">https://doi.org/10.1093/bioinformatics/btx657</w:t>
        </w:r>
      </w:hyperlink>
    </w:p>
    <w:bookmarkEnd w:id="56"/>
    <w:bookmarkStart w:id="58"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57">
        <w:r>
          <w:rPr>
            <w:rStyle w:val="Hipervnculo"/>
          </w:rPr>
          <w:t xml:space="preserve">http://35.231.225.15/index.php/rev-alap/article/view/143</w:t>
        </w:r>
      </w:hyperlink>
    </w:p>
    <w:bookmarkEnd w:id="58"/>
    <w:bookmarkStart w:id="60"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9">
        <w:r>
          <w:rPr>
            <w:rStyle w:val="Hipervnculo"/>
          </w:rPr>
          <w:t xml:space="preserve">https://CRAN.R-project.org/package=FactoMineR</w:t>
        </w:r>
      </w:hyperlink>
    </w:p>
    <w:bookmarkEnd w:id="60"/>
    <w:bookmarkStart w:id="62"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61">
        <w:r>
          <w:rPr>
            <w:rStyle w:val="Hipervnculo"/>
          </w:rPr>
          <w:t xml:space="preserve">https://doi.org/10.1016/j.jplph.2016.08.014</w:t>
        </w:r>
      </w:hyperlink>
    </w:p>
    <w:bookmarkEnd w:id="62"/>
    <w:bookmarkStart w:id="64"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63">
        <w:r>
          <w:rPr>
            <w:rStyle w:val="Hipervnculo"/>
          </w:rPr>
          <w:t xml:space="preserve">https://doi.org/10.18637/jss.v025.i01</w:t>
        </w:r>
      </w:hyperlink>
    </w:p>
    <w:bookmarkEnd w:id="64"/>
    <w:bookmarkStart w:id="66"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65">
        <w:r>
          <w:rPr>
            <w:rStyle w:val="Hipervnculo"/>
          </w:rPr>
          <w:t xml:space="preserve">https://doi.org/10.1042/bst0110591</w:t>
        </w:r>
      </w:hyperlink>
    </w:p>
    <w:bookmarkEnd w:id="66"/>
    <w:bookmarkStart w:id="68"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67">
        <w:r>
          <w:rPr>
            <w:rStyle w:val="Hipervnculo"/>
          </w:rPr>
          <w:t xml:space="preserve">https://doi.org/10.1007/s11120-010-9606-0</w:t>
        </w:r>
      </w:hyperlink>
    </w:p>
    <w:bookmarkEnd w:id="68"/>
    <w:bookmarkStart w:id="70"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69">
        <w:r>
          <w:rPr>
            <w:rStyle w:val="Hipervnculo"/>
          </w:rPr>
          <w:t xml:space="preserve">https://doi.org/10.1016/j.plantsci.2004.10.016</w:t>
        </w:r>
      </w:hyperlink>
    </w:p>
    <w:bookmarkEnd w:id="70"/>
    <w:bookmarkStart w:id="72"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71">
        <w:r>
          <w:rPr>
            <w:rStyle w:val="Hipervnculo"/>
          </w:rPr>
          <w:t xml:space="preserve">https://doi.org/10.1016/j.scienta.2006.04.004</w:t>
        </w:r>
      </w:hyperlink>
    </w:p>
    <w:bookmarkEnd w:id="72"/>
    <w:bookmarkStart w:id="74"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73">
        <w:r>
          <w:rPr>
            <w:rStyle w:val="Hipervnculo"/>
          </w:rPr>
          <w:t xml:space="preserve">https://doi.org/10.1111/1440-1703.1275</w:t>
        </w:r>
      </w:hyperlink>
    </w:p>
    <w:bookmarkEnd w:id="74"/>
    <w:bookmarkStart w:id="76"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75">
        <w:r>
          <w:rPr>
            <w:rStyle w:val="Hipervnculo"/>
          </w:rPr>
          <w:t xml:space="preserve">https://doi.org/10.1007/s11540-014-9263-3</w:t>
        </w:r>
      </w:hyperlink>
    </w:p>
    <w:bookmarkEnd w:id="76"/>
    <w:bookmarkStart w:id="78"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77">
        <w:r>
          <w:rPr>
            <w:rStyle w:val="Hipervnculo"/>
          </w:rPr>
          <w:t xml:space="preserve">https://doi.org/10.1016/j.plantsci.2013.01.011</w:t>
        </w:r>
      </w:hyperlink>
    </w:p>
    <w:bookmarkEnd w:id="78"/>
    <w:bookmarkStart w:id="80"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79">
        <w:r>
          <w:rPr>
            <w:rStyle w:val="Hipervnculo"/>
          </w:rPr>
          <w:t xml:space="preserve">https://doi.org/10.3389/fpls.2015.00542</w:t>
        </w:r>
      </w:hyperlink>
    </w:p>
    <w:bookmarkEnd w:id="80"/>
    <w:bookmarkStart w:id="82"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81">
        <w:r>
          <w:rPr>
            <w:rStyle w:val="Hipervnculo"/>
          </w:rPr>
          <w:t xml:space="preserve">https://doi.org/10.1093/jxb/49.325.1381</w:t>
        </w:r>
      </w:hyperlink>
    </w:p>
    <w:bookmarkEnd w:id="82"/>
    <w:bookmarkStart w:id="84"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83">
        <w:r>
          <w:rPr>
            <w:rStyle w:val="Hipervnculo"/>
          </w:rPr>
          <w:t xml:space="preserve">https://www.R-project.org/</w:t>
        </w:r>
      </w:hyperlink>
    </w:p>
    <w:bookmarkEnd w:id="84"/>
    <w:bookmarkStart w:id="86"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85">
        <w:r>
          <w:rPr>
            <w:rStyle w:val="Hipervnculo"/>
          </w:rPr>
          <w:t xml:space="preserve">https://doi.org/10.1016/j.envexpbot.2014.09.006</w:t>
        </w:r>
      </w:hyperlink>
    </w:p>
    <w:bookmarkEnd w:id="86"/>
    <w:bookmarkStart w:id="88"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87">
        <w:r>
          <w:rPr>
            <w:rStyle w:val="Hipervnculo"/>
          </w:rPr>
          <w:t xml:space="preserve">https://doi.org/10.1186/s12859-017-1934-z</w:t>
        </w:r>
      </w:hyperlink>
    </w:p>
    <w:bookmarkEnd w:id="88"/>
    <w:bookmarkStart w:id="90"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89">
        <w:r>
          <w:rPr>
            <w:rStyle w:val="Hipervnculo"/>
          </w:rPr>
          <w:t xml:space="preserve">https://doi.org/10.1007/s11540-007-9030-9</w:t>
        </w:r>
      </w:hyperlink>
    </w:p>
    <w:bookmarkEnd w:id="90"/>
    <w:bookmarkStart w:id="92"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91">
        <w:r>
          <w:rPr>
            <w:rStyle w:val="Hipervnculo"/>
          </w:rPr>
          <w:t xml:space="preserve">https://doi.org/10.1071/PP9860329</w:t>
        </w:r>
      </w:hyperlink>
    </w:p>
    <w:bookmarkEnd w:id="92"/>
    <w:bookmarkStart w:id="94"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93">
        <w:r>
          <w:rPr>
            <w:rStyle w:val="Hipervnculo"/>
          </w:rPr>
          <w:t xml:space="preserve">https://doi.org/10.2307/1309424</w:t>
        </w:r>
      </w:hyperlink>
    </w:p>
    <w:bookmarkEnd w:id="94"/>
    <w:bookmarkStart w:id="96"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95">
        <w:r>
          <w:rPr>
            <w:rStyle w:val="Hipervnculo"/>
          </w:rPr>
          <w:t xml:space="preserve">https://doi.org/10.1270/jsbbs.66.328</w:t>
        </w:r>
      </w:hyperlink>
    </w:p>
    <w:bookmarkEnd w:id="96"/>
    <w:bookmarkStart w:id="98"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97">
        <w:r>
          <w:rPr>
            <w:rStyle w:val="Hipervnculo"/>
          </w:rPr>
          <w:t xml:space="preserve">https://doi.org/10.1111/pce.12780</w:t>
        </w:r>
      </w:hyperlink>
    </w:p>
    <w:bookmarkEnd w:id="98"/>
    <w:bookmarkStart w:id="100"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99">
        <w:r>
          <w:rPr>
            <w:rStyle w:val="Hipervnculo"/>
          </w:rPr>
          <w:t xml:space="preserve">https://doi.org/10.1007/s12230-012-9285-9</w:t>
        </w:r>
      </w:hyperlink>
    </w:p>
    <w:bookmarkEnd w:id="100"/>
    <w:bookmarkStart w:id="102"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01">
        <w:r>
          <w:rPr>
            <w:rStyle w:val="Hipervnculo"/>
          </w:rPr>
          <w:t xml:space="preserve">https://doi.org/10.1093/jxb/ern073</w:t>
        </w:r>
      </w:hyperlink>
    </w:p>
    <w:bookmarkEnd w:id="102"/>
    <w:bookmarkStart w:id="104"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03">
        <w:r>
          <w:rPr>
            <w:rStyle w:val="Hipervnculo"/>
          </w:rPr>
          <w:t xml:space="preserve">https://doi.org/10.1016/j.plantsci.2006.07.010</w:t>
        </w:r>
      </w:hyperlink>
    </w:p>
    <w:bookmarkEnd w:id="104"/>
    <w:bookmarkStart w:id="106"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05">
        <w:r>
          <w:rPr>
            <w:rStyle w:val="Hipervnculo"/>
          </w:rPr>
          <w:t xml:space="preserve">https://doi.org/10.1007/s00606-015-1242-x</w:t>
        </w:r>
      </w:hyperlink>
    </w:p>
    <w:bookmarkEnd w:id="106"/>
    <w:bookmarkStart w:id="108"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07">
        <w:r>
          <w:rPr>
            <w:rStyle w:val="Hipervnculo"/>
          </w:rPr>
          <w:t xml:space="preserve">https://revistabrasileirademeioambiente.com/index.php/RVBMA/article/view/44</w:t>
        </w:r>
      </w:hyperlink>
    </w:p>
    <w:bookmarkEnd w:id="108"/>
    <w:bookmarkEnd w:id="109"/>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rcc</w:t>
            </w:r>
          </w:p>
        </w:tc>
        <w:tc>
          <w:p>
            <w:pPr>
              <w:pStyle w:val="Compact"/>
              <w:jc w:val="left"/>
            </w:pPr>
            <w:r>
              <w:t xml:space="preserve">2.13 ± 1.52</w:t>
            </w:r>
          </w:p>
        </w:tc>
        <w:tc>
          <w:p>
            <w:pPr>
              <w:pStyle w:val="Compact"/>
              <w:jc w:val="left"/>
            </w:pPr>
            <w:r>
              <w:t xml:space="preserve">0.75 ± 0.73</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srl.png" id="0" name="Picture"/>
                    <pic:cNvPicPr>
                      <a:picLocks noChangeArrowheads="1" noChangeAspect="1"/>
                    </pic:cNvPicPr>
                  </pic:nvPicPr>
                  <pic:blipFill>
                    <a:blip r:embed="rId110"/>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Relative Chlorophyll Content (rcc).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1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Relative Chlorophyll Content (rcc).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mva.png" id="0" name="Picture"/>
                    <pic:cNvPicPr>
                      <a:picLocks noChangeArrowheads="1" noChangeAspect="1"/>
                    </pic:cNvPicPr>
                  </pic:nvPicPr>
                  <pic:blipFill>
                    <a:blip r:embed="rId112"/>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13" w:name="supplementary-information"/>
      <w:r>
        <w:t xml:space="preserve">Supplementary information</w:t>
      </w:r>
      <w:bookmarkEnd w:id="113"/>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cor.png" id="0" name="Picture"/>
                    <pic:cNvPicPr>
                      <a:picLocks noChangeArrowheads="1" noChangeAspect="1"/>
                    </pic:cNvPicPr>
                  </pic:nvPicPr>
                  <pic:blipFill>
                    <a:blip r:embed="rId114"/>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14" Target="media/rId114.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0" Target="media/rId110.png" /><Relationship Type="http://schemas.openxmlformats.org/officeDocument/2006/relationships/hyperlink" Id="rId57" Target="http://35.231.225.15/index.php/rev-alap/article/view/143" TargetMode="External" /><Relationship Type="http://schemas.openxmlformats.org/officeDocument/2006/relationships/hyperlink" Id="rId59"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105" Target="https://doi.org/10.1007/s00606-015-1242-x" TargetMode="External" /><Relationship Type="http://schemas.openxmlformats.org/officeDocument/2006/relationships/hyperlink" Id="rId39" Target="https://doi.org/10.1007/s11032-012-9728-5" TargetMode="External" /><Relationship Type="http://schemas.openxmlformats.org/officeDocument/2006/relationships/hyperlink" Id="rId67" Target="https://doi.org/10.1007/s11120-010-9606-0" TargetMode="External" /><Relationship Type="http://schemas.openxmlformats.org/officeDocument/2006/relationships/hyperlink" Id="rId89" Target="https://doi.org/10.1007/s11540-007-9030-9" TargetMode="External" /><Relationship Type="http://schemas.openxmlformats.org/officeDocument/2006/relationships/hyperlink" Id="rId75" Target="https://doi.org/10.1007/s11540-014-9263-3" TargetMode="External" /><Relationship Type="http://schemas.openxmlformats.org/officeDocument/2006/relationships/hyperlink" Id="rId99" Target="https://doi.org/10.1007/s12230-012-9285-9" TargetMode="External" /><Relationship Type="http://schemas.openxmlformats.org/officeDocument/2006/relationships/hyperlink" Id="rId43" Target="https://doi.org/10.1007/s12571-012-0220-1" TargetMode="External" /><Relationship Type="http://schemas.openxmlformats.org/officeDocument/2006/relationships/hyperlink" Id="rId49" Target="https://doi.org/10.1016/S1161-0301(00)00081-2" TargetMode="External" /><Relationship Type="http://schemas.openxmlformats.org/officeDocument/2006/relationships/hyperlink" Id="rId85" Target="https://doi.org/10.1016/j.envexpbot.2014.09.006" TargetMode="External" /><Relationship Type="http://schemas.openxmlformats.org/officeDocument/2006/relationships/hyperlink" Id="rId61" Target="https://doi.org/10.1016/j.jplph.2016.08.014" TargetMode="External" /><Relationship Type="http://schemas.openxmlformats.org/officeDocument/2006/relationships/hyperlink" Id="rId69" Target="https://doi.org/10.1016/j.plantsci.2004.10.016" TargetMode="External" /><Relationship Type="http://schemas.openxmlformats.org/officeDocument/2006/relationships/hyperlink" Id="rId103" Target="https://doi.org/10.1016/j.plantsci.2006.07.010" TargetMode="External" /><Relationship Type="http://schemas.openxmlformats.org/officeDocument/2006/relationships/hyperlink" Id="rId77" Target="https://doi.org/10.1016/j.plantsci.2013.01.011" TargetMode="External" /><Relationship Type="http://schemas.openxmlformats.org/officeDocument/2006/relationships/hyperlink" Id="rId71" Target="https://doi.org/10.1016/j.scienta.2006.04.004" TargetMode="External" /><Relationship Type="http://schemas.openxmlformats.org/officeDocument/2006/relationships/hyperlink" Id="rId65" Target="https://doi.org/10.1042/bst0110591" TargetMode="External" /><Relationship Type="http://schemas.openxmlformats.org/officeDocument/2006/relationships/hyperlink" Id="rId45" Target="https://doi.org/10.1071/FP11101" TargetMode="External" /><Relationship Type="http://schemas.openxmlformats.org/officeDocument/2006/relationships/hyperlink" Id="rId91" Target="https://doi.org/10.1071/PP9860329" TargetMode="External" /><Relationship Type="http://schemas.openxmlformats.org/officeDocument/2006/relationships/hyperlink" Id="rId55" Target="https://doi.org/10.1093/bioinformatics/btx657" TargetMode="External" /><Relationship Type="http://schemas.openxmlformats.org/officeDocument/2006/relationships/hyperlink" Id="rId81" Target="https://doi.org/10.1093/jxb/49.325.1381" TargetMode="External" /><Relationship Type="http://schemas.openxmlformats.org/officeDocument/2006/relationships/hyperlink" Id="rId101" Target="https://doi.org/10.1093/jxb/ern073" TargetMode="External" /><Relationship Type="http://schemas.openxmlformats.org/officeDocument/2006/relationships/hyperlink" Id="rId73" Target="https://doi.org/10.1111/1440-1703.1275" TargetMode="External" /><Relationship Type="http://schemas.openxmlformats.org/officeDocument/2006/relationships/hyperlink" Id="rId97" Target="https://doi.org/10.1111/pce.12780" TargetMode="External" /><Relationship Type="http://schemas.openxmlformats.org/officeDocument/2006/relationships/hyperlink" Id="rId87" Target="https://doi.org/10.1186/s12859-017-1934-z" TargetMode="External" /><Relationship Type="http://schemas.openxmlformats.org/officeDocument/2006/relationships/hyperlink" Id="rId95" Target="https://doi.org/10.1270/jsbbs.66.328" TargetMode="External" /><Relationship Type="http://schemas.openxmlformats.org/officeDocument/2006/relationships/hyperlink" Id="rId63" Target="https://doi.org/10.18637/jss.v025.i01" TargetMode="External" /><Relationship Type="http://schemas.openxmlformats.org/officeDocument/2006/relationships/hyperlink" Id="rId93" Target="https://doi.org/10.2307/1309424" TargetMode="External" /><Relationship Type="http://schemas.openxmlformats.org/officeDocument/2006/relationships/hyperlink" Id="rId79" Target="https://doi.org/10.3389/fpls.2015.00542" TargetMode="External" /><Relationship Type="http://schemas.openxmlformats.org/officeDocument/2006/relationships/hyperlink" Id="rId53" Target="https://doi.org/10.3389/fpls.2020.00169" TargetMode="External" /><Relationship Type="http://schemas.openxmlformats.org/officeDocument/2006/relationships/hyperlink" Id="rId29" Target="https://github.com/flavjack/20130515LM" TargetMode="External" /><Relationship Type="http://schemas.openxmlformats.org/officeDocument/2006/relationships/hyperlink" Id="rId107" Target="https://revistabrasileirademeioambiente.com/index.php/RVBMA/article/view/44" TargetMode="External" /><Relationship Type="http://schemas.openxmlformats.org/officeDocument/2006/relationships/hyperlink" Id="rId8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7" Target="http://35.231.225.15/index.php/rev-alap/article/view/143" TargetMode="External" /><Relationship Type="http://schemas.openxmlformats.org/officeDocument/2006/relationships/hyperlink" Id="rId59"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105" Target="https://doi.org/10.1007/s00606-015-1242-x" TargetMode="External" /><Relationship Type="http://schemas.openxmlformats.org/officeDocument/2006/relationships/hyperlink" Id="rId39" Target="https://doi.org/10.1007/s11032-012-9728-5" TargetMode="External" /><Relationship Type="http://schemas.openxmlformats.org/officeDocument/2006/relationships/hyperlink" Id="rId67" Target="https://doi.org/10.1007/s11120-010-9606-0" TargetMode="External" /><Relationship Type="http://schemas.openxmlformats.org/officeDocument/2006/relationships/hyperlink" Id="rId89" Target="https://doi.org/10.1007/s11540-007-9030-9" TargetMode="External" /><Relationship Type="http://schemas.openxmlformats.org/officeDocument/2006/relationships/hyperlink" Id="rId75" Target="https://doi.org/10.1007/s11540-014-9263-3" TargetMode="External" /><Relationship Type="http://schemas.openxmlformats.org/officeDocument/2006/relationships/hyperlink" Id="rId99" Target="https://doi.org/10.1007/s12230-012-9285-9" TargetMode="External" /><Relationship Type="http://schemas.openxmlformats.org/officeDocument/2006/relationships/hyperlink" Id="rId43" Target="https://doi.org/10.1007/s12571-012-0220-1" TargetMode="External" /><Relationship Type="http://schemas.openxmlformats.org/officeDocument/2006/relationships/hyperlink" Id="rId49" Target="https://doi.org/10.1016/S1161-0301(00)00081-2" TargetMode="External" /><Relationship Type="http://schemas.openxmlformats.org/officeDocument/2006/relationships/hyperlink" Id="rId85" Target="https://doi.org/10.1016/j.envexpbot.2014.09.006" TargetMode="External" /><Relationship Type="http://schemas.openxmlformats.org/officeDocument/2006/relationships/hyperlink" Id="rId61" Target="https://doi.org/10.1016/j.jplph.2016.08.014" TargetMode="External" /><Relationship Type="http://schemas.openxmlformats.org/officeDocument/2006/relationships/hyperlink" Id="rId69" Target="https://doi.org/10.1016/j.plantsci.2004.10.016" TargetMode="External" /><Relationship Type="http://schemas.openxmlformats.org/officeDocument/2006/relationships/hyperlink" Id="rId103" Target="https://doi.org/10.1016/j.plantsci.2006.07.010" TargetMode="External" /><Relationship Type="http://schemas.openxmlformats.org/officeDocument/2006/relationships/hyperlink" Id="rId77" Target="https://doi.org/10.1016/j.plantsci.2013.01.011" TargetMode="External" /><Relationship Type="http://schemas.openxmlformats.org/officeDocument/2006/relationships/hyperlink" Id="rId71" Target="https://doi.org/10.1016/j.scienta.2006.04.004" TargetMode="External" /><Relationship Type="http://schemas.openxmlformats.org/officeDocument/2006/relationships/hyperlink" Id="rId65" Target="https://doi.org/10.1042/bst0110591" TargetMode="External" /><Relationship Type="http://schemas.openxmlformats.org/officeDocument/2006/relationships/hyperlink" Id="rId45" Target="https://doi.org/10.1071/FP11101" TargetMode="External" /><Relationship Type="http://schemas.openxmlformats.org/officeDocument/2006/relationships/hyperlink" Id="rId91" Target="https://doi.org/10.1071/PP9860329" TargetMode="External" /><Relationship Type="http://schemas.openxmlformats.org/officeDocument/2006/relationships/hyperlink" Id="rId55" Target="https://doi.org/10.1093/bioinformatics/btx657" TargetMode="External" /><Relationship Type="http://schemas.openxmlformats.org/officeDocument/2006/relationships/hyperlink" Id="rId81" Target="https://doi.org/10.1093/jxb/49.325.1381" TargetMode="External" /><Relationship Type="http://schemas.openxmlformats.org/officeDocument/2006/relationships/hyperlink" Id="rId101" Target="https://doi.org/10.1093/jxb/ern073" TargetMode="External" /><Relationship Type="http://schemas.openxmlformats.org/officeDocument/2006/relationships/hyperlink" Id="rId73" Target="https://doi.org/10.1111/1440-1703.1275" TargetMode="External" /><Relationship Type="http://schemas.openxmlformats.org/officeDocument/2006/relationships/hyperlink" Id="rId97" Target="https://doi.org/10.1111/pce.12780" TargetMode="External" /><Relationship Type="http://schemas.openxmlformats.org/officeDocument/2006/relationships/hyperlink" Id="rId87" Target="https://doi.org/10.1186/s12859-017-1934-z" TargetMode="External" /><Relationship Type="http://schemas.openxmlformats.org/officeDocument/2006/relationships/hyperlink" Id="rId95" Target="https://doi.org/10.1270/jsbbs.66.328" TargetMode="External" /><Relationship Type="http://schemas.openxmlformats.org/officeDocument/2006/relationships/hyperlink" Id="rId63" Target="https://doi.org/10.18637/jss.v025.i01" TargetMode="External" /><Relationship Type="http://schemas.openxmlformats.org/officeDocument/2006/relationships/hyperlink" Id="rId93" Target="https://doi.org/10.2307/1309424" TargetMode="External" /><Relationship Type="http://schemas.openxmlformats.org/officeDocument/2006/relationships/hyperlink" Id="rId79" Target="https://doi.org/10.3389/fpls.2015.00542" TargetMode="External" /><Relationship Type="http://schemas.openxmlformats.org/officeDocument/2006/relationships/hyperlink" Id="rId53" Target="https://doi.org/10.3389/fpls.2020.00169" TargetMode="External" /><Relationship Type="http://schemas.openxmlformats.org/officeDocument/2006/relationships/hyperlink" Id="rId29" Target="https://github.com/flavjack/20130515LM" TargetMode="External" /><Relationship Type="http://schemas.openxmlformats.org/officeDocument/2006/relationships/hyperlink" Id="rId107" Target="https://revistabrasileirademeioambiente.com/index.php/RVBMA/article/view/44" TargetMode="External" /><Relationship Type="http://schemas.openxmlformats.org/officeDocument/2006/relationships/hyperlink" Id="rId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Evelyn Farfan-Vignolo^{1}, Raymundo Gutierrez^{1}, Raul Blas^{2}, Khan Awais^{1*}; ^{1} International Potato Center (CIP), Av. La Molina 1895, La Molina, 1558, Peru.; ^{2} Universidad Nacional Agraria La Molina (UNALM), Av. La Molina, 1558, Peru.; ^{*}Corresponding author.</dc:creator>
  <dc:description>document template for scientific report</dc:description>
  <cp:keywords/>
  <dcterms:created xsi:type="dcterms:W3CDTF">2020-03-17T22:08:40Z</dcterms:created>
  <dcterms:modified xsi:type="dcterms:W3CDTF">2020-03-17T22:08:40Z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