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92.png" ContentType="image/png"/>
  <Override PartName="/word/media/rId91.png" ContentType="image/png"/>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understand the relation between traits and mechanisms of tolerance in potato, and provide useful information for selection of drought tolerance in breeding programs. In order to explore the different responses of potato under drought, we evaluated fifteen genotypes under well watered (WD) and water deficit (WD) conditions for a range of agro-morphological and physiological traits.</w:t>
      </w:r>
    </w:p>
    <w:p>
      <w:pPr>
        <w:pStyle w:val="BodyText"/>
      </w:pPr>
      <w:r>
        <w:t xml:space="preserve">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water use efficency.</w:t>
      </w:r>
    </w:p>
    <w:p>
      <w:pPr>
        <w:pStyle w:val="BodyText"/>
      </w:pPr>
      <w:r>
        <w:rPr>
          <w:b/>
        </w:rPr>
        <w:t xml:space="preserve">Key words:</w:t>
      </w:r>
      <w:r>
        <w:t xml:space="preserve"> </w:t>
      </w:r>
      <w:r>
        <w:t xml:space="preserve">abiotic stress, harvest index, lisimeter, drought tolerance</w:t>
      </w:r>
    </w:p>
    <w:p>
      <w:pPr>
        <w:pStyle w:val="Textodebloque"/>
      </w:pPr>
      <w:r>
        <w:t xml:space="preserve">Incluse some info about the potato!</w:t>
      </w:r>
    </w:p>
    <w:p>
      <w:pPr>
        <w:pStyle w:val="Ttulo1"/>
      </w:pPr>
      <w:bookmarkStart w:id="22" w:name="introduction"/>
      <w:r>
        <w:t xml:space="preserve">Introduction</w:t>
      </w:r>
      <w:bookmarkEnd w:id="22"/>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r>
        <w:t xml:space="preserve"> </w:t>
      </w:r>
      <w:r>
        <w:rPr>
          <w:i/>
        </w:rPr>
        <w:t xml:space="preserve">cita</w:t>
      </w:r>
      <w:r>
        <w:t xml:space="preserve">.</w:t>
      </w:r>
    </w:p>
    <w:p>
      <w:pPr>
        <w:pStyle w:val="BodyText"/>
      </w:pPr>
      <w:r>
        <w:t xml:space="preserve">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w:t>
      </w:r>
      <w:r>
        <w:t xml:space="preserve">. Nevertheless, potato has a high harvest index in comparison with cereals and relatively low demand for water</w:t>
      </w:r>
      <w:r>
        <w:t xml:space="preserve"> </w:t>
      </w:r>
      <w:r>
        <w:rPr>
          <w:i/>
        </w:rPr>
        <w:t xml:space="preserve">cita</w:t>
      </w:r>
      <w:r>
        <w:t xml:space="preserve">.</w:t>
      </w:r>
    </w:p>
    <w:p>
      <w:pPr>
        <w:pStyle w:val="BodyText"/>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2013Potato">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2005Drought">
        <w:r>
          <w:rPr>
            <w:rStyle w:val="Hipervnculo"/>
          </w:rPr>
          <w:t xml:space="preserve">2005</w:t>
        </w:r>
      </w:hyperlink>
      <w:r>
        <w:t xml:space="preserve">; Hochman et al.,</w:t>
      </w:r>
      <w:r>
        <w:t xml:space="preserve"> </w:t>
      </w:r>
      <w:hyperlink w:anchor="ref-hochman2009Potential">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2014Effect">
        <w:r>
          <w:rPr>
            <w:rStyle w:val="Hipervnculo"/>
          </w:rPr>
          <w:t xml:space="preserve">2014</w:t>
        </w:r>
      </w:hyperlink>
      <w:r>
        <w:t xml:space="preserve">; Condon et al.,</w:t>
      </w:r>
      <w:r>
        <w:t xml:space="preserve"> </w:t>
      </w:r>
      <w:hyperlink w:anchor="ref-condon2004Breeding">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&amp; Howell,</w:t>
      </w:r>
      <w:r>
        <w:t xml:space="preserve"> </w:t>
      </w:r>
      <w:hyperlink w:anchor="ref-tolk2009Transpiration">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&amp; Peñuelas,</w:t>
      </w:r>
      <w:r>
        <w:t xml:space="preserve"> </w:t>
      </w:r>
      <w:hyperlink w:anchor="ref-ogaya2003Comparative">
        <w:r>
          <w:rPr>
            <w:rStyle w:val="Hipervnculo"/>
          </w:rPr>
          <w:t xml:space="preserve">2003</w:t>
        </w:r>
      </w:hyperlink>
      <w:r>
        <w:t xml:space="preserve">)</w:t>
      </w:r>
      <w:r>
        <w:t xml:space="preserve">.</w:t>
      </w:r>
    </w:p>
    <w:p>
      <w:pPr>
        <w:pStyle w:val="BodyText"/>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&amp; Midmore,</w:t>
      </w:r>
      <w:r>
        <w:t xml:space="preserve"> </w:t>
      </w:r>
      <w:hyperlink w:anchor="ref-trebejo1990Effect">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2012Phenotyping">
        <w:r>
          <w:rPr>
            <w:rStyle w:val="Hipervnculo"/>
          </w:rPr>
          <w:t xml:space="preserve">2012</w:t>
        </w:r>
      </w:hyperlink>
      <w:r>
        <w:t xml:space="preserve">)</w:t>
      </w:r>
      <w:r>
        <w:t xml:space="preserve">.</w:t>
      </w:r>
    </w:p>
    <w:p>
      <w:pPr>
        <w:pStyle w:val="BodyText"/>
      </w:pPr>
      <w:r>
        <w:t xml:space="preserve">This study elucidate the mechanisms for drought tolerance and yield in thirteen advanced potato clones and compared with two commercial varieties that are likely to arise in water-limited conditions, and explores the interrelationship between traits that help plants to mitigate yield losses under water-limited conditions. Chlorophyll content (spad), relative water content, osmotic potential, specific leaf area (sla), tuber water use efficiency (twue), harvest index (hi), among other traits, were evaluated to identify convenient indicators of plant water status that helps in the selection of clones with high tolerance to water deficit.</w:t>
      </w:r>
    </w:p>
    <w:p>
      <w:pPr>
        <w:pStyle w:val="Textodebloque"/>
      </w:pPr>
      <w:r>
        <w:t xml:space="preserve">Indirect selection between HI vs TWUE vs SPAD!</w:t>
      </w:r>
    </w:p>
    <w:p>
      <w:pPr>
        <w:pStyle w:val="Textodebloque"/>
      </w:pPr>
      <w:r>
        <w:t xml:space="preserve">Include in the intro</w:t>
      </w:r>
    </w:p>
    <w:p>
      <w:pPr>
        <w:pStyle w:val="FirstParagraph"/>
      </w:pPr>
      <w:r>
        <w:t xml:space="preserve">Plant biomass accumulation, and consequently yield, was shown to be inextricably linked to transpiration. The ratio of plant productivity to water loss, water-use efficiency, was very conservative</w:t>
      </w:r>
      <w:r>
        <w:t xml:space="preserve"> </w:t>
      </w:r>
      <w:r>
        <w:t xml:space="preserve">(Sinclair et al.,</w:t>
      </w:r>
      <w:r>
        <w:t xml:space="preserve"> </w:t>
      </w:r>
      <w:hyperlink w:anchor="ref-sinclair1984WaterUse">
        <w:r>
          <w:rPr>
            <w:rStyle w:val="Hipervnculo"/>
          </w:rPr>
          <w:t xml:space="preserve">1984</w:t>
        </w:r>
      </w:hyperlink>
      <w:r>
        <w:t xml:space="preserve">)</w:t>
      </w:r>
      <w:r>
        <w:t xml:space="preserve">.</w:t>
      </w:r>
    </w:p>
    <w:p>
      <w:pPr>
        <w:pStyle w:val="BodyText"/>
      </w:pPr>
      <w:r>
        <w:t xml:space="preserve">This ratio is called harvest index (H) and has been found to be relatively stable for a particular cultivar over a fairly wide range of conditions (Donald and Hamblin 1976).</w:t>
      </w:r>
    </w:p>
    <w:p>
      <w:pPr>
        <w:pStyle w:val="BodyText"/>
      </w:pPr>
      <w:r>
        <w:t xml:space="preserve">Evans (1980) suggested that one of the main variables for yield increases seen to date has been increases in harvest index.</w:t>
      </w:r>
    </w:p>
    <w:p>
      <w:pPr>
        <w:pStyle w:val="BodyText"/>
      </w:pPr>
      <w:r>
        <w:t xml:space="preserve">Evans (1980) further suggested that additional large increases in harvest indices are unlikely. Therefore, further increases in water-use efficiency based on marketable yield are not likely from increasesin the harvest index.</w:t>
      </w:r>
    </w:p>
    <w:p>
      <w:pPr>
        <w:pStyle w:val="BodyText"/>
      </w:pPr>
      <w:r>
        <w:t xml:space="preserve">Passioura (1977) and Fischer (1979) have argued that obtaining high harvest indexes underwater-limitedconditions is especially importantin obtaining high water-use efficiencies.</w:t>
      </w:r>
    </w:p>
    <w:p>
      <w:pPr>
        <w:pStyle w:val="BodyText"/>
      </w:pPr>
      <w:r>
        <w:t xml:space="preserve">Passioura (1977) proposed that cereals for water-limited environments be developed with roots with restricted water uptake rates. Again, such an alteration would, in principle, conserve water during vegetative growth leaving more soil waterfor extraction during grain development. The key aspect of both strategies is that sustained reproductive growth is essential for a high harvest index.</w:t>
      </w:r>
    </w:p>
    <w:p>
      <w:pPr>
        <w:pStyle w:val="BodyText"/>
      </w:pPr>
      <w:r>
        <w:t xml:space="preserve">However, a deeper and more extensive rooting system may have drawbacks. A greater root biomass would almost surely result in lowered harvest index (in potato can be advantage?)</w:t>
      </w:r>
    </w:p>
    <w:p>
      <w:pPr>
        <w:pStyle w:val="BodyText"/>
      </w:pPr>
      <w:r>
        <w:t xml:space="preserve">Improved harvest index. As illustrated in equations(7) and(9) improvements in harvest index result directly in increased water-use efficiency. The difficulty is that for many crops it appears that further substantial improvements in harvest index are unlikely.</w:t>
      </w:r>
    </w:p>
    <w:p>
      <w:pPr>
        <w:pStyle w:val="Ttulo1"/>
      </w:pPr>
      <w:bookmarkStart w:id="23" w:name="materials-and-methods"/>
      <w:r>
        <w:t xml:space="preserve">Materials and Methods</w:t>
      </w:r>
      <w:bookmarkEnd w:id="23"/>
    </w:p>
    <w:p>
      <w:pPr>
        <w:pStyle w:val="Ttulo2"/>
      </w:pPr>
      <w:bookmarkStart w:id="24" w:name="plant-material-and-experimental-design"/>
      <w:r>
        <w:t xml:space="preserve">Plant material and experimental design</w:t>
      </w:r>
      <w:bookmarkEnd w:id="24"/>
    </w:p>
    <w:p>
      <w:pPr>
        <w:pStyle w:val="FirstParagraph"/>
      </w:pPr>
      <w:r>
        <w:t xml:space="preserve">Thirteen potato clones were selected from advanced breeding population collection at International Potato Center (CIP) and two commercial varieties were grown in an environmentally controlled greenhouse at CIP (La Molina Experimental Station) at 28/15°C day/night with 70±5% average relative humidity. 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2</w:t>
      </w:r>
      <w:r>
        <w:t xml:space="preserve">).</w:t>
      </w:r>
    </w:p>
    <w:p>
      <w:pPr>
        <w:pStyle w:val="Ttulo2"/>
      </w:pPr>
      <w:bookmarkStart w:id="25" w:name="Xb2a003cd5eb9a7ca8b409056d453fb1474f0977"/>
      <w:r>
        <w:t xml:space="preserve">Relationship between transpiration rate and soil water supply</w:t>
      </w:r>
      <w:bookmarkEnd w:id="25"/>
    </w:p>
    <w:p>
      <w:pPr>
        <w:pStyle w:val="FirstParagraph"/>
      </w:pPr>
      <w:r>
        <w:t xml:space="preserve">Single plants were grown in a greenhouse in 5 liters plastic pots and It was sown containing 5 kg of dry commercial Sogemix SM2 (75% Peat Moss, perlite, vermiculite, and limestone). Fertilization was done twice with ammonium nitrate; triple superphosphate and potassium sulphate, one before planting mixed with the substrate and the other applied at the surface at 40 days after planting (DAP).</w:t>
      </w:r>
    </w:p>
    <w:p>
      <w:pPr>
        <w:pStyle w:val="BodyText"/>
      </w:pPr>
      <w:r>
        <w:t xml:space="preserve">The pots from both well water (WW) and water deficit (WD) treatments were watered to soaking and then allowed to drain overnight.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(trs)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6" w:name="evaluated-traits"/>
      <w:r>
        <w:t xml:space="preserve">Evaluated traits</w:t>
      </w:r>
      <w:bookmarkEnd w:id="26"/>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 and tuber water use efficiency (TWUE).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twue was used the dry weight from tuber production divide the cumulative water transpired during the treatment.</w:t>
      </w:r>
    </w:p>
    <w:p>
      <w:pPr>
        <w:pStyle w:val="BodyText"/>
      </w:pPr>
      <w:r>
        <w:rPr>
          <w:b/>
        </w:rPr>
        <w:t xml:space="preserve">Relative water content (rwc).</w:t>
      </w:r>
      <w:r>
        <w:t xml:space="preserve"> </w:t>
      </w:r>
      <w:r>
        <w:t xml:space="preserve">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 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2009Effect">
        <w:r>
          <w:rPr>
            <w:rStyle w:val="Hipervnculo"/>
          </w:rPr>
          <w:t xml:space="preserve">2009</w:t>
        </w:r>
      </w:hyperlink>
      <w:r>
        <w:t xml:space="preserve">)</w:t>
      </w:r>
      <w:r>
        <w:t xml:space="preserve">.</w:t>
      </w:r>
    </w:p>
    <w:p>
      <w:pPr>
        <w:pStyle w:val="BodyText"/>
      </w:pPr>
      <w:r>
        <w:rPr>
          <w:b/>
        </w:rPr>
        <w:t xml:space="preserve">Chlorophyll content (spad).</w:t>
      </w:r>
      <w:r>
        <w:t xml:space="preserve"> </w:t>
      </w: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DAP.</w:t>
      </w:r>
    </w:p>
    <w:p>
      <w:pPr>
        <w:pStyle w:val="BodyText"/>
      </w:pPr>
      <w:r>
        <w:rPr>
          <w:b/>
        </w:rPr>
        <w:t xml:space="preserve">Post-harvest traits.</w:t>
      </w:r>
      <w:r>
        <w:t xml:space="preserve"> </w:t>
      </w:r>
      <w:r>
        <w:t xml:space="preserve">The harvest was at 90 DAP.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w:t>
      </w:r>
      <w:r>
        <w:t xml:space="preserve"> </w:t>
      </w:r>
      <w:r>
        <w:t xml:space="preserve">(Zárate-Salazar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tolerance to decrease of water supply (tdws) or the percentage of yield reduction was the index used to evaluated the drought tolerance and it is used to characterize the response of each genotype to WD</w:t>
      </w:r>
      <w:r>
        <w:t xml:space="preserve"> </w:t>
      </w:r>
      <w:r>
        <w:t xml:space="preserve">(Deblonde et al.,</w:t>
      </w:r>
      <w:r>
        <w:t xml:space="preserve"> </w:t>
      </w:r>
      <w:hyperlink w:anchor="ref-deblonde1999Responses">
        <w:r>
          <w:rPr>
            <w:rStyle w:val="Hipervnculo"/>
          </w:rPr>
          <w:t xml:space="preserve">1999</w:t>
        </w:r>
      </w:hyperlink>
      <w:r>
        <w:t xml:space="preserve">; Lahlou et al.,</w:t>
      </w:r>
      <w:r>
        <w:t xml:space="preserve"> </w:t>
      </w:r>
      <w:hyperlink w:anchor="ref-lahlou2003effect">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 and specific leaf area (sla) was calculated by dividing the lfa with ldw.</w:t>
      </w:r>
    </w:p>
    <w:p>
      <w:pPr>
        <w:pStyle w:val="Ttulo2"/>
      </w:pPr>
      <w:bookmarkStart w:id="27" w:name="statistical-analysis"/>
      <w:r>
        <w:t xml:space="preserve">Statistical analysis</w:t>
      </w:r>
      <w:bookmarkEnd w:id="27"/>
    </w:p>
    <w:p>
      <w:pPr>
        <w:pStyle w:val="FirstParagraph"/>
      </w:pPr>
      <w:r>
        <w:t xml:space="preserve">The experiment was carried out in a complete randomize block design with two factors; the irrigation with well water (WW) and water deficit (WD) treatments and the fifteen potato genotypes. Each treatment consisted of five replicates with one potato plant for each experimental unit. Statistical analysis and graphs were performed in the statistical software R</w:t>
      </w:r>
      <w:r>
        <w:t xml:space="preserve"> </w:t>
      </w:r>
      <w:r>
        <w:t xml:space="preserve">(R Core Team,</w:t>
      </w:r>
      <w:r>
        <w:t xml:space="preserve"> </w:t>
      </w:r>
      <w:hyperlink w:anchor="ref-R-base">
        <w:r>
          <w:rPr>
            <w:rStyle w:val="Hipervnculo"/>
          </w:rPr>
          <w:t xml:space="preserve">2020</w:t>
        </w:r>
      </w:hyperlink>
      <w:r>
        <w:t xml:space="preserve">)</w:t>
      </w:r>
      <w:r>
        <w:t xml:space="preserve">. The analysis of variance (ANOVA) was performed to evaluate the differences between the factors and the comparison of the means with the Student-Newman-Keuls test (p&lt;0.05) from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For the multivariate analysis correlation analysis was performed and principal components analysis were made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w:t>
      </w:r>
    </w:p>
    <w:p>
      <w:pPr>
        <w:pStyle w:val="Ttulo1"/>
      </w:pPr>
      <w:bookmarkStart w:id="28" w:name="result"/>
      <w:r>
        <w:t xml:space="preserve">Result</w:t>
      </w:r>
      <w:bookmarkEnd w:id="28"/>
    </w:p>
    <w:p>
      <w:pPr>
        <w:pStyle w:val="Ttulo2"/>
      </w:pPr>
      <w:bookmarkStart w:id="29" w:name="treatment-application"/>
      <w:r>
        <w:t xml:space="preserve">Treatment application</w:t>
      </w:r>
      <w:bookmarkEnd w:id="29"/>
    </w:p>
    <w:p>
      <w:pPr>
        <w:pStyle w:val="FirstParagraph"/>
      </w:pPr>
      <w:r>
        <w:t xml:space="preserve">The drought treatment were apply at 35 day after planting (dap) and the fraction of transpirable soil water (ftsw) shown differences 14 day since treatment application. Plants in WW were maintained the water availability in the pots between 70% and 100%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 transpiration rate from 16 days after not water irrigation, Figure</w:t>
      </w:r>
      <w:r>
        <w:t xml:space="preserve"> </w:t>
      </w:r>
      <w:r>
        <w:t xml:space="preserve">1</w:t>
      </w:r>
      <w:r>
        <w:t xml:space="preserve">B. Exist and increase in the transpiration in both treatments since 49 dap and 69 dap (20 day).</w:t>
      </w:r>
    </w:p>
    <w:p>
      <w:pPr>
        <w:pStyle w:val="Ttulo2"/>
      </w:pPr>
      <w:bookmarkStart w:id="30" w:name="multivariate-analysis"/>
      <w:r>
        <w:t xml:space="preserve">Multivariate analysis</w:t>
      </w:r>
      <w:bookmarkEnd w:id="30"/>
    </w:p>
    <w:p>
      <w:pPr>
        <w:pStyle w:val="FirstParagraph"/>
      </w:pPr>
      <w:r>
        <w:t xml:space="preserve">The Principal Component Analysis (PCA) the two first dimension explain 64.9% of the variance in the experiment. In the first dimension trs (r=0.90), lfa (r=0.89), tbd (r=0.84), sla (r=0.83), tdw (r=0.77) and rwc (r=0.71) show a high correlation and association with WW treatment, in the other side the spad_76 (r=-0,77) shown an negatives correlation and association with WD treatment. In the second dimension the rdw (r=0.87), rdl (r=0.86) have a high correlation and associated at WD treatment and negate correlated with hi (-0.89) and twue (-0.9) and associated to WW treatment, Figure</w:t>
      </w:r>
      <w:r>
        <w:t xml:space="preserve"> </w:t>
      </w:r>
      <w:r>
        <w:t xml:space="preserve">2</w:t>
      </w:r>
      <w:r>
        <w:t xml:space="preserve">A.</w:t>
      </w:r>
    </w:p>
    <w:p>
      <w:pPr>
        <w:pStyle w:val="BodyText"/>
      </w:pPr>
      <w:r>
        <w:t xml:space="preserve">The clustering analysis show 5 groups and it could be associated in 2 different ways. The first association could by classified by the treatment applied, the blue and cyan are the well water treatments and the black and red associated at the water deficit treatment; and the second group in green, cyan and red color associated according to their tolerate to water stress because their correlated with twue, hi and tdw, traits important in the yield component, Figure</w:t>
      </w:r>
      <w:r>
        <w:t xml:space="preserve"> </w:t>
      </w:r>
      <w:r>
        <w:t xml:space="preserve">2</w:t>
      </w:r>
      <w:r>
        <w:t xml:space="preserve">B.</w:t>
      </w:r>
    </w:p>
    <w:p>
      <w:pPr>
        <w:pStyle w:val="BodyText"/>
      </w:pPr>
      <w:r>
        <w:t xml:space="preserve">The association between the cluster an the variables shown that the genotypes in the cluster 1 are positive correlated with the spad, rdl and rdw and negative correlated to hi, tdw, twue, sla. The genoytpes in the cluster 2 are only positive associated with the hi and negative associated with ldw, tdb, sdw. In the cluster 3 the genotypes are positive correlated at wue, twue and negative correlated for rwc, lop and sla. The cluster 4 positive association with rdw, ldw, lfa, sdw, trs and negative correlated with wue and twue. And the cluster 5 is associated with sla, tdw, rwc, lfa and negative associated with spad and rdw, Figure</w:t>
      </w:r>
      <w:r>
        <w:t xml:space="preserve"> </w:t>
      </w:r>
      <w:r>
        <w:t xml:space="preserve">2</w:t>
      </w:r>
      <w:r>
        <w:t xml:space="preserve">.</w:t>
      </w:r>
    </w:p>
    <w:p>
      <w:pPr>
        <w:pStyle w:val="Textodebloque"/>
      </w:pPr>
      <w:r>
        <w:t xml:space="preserve">SPAD a good indicator for select best genotypes, because it have negative correlation with the tdw</w:t>
      </w:r>
    </w:p>
    <w:p>
      <w:pPr>
        <w:pStyle w:val="Textodebloque"/>
      </w:pPr>
      <w:r>
        <w:t xml:space="preserve">Menor contendido de clorofila –&gt; mayor contenido de otros pigmentos que ayuden a luchar contra el stress por sequia???</w:t>
      </w:r>
    </w:p>
    <w:p>
      <w:pPr>
        <w:pStyle w:val="Textodebloque"/>
      </w:pPr>
      <w:r>
        <w:t xml:space="preserve">Selection basado en genotipos de alto HI y mayor SPAD para selección de líneas promisorias!</w:t>
      </w:r>
    </w:p>
    <w:p>
      <w:pPr>
        <w:pStyle w:val="Ttulo2"/>
      </w:pPr>
      <w:bookmarkStart w:id="31" w:name="morpho-phisological-traits"/>
      <w:r>
        <w:t xml:space="preserve">Morpho-phisological traits</w:t>
      </w:r>
      <w:bookmarkEnd w:id="31"/>
    </w:p>
    <w:p>
      <w:pPr>
        <w:pStyle w:val="FirstParagraph"/>
      </w:pPr>
      <w:r>
        <w:t xml:space="preserve">SPAD units taken over the course of plant development (29, 59, 76, and 83 dap) showed that at 29 dap all plants were at the same stress level as no treatment difference was found, Table</w:t>
      </w:r>
      <w:r>
        <w:t xml:space="preserve"> </w:t>
      </w:r>
      <w:r>
        <w:t xml:space="preserve">3</w:t>
      </w:r>
      <w:r>
        <w:t xml:space="preserve">. At 59, 76 and 83 the spad shown difference en each evaluation and at the end of the experiment the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w:t>
      </w:r>
    </w:p>
    <w:p>
      <w:pPr>
        <w:pStyle w:val="Textodebloque"/>
      </w:pPr>
      <w:r>
        <w:t xml:space="preserve">Acompanhado de la senecencia o que sucede, buscar explicación??</w:t>
      </w:r>
    </w:p>
    <w:p>
      <w:pPr>
        <w:pStyle w:val="Ttulo2"/>
      </w:pPr>
      <w:bookmarkStart w:id="32" w:name="yield-components"/>
      <w:r>
        <w:t xml:space="preserve">Yield components</w:t>
      </w:r>
      <w:bookmarkEnd w:id="32"/>
    </w:p>
    <w:p>
      <w:pPr>
        <w:pStyle w:val="FirstParagraph"/>
      </w:pPr>
      <w:r>
        <w:t xml:space="preserve">Differences existed among genotypes in total biomass dry weight (g) of well-watered (WW) plants at the end of the experiment, table. Water deficit (WD) treatment had a significant effect (P &lt; 0.001) with an average reduction of around 31% in comparison with the well-watered treatment</w:t>
      </w:r>
      <w:r>
        <w:t xml:space="preserve"> </w:t>
      </w:r>
      <w:r>
        <w:t xml:space="preserve">3</w:t>
      </w:r>
      <w:r>
        <w:t xml:space="preserve">.</w:t>
      </w:r>
    </w:p>
    <w:p>
      <w:pPr>
        <w:pStyle w:val="BodyText"/>
      </w:pPr>
      <w:r>
        <w:t xml:space="preserve">CIP398190.89 was the only genotype with a 5% increase in biomass, and CIP398208.219 was the most affected by WD (~44% reduction in comparison with WW). In terms of productivity, WD decreased tuber yield (kgDW.m2) across genotypes by an average of 39% (P &lt; 0.01), however, CIP398190.89 increased its productivity by 5%, while others like CIP398203.5 and CIP398203.244 presented up to 56% and 48% reduced tuber production (Figure 2a). CIP398190.89 had greater tuber dry weight (g) in WD compared to its yield in WW treatment, with a TDWS of 104.09%, indicating drought tolerance (Figure 1a). Most genotypes had similar performance under drought, such as UNICA (CIP392797.22) with 75.76% and CIP398208.33 with 71.9% TDWS. The genotypes CIP398203.244, CIP398208.219, and CIP398201.510 were among the most sensitive genotypes at 31.56, 46.75 and 48.88% respectively.</w:t>
      </w:r>
    </w:p>
    <w:p>
      <w:pPr>
        <w:pStyle w:val="Ttulo1"/>
      </w:pPr>
      <w:bookmarkStart w:id="33" w:name="dicussion"/>
      <w:r>
        <w:t xml:space="preserve">Dicussion</w:t>
      </w:r>
      <w:bookmarkEnd w:id="33"/>
    </w:p>
    <w:p>
      <w:pPr>
        <w:pStyle w:val="Ttulo1"/>
      </w:pPr>
      <w:bookmarkStart w:id="34" w:name="conclusions"/>
      <w:r>
        <w:t xml:space="preserve">Conclusions</w:t>
      </w:r>
      <w:bookmarkEnd w:id="34"/>
    </w:p>
    <w:p>
      <w:pPr>
        <w:pStyle w:val="Ttulo1"/>
      </w:pPr>
      <w:bookmarkStart w:id="35" w:name="acknowledgments"/>
      <w:r>
        <w:t xml:space="preserve">Acknowledgments</w:t>
      </w:r>
      <w:bookmarkEnd w:id="35"/>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.We also thank Jorge Vega and David Saravia for their help during installation and evaluation of the experiment.</w:t>
      </w:r>
    </w:p>
    <w:p>
      <w:pPr>
        <w:pStyle w:val="Ttulo1"/>
      </w:pPr>
      <w:bookmarkStart w:id="36" w:name="references"/>
      <w:r>
        <w:t xml:space="preserve">References</w:t>
      </w:r>
      <w:bookmarkEnd w:id="36"/>
    </w:p>
    <w:bookmarkStart w:id="87" w:name="refs"/>
    <w:bookmarkStart w:id="38"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37">
        <w:r>
          <w:rPr>
            <w:rStyle w:val="Hipervnculo"/>
          </w:rPr>
          <w:t xml:space="preserve">https://doi.org/10.1007/s00299-007-0406-8</w:t>
        </w:r>
      </w:hyperlink>
    </w:p>
    <w:bookmarkEnd w:id="38"/>
    <w:bookmarkStart w:id="40" w:name="ref-blum2005Drought"/>
    <w:p>
      <w:pPr>
        <w:pStyle w:val="Bibliografa"/>
      </w:pPr>
      <w:r>
        <w:t xml:space="preserve">Blum, A. (2005). Drought resistance, water-use efficiency, and yield potentialAre they compatible, dissonant, or mutually exclusive?</w:t>
      </w:r>
      <w:r>
        <w:t xml:space="preserve"> </w:t>
      </w:r>
      <w:r>
        <w:rPr>
          <w:i/>
        </w:rPr>
        <w:t xml:space="preserve">Australian Journal of Agricultural Research</w:t>
      </w:r>
      <w:r>
        <w:t xml:space="preserve">,</w:t>
      </w:r>
      <w:r>
        <w:t xml:space="preserve"> </w:t>
      </w:r>
      <w:r>
        <w:rPr>
          <w:i/>
        </w:rPr>
        <w:t xml:space="preserve">56</w:t>
      </w:r>
      <w:r>
        <w:t xml:space="preserve">(11), 1159.</w:t>
      </w:r>
      <w:r>
        <w:t xml:space="preserve"> </w:t>
      </w:r>
      <w:hyperlink r:id="rId39">
        <w:r>
          <w:rPr>
            <w:rStyle w:val="Hipervnculo"/>
          </w:rPr>
          <w:t xml:space="preserve">https://doi.org/10.1071/AR05069</w:t>
        </w:r>
      </w:hyperlink>
    </w:p>
    <w:bookmarkEnd w:id="40"/>
    <w:bookmarkStart w:id="42"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1">
        <w:r>
          <w:rPr>
            <w:rStyle w:val="Hipervnculo"/>
          </w:rPr>
          <w:t xml:space="preserve">https://doi.org/10.1071/FP11101</w:t>
        </w:r>
      </w:hyperlink>
    </w:p>
    <w:bookmarkEnd w:id="42"/>
    <w:bookmarkStart w:id="44" w:name="ref-carli2014Effect"/>
    <w:p>
      <w:pPr>
        <w:pStyle w:val="Bibliografa"/>
      </w:pPr>
      <w:r>
        <w:t xml:space="preserve">Carli, C., Yuldashev, F., Khalikov, D., Condori, B., Mares, V., &amp; Monneveux, P. (2014). Effect of different irrigation regimes on yield, water use efficiency and quality of potato (Solanum tuberosum L.) In the lowlands of Tashkent, Uzbekistan: A field and modeling perspective.</w:t>
      </w:r>
      <w:r>
        <w:t xml:space="preserve"> </w:t>
      </w:r>
      <w:r>
        <w:rPr>
          <w:i/>
        </w:rPr>
        <w:t xml:space="preserve">Field Crops Research</w:t>
      </w:r>
      <w:r>
        <w:t xml:space="preserve">,</w:t>
      </w:r>
      <w:r>
        <w:t xml:space="preserve"> </w:t>
      </w:r>
      <w:r>
        <w:rPr>
          <w:i/>
        </w:rPr>
        <w:t xml:space="preserve">163</w:t>
      </w:r>
      <w:r>
        <w:t xml:space="preserve">, 90–99.</w:t>
      </w:r>
      <w:r>
        <w:t xml:space="preserve"> </w:t>
      </w:r>
      <w:hyperlink r:id="rId43">
        <w:r>
          <w:rPr>
            <w:rStyle w:val="Hipervnculo"/>
          </w:rPr>
          <w:t xml:space="preserve">https://doi.org/10.1016/j.fcr.2014.03.021</w:t>
        </w:r>
      </w:hyperlink>
    </w:p>
    <w:bookmarkEnd w:id="44"/>
    <w:bookmarkStart w:id="45" w:name="ref-condon2004Breeding"/>
    <w:p>
      <w:pPr>
        <w:pStyle w:val="Bibliografa"/>
      </w:pPr>
      <w:r>
        <w:t xml:space="preserve">Condon, A. G., Richards, R. A., Rebetzke, G. J., &amp; Farquhar, G. D. (2004). Breeding for high water-use efficiency.</w:t>
      </w:r>
      <w:r>
        <w:t xml:space="preserve"> </w:t>
      </w:r>
      <w:r>
        <w:rPr>
          <w:i/>
        </w:rPr>
        <w:t xml:space="preserve">Journal of Experimental Botany</w:t>
      </w:r>
      <w:r>
        <w:t xml:space="preserve">,</w:t>
      </w:r>
      <w:r>
        <w:t xml:space="preserve"> </w:t>
      </w:r>
      <w:r>
        <w:rPr>
          <w:i/>
        </w:rPr>
        <w:t xml:space="preserve">55</w:t>
      </w:r>
      <w:r>
        <w:t xml:space="preserve">(407), 2447–2460.</w:t>
      </w:r>
    </w:p>
    <w:bookmarkEnd w:id="45"/>
    <w:bookmarkStart w:id="47"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46">
        <w:r>
          <w:rPr>
            <w:rStyle w:val="Hipervnculo"/>
          </w:rPr>
          <w:t xml:space="preserve">https://doi.org/10.1007/BF02407559</w:t>
        </w:r>
      </w:hyperlink>
    </w:p>
    <w:bookmarkEnd w:id="47"/>
    <w:bookmarkStart w:id="49" w:name="ref-deblonde1999Responses"/>
    <w:p>
      <w:pPr>
        <w:pStyle w:val="Bibliografa"/>
      </w:pPr>
      <w:r>
        <w:t xml:space="preserve">Deblonde, P. M. K., Haverkort, A. J., &amp; Ledent, J. F. (1999). Responses of early and late potato cultivars to moderate drought conditions: Agronomic parameters and carbon isotope discrimination.</w:t>
      </w:r>
      <w:r>
        <w:t xml:space="preserve"> </w:t>
      </w:r>
      <w:r>
        <w:rPr>
          <w:i/>
        </w:rPr>
        <w:t xml:space="preserve">European Journal of Agronomy</w:t>
      </w:r>
      <w:r>
        <w:t xml:space="preserve">,</w:t>
      </w:r>
      <w:r>
        <w:t xml:space="preserve"> </w:t>
      </w:r>
      <w:r>
        <w:rPr>
          <w:i/>
        </w:rPr>
        <w:t xml:space="preserve">11</w:t>
      </w:r>
      <w:r>
        <w:t xml:space="preserve">(2), 91–105.</w:t>
      </w:r>
      <w:r>
        <w:t xml:space="preserve"> </w:t>
      </w:r>
      <w:hyperlink r:id="rId48">
        <w:r>
          <w:rPr>
            <w:rStyle w:val="Hipervnculo"/>
          </w:rPr>
          <w:t xml:space="preserve">https://doi.org/10.1016/S1161-0301(99)00019-2</w:t>
        </w:r>
      </w:hyperlink>
    </w:p>
    <w:bookmarkEnd w:id="49"/>
    <w:bookmarkStart w:id="51"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50">
        <w:r>
          <w:rPr>
            <w:rStyle w:val="Hipervnculo"/>
          </w:rPr>
          <w:t xml:space="preserve">https://doi.org/10.1016/S1161-0301(00)00081-2</w:t>
        </w:r>
      </w:hyperlink>
    </w:p>
    <w:bookmarkEnd w:id="51"/>
    <w:bookmarkStart w:id="53"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2">
        <w:r>
          <w:rPr>
            <w:rStyle w:val="Hipervnculo"/>
          </w:rPr>
          <w:t xml:space="preserve">https://CRAN.R-project.org/package=agricolae</w:t>
        </w:r>
      </w:hyperlink>
    </w:p>
    <w:bookmarkEnd w:id="53"/>
    <w:bookmarkStart w:id="55"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54">
        <w:r>
          <w:rPr>
            <w:rStyle w:val="Hipervnculo"/>
          </w:rPr>
          <w:t xml:space="preserve">https://doi.org/10.1093/bioinformatics/btx657</w:t>
        </w:r>
      </w:hyperlink>
    </w:p>
    <w:bookmarkEnd w:id="55"/>
    <w:bookmarkStart w:id="57" w:name="ref-hessini2009Effect"/>
    <w:p>
      <w:pPr>
        <w:pStyle w:val="Bibliografa"/>
      </w:pPr>
      <w:r>
        <w:t xml:space="preserve">Hessini, K., Martínez, J. P., Gandour, M., Albouchi, A., Soltani, A., &amp; Abdelly, C. (2009). Effect of water stress on growth, osmotic adjustment, cell wall elasticity and water-use efficiency in Spartina alterniflora.</w:t>
      </w:r>
      <w:r>
        <w:t xml:space="preserve"> </w:t>
      </w:r>
      <w:r>
        <w:rPr>
          <w:i/>
        </w:rPr>
        <w:t xml:space="preserve">Environmental and Experimental Botany</w:t>
      </w:r>
      <w:r>
        <w:t xml:space="preserve">,</w:t>
      </w:r>
      <w:r>
        <w:t xml:space="preserve"> </w:t>
      </w:r>
      <w:r>
        <w:rPr>
          <w:i/>
        </w:rPr>
        <w:t xml:space="preserve">67</w:t>
      </w:r>
      <w:r>
        <w:t xml:space="preserve">(2), 312–319.</w:t>
      </w:r>
      <w:r>
        <w:t xml:space="preserve"> </w:t>
      </w:r>
      <w:hyperlink r:id="rId56">
        <w:r>
          <w:rPr>
            <w:rStyle w:val="Hipervnculo"/>
          </w:rPr>
          <w:t xml:space="preserve">https://doi.org/10.1016/j.envexpbot.2009.06.010</w:t>
        </w:r>
      </w:hyperlink>
    </w:p>
    <w:bookmarkEnd w:id="57"/>
    <w:bookmarkStart w:id="59" w:name="ref-hochman2009Potential"/>
    <w:p>
      <w:pPr>
        <w:pStyle w:val="Bibliografa"/>
      </w:pPr>
      <w:r>
        <w:t xml:space="preserve">Hochman, Z., Holzworth, D., &amp; Hunt, J. R. (2009). Potential to improve on-farm wheat yield and WUE in Australia.</w:t>
      </w:r>
      <w:r>
        <w:t xml:space="preserve"> </w:t>
      </w:r>
      <w:r>
        <w:rPr>
          <w:i/>
        </w:rPr>
        <w:t xml:space="preserve">Crop and Pasture Science</w:t>
      </w:r>
      <w:r>
        <w:t xml:space="preserve">,</w:t>
      </w:r>
      <w:r>
        <w:t xml:space="preserve"> </w:t>
      </w:r>
      <w:r>
        <w:rPr>
          <w:i/>
        </w:rPr>
        <w:t xml:space="preserve">60</w:t>
      </w:r>
      <w:r>
        <w:t xml:space="preserve">(8), 708.</w:t>
      </w:r>
      <w:r>
        <w:t xml:space="preserve"> </w:t>
      </w:r>
      <w:hyperlink r:id="rId58">
        <w:r>
          <w:rPr>
            <w:rStyle w:val="Hipervnculo"/>
          </w:rPr>
          <w:t xml:space="preserve">https://doi.org/10.1071/CP09064</w:t>
        </w:r>
      </w:hyperlink>
    </w:p>
    <w:bookmarkEnd w:id="59"/>
    <w:bookmarkStart w:id="61"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60">
        <w:r>
          <w:rPr>
            <w:rStyle w:val="Hipervnculo"/>
          </w:rPr>
          <w:t xml:space="preserve">https://CRAN.R-project.org/package=FactoMineR</w:t>
        </w:r>
      </w:hyperlink>
    </w:p>
    <w:bookmarkEnd w:id="61"/>
    <w:bookmarkStart w:id="63" w:name="ref-lahlou2003effect"/>
    <w:p>
      <w:pPr>
        <w:pStyle w:val="Bibliografa"/>
      </w:pPr>
      <w:r>
        <w:t xml:space="preserve">Lahlou, O., Ouattar, S., &amp; Ledent, J.-F. (2003). The effect of drought and cultivar on growth parameters, yield and yield components of potato.</w:t>
      </w:r>
      <w:r>
        <w:t xml:space="preserve"> </w:t>
      </w:r>
      <w:r>
        <w:rPr>
          <w:i/>
        </w:rPr>
        <w:t xml:space="preserve">Agronomie</w:t>
      </w:r>
      <w:r>
        <w:t xml:space="preserve">,</w:t>
      </w:r>
      <w:r>
        <w:t xml:space="preserve"> </w:t>
      </w:r>
      <w:r>
        <w:rPr>
          <w:i/>
        </w:rPr>
        <w:t xml:space="preserve">23</w:t>
      </w:r>
      <w:r>
        <w:t xml:space="preserve">(3), 257–268.</w:t>
      </w:r>
      <w:r>
        <w:t xml:space="preserve"> </w:t>
      </w:r>
      <w:hyperlink r:id="rId62">
        <w:r>
          <w:rPr>
            <w:rStyle w:val="Hipervnculo"/>
          </w:rPr>
          <w:t xml:space="preserve">https://doi.org/10.1051/agro:2002089</w:t>
        </w:r>
      </w:hyperlink>
    </w:p>
    <w:bookmarkEnd w:id="63"/>
    <w:bookmarkStart w:id="65"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64">
        <w:r>
          <w:rPr>
            <w:rStyle w:val="Hipervnculo"/>
          </w:rPr>
          <w:t xml:space="preserve">https://doi.org/10.1111/1440-1703.1275</w:t>
        </w:r>
      </w:hyperlink>
    </w:p>
    <w:bookmarkEnd w:id="65"/>
    <w:bookmarkStart w:id="67" w:name="ref-ogaya2003Comparative"/>
    <w:p>
      <w:pPr>
        <w:pStyle w:val="Bibliografa"/>
      </w:pPr>
      <w:r>
        <w:t xml:space="preserve">Ogaya, R., &amp; Peñuelas, J. (2003). Comparative field study of Quercus ilex and Phillyrea latifolia: Photosynthetic response to experimental drought conditions.</w:t>
      </w:r>
      <w:r>
        <w:t xml:space="preserve"> </w:t>
      </w:r>
      <w:r>
        <w:rPr>
          <w:i/>
        </w:rPr>
        <w:t xml:space="preserve">Environmental and Experimental Botany</w:t>
      </w:r>
      <w:r>
        <w:t xml:space="preserve">,</w:t>
      </w:r>
      <w:r>
        <w:t xml:space="preserve"> </w:t>
      </w:r>
      <w:r>
        <w:rPr>
          <w:i/>
        </w:rPr>
        <w:t xml:space="preserve">50</w:t>
      </w:r>
      <w:r>
        <w:t xml:space="preserve">(2), 137–148.</w:t>
      </w:r>
      <w:r>
        <w:t xml:space="preserve"> </w:t>
      </w:r>
      <w:hyperlink r:id="rId66">
        <w:r>
          <w:rPr>
            <w:rStyle w:val="Hipervnculo"/>
          </w:rPr>
          <w:t xml:space="preserve">https://doi.org/10.1016/S0098-8472(03)00019-4</w:t>
        </w:r>
      </w:hyperlink>
    </w:p>
    <w:bookmarkEnd w:id="67"/>
    <w:bookmarkStart w:id="69"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68">
        <w:r>
          <w:rPr>
            <w:rStyle w:val="Hipervnculo"/>
          </w:rPr>
          <w:t xml:space="preserve">https://doi.org/10.1093/jxb/49.325.1381</w:t>
        </w:r>
      </w:hyperlink>
    </w:p>
    <w:bookmarkEnd w:id="69"/>
    <w:bookmarkStart w:id="71" w:name="ref-R-base"/>
    <w:p>
      <w:pPr>
        <w:pStyle w:val="Bibliografa"/>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70">
        <w:r>
          <w:rPr>
            <w:rStyle w:val="Hipervnculo"/>
          </w:rPr>
          <w:t xml:space="preserve">https://www.R-project.org/</w:t>
        </w:r>
      </w:hyperlink>
    </w:p>
    <w:bookmarkEnd w:id="71"/>
    <w:bookmarkStart w:id="73"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72">
        <w:r>
          <w:rPr>
            <w:rStyle w:val="Hipervnculo"/>
          </w:rPr>
          <w:t xml:space="preserve">https://doi.org/10.1071/PP9860329</w:t>
        </w:r>
      </w:hyperlink>
    </w:p>
    <w:bookmarkEnd w:id="73"/>
    <w:bookmarkStart w:id="75"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74">
        <w:r>
          <w:rPr>
            <w:rStyle w:val="Hipervnculo"/>
          </w:rPr>
          <w:t xml:space="preserve">https://doi.org/10.2307/1309424</w:t>
        </w:r>
      </w:hyperlink>
    </w:p>
    <w:bookmarkEnd w:id="75"/>
    <w:bookmarkStart w:id="77"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76">
        <w:r>
          <w:rPr>
            <w:rStyle w:val="Hipervnculo"/>
          </w:rPr>
          <w:t xml:space="preserve">https://doi.org/10.1007/s12230-012-9285-9</w:t>
        </w:r>
      </w:hyperlink>
    </w:p>
    <w:bookmarkEnd w:id="77"/>
    <w:bookmarkStart w:id="79" w:name="ref-tolk2009Transpiration"/>
    <w:p>
      <w:pPr>
        <w:pStyle w:val="Bibliografa"/>
      </w:pPr>
      <w:r>
        <w:t xml:space="preserve">Tolk, J. A., &amp; Howell, T. A. (2009). Transpiration and Yield Relationships of Grain Sorghum Grown in a Field Environment.</w:t>
      </w:r>
      <w:r>
        <w:t xml:space="preserve"> </w:t>
      </w:r>
      <w:r>
        <w:rPr>
          <w:i/>
        </w:rPr>
        <w:t xml:space="preserve">Agronomy Journal</w:t>
      </w:r>
      <w:r>
        <w:t xml:space="preserve">,</w:t>
      </w:r>
      <w:r>
        <w:t xml:space="preserve"> </w:t>
      </w:r>
      <w:r>
        <w:rPr>
          <w:i/>
        </w:rPr>
        <w:t xml:space="preserve">101</w:t>
      </w:r>
      <w:r>
        <w:t xml:space="preserve">(3), 657–662.</w:t>
      </w:r>
      <w:r>
        <w:t xml:space="preserve"> </w:t>
      </w:r>
      <w:hyperlink r:id="rId78">
        <w:r>
          <w:rPr>
            <w:rStyle w:val="Hipervnculo"/>
          </w:rPr>
          <w:t xml:space="preserve">https://doi.org/10.2134/agronj2008.0079x</w:t>
        </w:r>
      </w:hyperlink>
    </w:p>
    <w:bookmarkEnd w:id="79"/>
    <w:bookmarkStart w:id="81" w:name="ref-trebejo1990Effect"/>
    <w:p>
      <w:pPr>
        <w:pStyle w:val="Bibliografa"/>
      </w:pPr>
      <w:r>
        <w:t xml:space="preserve">Trebejo, I., &amp; Midmore, D. J. (1990). Effect of water stress on potato growth, yield and water use in a hot and a cool tropical climate.</w:t>
      </w:r>
      <w:r>
        <w:t xml:space="preserve"> </w:t>
      </w:r>
      <w:r>
        <w:rPr>
          <w:i/>
        </w:rPr>
        <w:t xml:space="preserve">The Journal of Agricultural Science</w:t>
      </w:r>
      <w:r>
        <w:t xml:space="preserve">,</w:t>
      </w:r>
      <w:r>
        <w:t xml:space="preserve"> </w:t>
      </w:r>
      <w:r>
        <w:rPr>
          <w:i/>
        </w:rPr>
        <w:t xml:space="preserve">114</w:t>
      </w:r>
      <w:r>
        <w:t xml:space="preserve">(03), 321.</w:t>
      </w:r>
      <w:r>
        <w:t xml:space="preserve"> </w:t>
      </w:r>
      <w:hyperlink r:id="rId80">
        <w:r>
          <w:rPr>
            <w:rStyle w:val="Hipervnculo"/>
          </w:rPr>
          <w:t xml:space="preserve">https://doi.org/10.1017/S0021859600072713</w:t>
        </w:r>
      </w:hyperlink>
    </w:p>
    <w:bookmarkEnd w:id="81"/>
    <w:bookmarkStart w:id="83" w:name="ref-tuberosa2012Phenotyping"/>
    <w:p>
      <w:pPr>
        <w:pStyle w:val="Bibliografa"/>
      </w:pPr>
      <w:r>
        <w:t xml:space="preserve">Tuberosa, R. (2012). Phenotyping for drought tolerance of crops in the genomics era.</w:t>
      </w:r>
      <w:r>
        <w:t xml:space="preserve"> </w:t>
      </w:r>
      <w:r>
        <w:rPr>
          <w:i/>
        </w:rPr>
        <w:t xml:space="preserve">Frontiers in Physiology</w:t>
      </w:r>
      <w:r>
        <w:t xml:space="preserve">,</w:t>
      </w:r>
      <w:r>
        <w:t xml:space="preserve"> </w:t>
      </w:r>
      <w:r>
        <w:rPr>
          <w:i/>
        </w:rPr>
        <w:t xml:space="preserve">3</w:t>
      </w:r>
      <w:r>
        <w:t xml:space="preserve">.</w:t>
      </w:r>
      <w:r>
        <w:t xml:space="preserve"> </w:t>
      </w:r>
      <w:hyperlink r:id="rId82">
        <w:r>
          <w:rPr>
            <w:rStyle w:val="Hipervnculo"/>
          </w:rPr>
          <w:t xml:space="preserve">https://doi.org/10.3389/fphys.2012.00347</w:t>
        </w:r>
      </w:hyperlink>
    </w:p>
    <w:bookmarkEnd w:id="83"/>
    <w:bookmarkStart w:id="85"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84">
        <w:r>
          <w:rPr>
            <w:rStyle w:val="Hipervnculo"/>
          </w:rPr>
          <w:t xml:space="preserve">https://doi.org/10.1093/jxb/ern073</w:t>
        </w:r>
      </w:hyperlink>
    </w:p>
    <w:bookmarkEnd w:id="85"/>
    <w:bookmarkStart w:id="86" w:name="ref-zarate-salazar2018Comparacao"/>
    <w:p>
      <w:pPr>
        <w:pStyle w:val="Bibliografa"/>
      </w:pPr>
      <w:r>
        <w:t xml:space="preserve">Zárate-Salazar, J. R., Santos, M. N., Santos, J. N. B., &amp; Lozano-Isla, F. (2018). Comparação de softwares de análise de imagem para a determinação da área foliar.</w:t>
      </w:r>
      <w:r>
        <w:t xml:space="preserve"> </w:t>
      </w:r>
      <w:r>
        <w:rPr>
          <w:i/>
        </w:rPr>
        <w:t xml:space="preserve">Revista Brasileira de Meio Ambiente</w:t>
      </w:r>
      <w:r>
        <w:t xml:space="preserve">,</w:t>
      </w:r>
      <w:r>
        <w:t xml:space="preserve"> </w:t>
      </w:r>
      <w:r>
        <w:rPr>
          <w:i/>
        </w:rPr>
        <w:t xml:space="preserve">3</w:t>
      </w:r>
      <w:r>
        <w:t xml:space="preserve">(1).</w:t>
      </w:r>
    </w:p>
    <w:bookmarkEnd w:id="86"/>
    <w:bookmarkEnd w:id="87"/>
    <w:p>
      <w:pPr>
        <w:pStyle w:val="Ttulo1"/>
      </w:pPr>
      <w:bookmarkStart w:id="88" w:name="tables"/>
      <w:r>
        <w:t xml:space="preserve">Tables</w:t>
      </w:r>
      <w:bookmarkEnd w:id="88"/>
    </w:p>
    <w:p>
      <w:pPr>
        <w:pStyle w:val="TableCaption"/>
      </w:pPr>
      <w:r>
        <w:t xml:space="preserve">Table 1: List of abbreviations</w:t>
      </w:r>
    </w:p>
    <w:tbl>
      <w:tblPr>
        <w:tblStyle w:val="Table"/>
        <w:tblW w:type="pct" w:w="0.0"/>
        <w:tblLook w:firstRow="1"/>
        <w:tblCaption w:val="Table 1: List of abbreviation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Abbreviation</w:t>
            </w:r>
          </w:p>
        </w:tc>
      </w:tr>
      <w:tr>
        <w:tc>
          <w:p>
            <w:pPr>
              <w:pStyle w:val="Compact"/>
              <w:jc w:val="left"/>
            </w:pPr>
            <w:r>
              <w:t xml:space="preserve">Soil Plant Analysis Development</w:t>
            </w:r>
          </w:p>
        </w:tc>
        <w:tc>
          <w:p>
            <w:pPr>
              <w:pStyle w:val="Compact"/>
              <w:jc w:val="left"/>
            </w:pPr>
            <w:r>
              <w:t xml:space="preserve">spad</w:t>
            </w:r>
          </w:p>
        </w:tc>
      </w:tr>
      <w:tr>
        <w:tc>
          <w:p>
            <w:pPr>
              <w:pStyle w:val="Compact"/>
              <w:jc w:val="left"/>
            </w:pPr>
            <w:r>
              <w:t xml:space="preserve">Plant height</w:t>
            </w:r>
          </w:p>
        </w:tc>
        <w:tc>
          <w:p>
            <w:pPr>
              <w:pStyle w:val="Compact"/>
              <w:jc w:val="left"/>
            </w:pPr>
            <w:r>
              <w:t xml:space="preserve">hgt</w:t>
            </w:r>
          </w:p>
        </w:tc>
      </w:tr>
      <w:tr>
        <w:tc>
          <w:p>
            <w:pPr>
              <w:pStyle w:val="Compact"/>
              <w:jc w:val="left"/>
            </w:pPr>
            <w:r>
              <w:t xml:space="preserve">Relative water content</w:t>
            </w:r>
          </w:p>
        </w:tc>
        <w:tc>
          <w:p>
            <w:pPr>
              <w:pStyle w:val="Compact"/>
              <w:jc w:val="left"/>
            </w:pPr>
            <w:r>
              <w:t xml:space="preserve">rwc</w:t>
            </w:r>
          </w:p>
        </w:tc>
      </w:tr>
      <w:tr>
        <w:tc>
          <w:p>
            <w:pPr>
              <w:pStyle w:val="Compact"/>
              <w:jc w:val="left"/>
            </w:pPr>
            <w:r>
              <w:t xml:space="preserve">Leaf osmotic potential</w:t>
            </w:r>
          </w:p>
        </w:tc>
        <w:tc>
          <w:p>
            <w:pPr>
              <w:pStyle w:val="Compact"/>
              <w:jc w:val="left"/>
            </w:pPr>
            <w:r>
              <w:t xml:space="preserve">lop</w:t>
            </w:r>
          </w:p>
        </w:tc>
      </w:tr>
      <w:tr>
        <w:tc>
          <w:p>
            <w:pPr>
              <w:pStyle w:val="Compact"/>
              <w:jc w:val="left"/>
            </w:pPr>
            <w:r>
              <w:t xml:space="preserve">Leaf dry weight</w:t>
            </w:r>
          </w:p>
        </w:tc>
        <w:tc>
          <w:p>
            <w:pPr>
              <w:pStyle w:val="Compact"/>
              <w:jc w:val="left"/>
            </w:pPr>
            <w:r>
              <w:t xml:space="preserve">ldw</w:t>
            </w:r>
          </w:p>
        </w:tc>
      </w:tr>
      <w:tr>
        <w:tc>
          <w:p>
            <w:pPr>
              <w:pStyle w:val="Compact"/>
              <w:jc w:val="left"/>
            </w:pPr>
            <w:r>
              <w:t xml:space="preserve">Stem dry weight</w:t>
            </w:r>
          </w:p>
        </w:tc>
        <w:tc>
          <w:p>
            <w:pPr>
              <w:pStyle w:val="Compact"/>
              <w:jc w:val="left"/>
            </w:pPr>
            <w:r>
              <w:t xml:space="preserve">sdw</w:t>
            </w:r>
          </w:p>
        </w:tc>
      </w:tr>
      <w:tr>
        <w:tc>
          <w:p>
            <w:pPr>
              <w:pStyle w:val="Compact"/>
              <w:jc w:val="left"/>
            </w:pPr>
            <w:r>
              <w:t xml:space="preserve">Root dry weight</w:t>
            </w:r>
          </w:p>
        </w:tc>
        <w:tc>
          <w:p>
            <w:pPr>
              <w:pStyle w:val="Compact"/>
              <w:jc w:val="left"/>
            </w:pPr>
            <w:r>
              <w:t xml:space="preserve">rdw</w:t>
            </w:r>
          </w:p>
        </w:tc>
      </w:tr>
      <w:tr>
        <w:tc>
          <w:p>
            <w:pPr>
              <w:pStyle w:val="Compact"/>
              <w:jc w:val="left"/>
            </w:pPr>
            <w:r>
              <w:t xml:space="preserve">Tuber dry weight</w:t>
            </w:r>
          </w:p>
        </w:tc>
        <w:tc>
          <w:p>
            <w:pPr>
              <w:pStyle w:val="Compact"/>
              <w:jc w:val="left"/>
            </w:pPr>
            <w:r>
              <w:t xml:space="preserve">tdw</w:t>
            </w:r>
          </w:p>
        </w:tc>
      </w:tr>
      <w:tr>
        <w:tc>
          <w:p>
            <w:pPr>
              <w:pStyle w:val="Compact"/>
              <w:jc w:val="left"/>
            </w:pPr>
            <w:r>
              <w:t xml:space="preserve">Tuber number</w:t>
            </w:r>
          </w:p>
        </w:tc>
        <w:tc>
          <w:p>
            <w:pPr>
              <w:pStyle w:val="Compact"/>
              <w:jc w:val="left"/>
            </w:pPr>
            <w:r>
              <w:t xml:space="preserve">ntub</w:t>
            </w:r>
          </w:p>
        </w:tc>
      </w:tr>
      <w:tr>
        <w:tc>
          <w:p>
            <w:pPr>
              <w:pStyle w:val="Compact"/>
              <w:jc w:val="left"/>
            </w:pPr>
            <w:r>
              <w:t xml:space="preserve">Root length</w:t>
            </w:r>
          </w:p>
        </w:tc>
        <w:tc>
          <w:p>
            <w:pPr>
              <w:pStyle w:val="Compact"/>
              <w:jc w:val="left"/>
            </w:pPr>
            <w:r>
              <w:t xml:space="preserve">rdl</w:t>
            </w:r>
          </w:p>
        </w:tc>
      </w:tr>
      <w:tr>
        <w:tc>
          <w:p>
            <w:pPr>
              <w:pStyle w:val="Compact"/>
              <w:jc w:val="left"/>
            </w:pPr>
            <w:r>
              <w:t xml:space="preserve">Total transpiration</w:t>
            </w:r>
          </w:p>
        </w:tc>
        <w:tc>
          <w:p>
            <w:pPr>
              <w:pStyle w:val="Compact"/>
              <w:jc w:val="left"/>
            </w:pPr>
            <w:r>
              <w:t xml:space="preserve">trs</w:t>
            </w:r>
          </w:p>
        </w:tc>
      </w:tr>
      <w:tr>
        <w:tc>
          <w:p>
            <w:pPr>
              <w:pStyle w:val="Compact"/>
              <w:jc w:val="left"/>
            </w:pPr>
            <w:r>
              <w:t xml:space="preserve">Leaf area</w:t>
            </w:r>
          </w:p>
        </w:tc>
        <w:tc>
          <w:p>
            <w:pPr>
              <w:pStyle w:val="Compact"/>
              <w:jc w:val="left"/>
            </w:pPr>
            <w:r>
              <w:t xml:space="preserve">lfa</w:t>
            </w:r>
          </w:p>
        </w:tc>
      </w:tr>
      <w:tr>
        <w:tc>
          <w:p>
            <w:pPr>
              <w:pStyle w:val="Compact"/>
              <w:jc w:val="left"/>
            </w:pPr>
            <w:r>
              <w:t xml:space="preserve">Total dry biomass</w:t>
            </w:r>
          </w:p>
        </w:tc>
        <w:tc>
          <w:p>
            <w:pPr>
              <w:pStyle w:val="Compact"/>
              <w:jc w:val="left"/>
            </w:pPr>
            <w:r>
              <w:t xml:space="preserve">tdb</w:t>
            </w:r>
          </w:p>
        </w:tc>
      </w:tr>
      <w:tr>
        <w:tc>
          <w:p>
            <w:pPr>
              <w:pStyle w:val="Compact"/>
              <w:jc w:val="left"/>
            </w:pPr>
            <w:r>
              <w:t xml:space="preserve">Harvest index</w:t>
            </w:r>
          </w:p>
        </w:tc>
        <w:tc>
          <w:p>
            <w:pPr>
              <w:pStyle w:val="Compact"/>
              <w:jc w:val="left"/>
            </w:pPr>
            <w:r>
              <w:t xml:space="preserve">hi</w:t>
            </w:r>
          </w:p>
        </w:tc>
      </w:tr>
      <w:tr>
        <w:tc>
          <w:p>
            <w:pPr>
              <w:pStyle w:val="Compact"/>
              <w:jc w:val="left"/>
            </w:pPr>
            <w:r>
              <w:t xml:space="preserve">Specif leaf area</w:t>
            </w:r>
          </w:p>
        </w:tc>
        <w:tc>
          <w:p>
            <w:pPr>
              <w:pStyle w:val="Compact"/>
              <w:jc w:val="left"/>
            </w:pPr>
            <w:r>
              <w:t xml:space="preserve">sla</w:t>
            </w:r>
          </w:p>
        </w:tc>
      </w:tr>
      <w:tr>
        <w:tc>
          <w:p>
            <w:pPr>
              <w:pStyle w:val="Compact"/>
              <w:jc w:val="left"/>
            </w:pPr>
            <w:r>
              <w:t xml:space="preserve">Water use efficiency</w:t>
            </w:r>
          </w:p>
        </w:tc>
        <w:tc>
          <w:p>
            <w:pPr>
              <w:pStyle w:val="Compact"/>
              <w:jc w:val="left"/>
            </w:pPr>
            <w:r>
              <w:t xml:space="preserve">wue</w:t>
            </w:r>
          </w:p>
        </w:tc>
      </w:tr>
      <w:tr>
        <w:tc>
          <w:p>
            <w:pPr>
              <w:pStyle w:val="Compact"/>
              <w:jc w:val="left"/>
            </w:pPr>
            <w:r>
              <w:t xml:space="preserve">Tuber water use efficiency</w:t>
            </w:r>
          </w:p>
        </w:tc>
        <w:tc>
          <w:p>
            <w:pPr>
              <w:pStyle w:val="Compact"/>
              <w:jc w:val="left"/>
            </w:pPr>
            <w:r>
              <w:t xml:space="preserve">twue</w:t>
            </w:r>
          </w:p>
        </w:tc>
      </w:tr>
    </w:tbl>
    <w:p>
      <w:pPr>
        <w:pStyle w:val="TableCaption"/>
      </w:pPr>
      <w:r>
        <w:t xml:space="preserve">Table 2: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2: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pPr>
        <w:pStyle w:val="TableCaption"/>
      </w:pPr>
      <w:r>
        <w:t xml:space="preserve">Table 3: List of variables measured in 15 potato genotypes under well-watered (WW) and water deficit (WD) treatment. Where: Tuber dry weight (TDW), tuber number (NTUB), root dry weight (RWD), leaf area (LFA), harvest index (HI), tuber water use efficency (TWUE).</w:t>
      </w:r>
    </w:p>
    <w:tbl>
      <w:tblPr>
        <w:tblStyle w:val="Table"/>
        <w:tblW w:type="pct" w:w="0.0"/>
        <w:tblLook w:firstRow="1"/>
        <w:tblCaption w:val="Table 3: List of variables measured in 15 potato genotypes under well-watered (WW) and water deficit (WD) treatment. Where: Tuber dry weight (TDW), tuber number (NTUB), root dry weight (RWD), leaf area (LFA), harvest index (HI), tuber water use efficency (TWUE)."/>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wue</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twue</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Ttulo1"/>
      </w:pPr>
      <w:bookmarkStart w:id="89" w:name="figures"/>
      <w:r>
        <w:t xml:space="preserve">Figures</w:t>
      </w:r>
      <w:bookmarkEnd w:id="89"/>
    </w:p>
    <w:p>
      <w:pPr>
        <w:pStyle w:val="CaptionedFigure"/>
      </w:pPr>
      <w:r>
        <w:drawing>
          <wp:inline>
            <wp:extent cx="5504749" cy="3403769"/>
            <wp:effectExtent b="0" l="0" r="0" t="0"/>
            <wp:docPr descr="Figure 1: Soil transpiration fraction and transpiration during the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90"/>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Soil transpiration fraction and transpiration during the experiment</w:t>
      </w:r>
    </w:p>
    <w:p>
      <w:pPr>
        <w:pStyle w:val="CaptionedFigure"/>
      </w:pPr>
      <w:r>
        <w:drawing>
          <wp:inline>
            <wp:extent cx="5504749" cy="3403769"/>
            <wp:effectExtent b="0" l="0" r="0" t="0"/>
            <wp:docPr descr="Figure 2: Principal component analysis" title="" id="1" name="Picture"/>
            <a:graphic>
              <a:graphicData uri="http://schemas.openxmlformats.org/drawingml/2006/picture">
                <pic:pic>
                  <pic:nvPicPr>
                    <pic:cNvPr descr="files/fig_mv.png" id="0" name="Picture"/>
                    <pic:cNvPicPr>
                      <a:picLocks noChangeArrowheads="1" noChangeAspect="1"/>
                    </pic:cNvPicPr>
                  </pic:nvPicPr>
                  <pic:blipFill>
                    <a:blip r:embed="rId91"/>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2: Principal component analysis</w:t>
      </w:r>
    </w:p>
    <w:p>
      <w:pPr>
        <w:pStyle w:val="CaptionedFigure"/>
      </w:pPr>
      <w:r>
        <w:drawing>
          <wp:inline>
            <wp:extent cx="5969000" cy="4263571"/>
            <wp:effectExtent b="0" l="0" r="0" t="0"/>
            <wp:docPr descr="Figure 3: Correlation analysis" title="" id="1" name="Picture"/>
            <a:graphic>
              <a:graphicData uri="http://schemas.openxmlformats.org/drawingml/2006/picture">
                <pic:pic>
                  <pic:nvPicPr>
                    <pic:cNvPr descr="files/fig_cor.png" id="0" name="Picture"/>
                    <pic:cNvPicPr>
                      <a:picLocks noChangeArrowheads="1" noChangeAspect="1"/>
                    </pic:cNvPicPr>
                  </pic:nvPicPr>
                  <pic:blipFill>
                    <a:blip r:embed="rId92"/>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3: Correlation analysis</w:t>
      </w:r>
    </w:p>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92" Target="media/rId92.png" /><Relationship Type="http://schemas.openxmlformats.org/officeDocument/2006/relationships/image" Id="rId91" Target="media/rId91.png" /><Relationship Type="http://schemas.openxmlformats.org/officeDocument/2006/relationships/image" Id="rId90" Target="media/rId90.png" /><Relationship Type="http://schemas.openxmlformats.org/officeDocument/2006/relationships/hyperlink" Id="rId60" Target="https://CRAN.R-project.org/package=FactoMineR" TargetMode="External" /><Relationship Type="http://schemas.openxmlformats.org/officeDocument/2006/relationships/hyperlink" Id="rId52" Target="https://CRAN.R-project.org/package=agricolae" TargetMode="External" /><Relationship Type="http://schemas.openxmlformats.org/officeDocument/2006/relationships/hyperlink" Id="rId46" Target="https://doi.org/10.1007/BF02407559" TargetMode="External" /><Relationship Type="http://schemas.openxmlformats.org/officeDocument/2006/relationships/hyperlink" Id="rId37" Target="https://doi.org/10.1007/s00299-007-0406-8" TargetMode="External" /><Relationship Type="http://schemas.openxmlformats.org/officeDocument/2006/relationships/hyperlink" Id="rId76" Target="https://doi.org/10.1007/s12230-012-9285-9" TargetMode="External" /><Relationship Type="http://schemas.openxmlformats.org/officeDocument/2006/relationships/hyperlink" Id="rId66" Target="https://doi.org/10.1016/S0098-8472(03)00019-4" TargetMode="External" /><Relationship Type="http://schemas.openxmlformats.org/officeDocument/2006/relationships/hyperlink" Id="rId50" Target="https://doi.org/10.1016/S1161-0301(00)00081-2" TargetMode="External" /><Relationship Type="http://schemas.openxmlformats.org/officeDocument/2006/relationships/hyperlink" Id="rId48" Target="https://doi.org/10.1016/S1161-0301(99)00019-2" TargetMode="External" /><Relationship Type="http://schemas.openxmlformats.org/officeDocument/2006/relationships/hyperlink" Id="rId56" Target="https://doi.org/10.1016/j.envexpbot.2009.06.010" TargetMode="External" /><Relationship Type="http://schemas.openxmlformats.org/officeDocument/2006/relationships/hyperlink" Id="rId43" Target="https://doi.org/10.1016/j.fcr.2014.03.021" TargetMode="External" /><Relationship Type="http://schemas.openxmlformats.org/officeDocument/2006/relationships/hyperlink" Id="rId80" Target="https://doi.org/10.1017/S0021859600072713" TargetMode="External" /><Relationship Type="http://schemas.openxmlformats.org/officeDocument/2006/relationships/hyperlink" Id="rId62" Target="https://doi.org/10.1051/agro:2002089" TargetMode="External" /><Relationship Type="http://schemas.openxmlformats.org/officeDocument/2006/relationships/hyperlink" Id="rId39"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41" Target="https://doi.org/10.1071/FP11101" TargetMode="External" /><Relationship Type="http://schemas.openxmlformats.org/officeDocument/2006/relationships/hyperlink" Id="rId72" Target="https://doi.org/10.1071/PP9860329" TargetMode="External" /><Relationship Type="http://schemas.openxmlformats.org/officeDocument/2006/relationships/hyperlink" Id="rId54" Target="https://doi.org/10.1093/bioinformatics/btx657" TargetMode="External" /><Relationship Type="http://schemas.openxmlformats.org/officeDocument/2006/relationships/hyperlink" Id="rId68" Target="https://doi.org/10.1093/jxb/49.325.1381" TargetMode="External" /><Relationship Type="http://schemas.openxmlformats.org/officeDocument/2006/relationships/hyperlink" Id="rId84" Target="https://doi.org/10.1093/jxb/ern073" TargetMode="External" /><Relationship Type="http://schemas.openxmlformats.org/officeDocument/2006/relationships/hyperlink" Id="rId64" Target="https://doi.org/10.1111/1440-1703.1275" TargetMode="External" /><Relationship Type="http://schemas.openxmlformats.org/officeDocument/2006/relationships/hyperlink" Id="rId78" Target="https://doi.org/10.2134/agronj2008.0079x" TargetMode="External" /><Relationship Type="http://schemas.openxmlformats.org/officeDocument/2006/relationships/hyperlink" Id="rId74" Target="https://doi.org/10.2307/1309424" TargetMode="External" /><Relationship Type="http://schemas.openxmlformats.org/officeDocument/2006/relationships/hyperlink" Id="rId82" Target="https://doi.org/10.3389/fphys.2012.00347" TargetMode="External" /><Relationship Type="http://schemas.openxmlformats.org/officeDocument/2006/relationships/hyperlink" Id="rId70"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s://CRAN.R-project.org/package=FactoMineR" TargetMode="External" /><Relationship Type="http://schemas.openxmlformats.org/officeDocument/2006/relationships/hyperlink" Id="rId52" Target="https://CRAN.R-project.org/package=agricolae" TargetMode="External" /><Relationship Type="http://schemas.openxmlformats.org/officeDocument/2006/relationships/hyperlink" Id="rId46" Target="https://doi.org/10.1007/BF02407559" TargetMode="External" /><Relationship Type="http://schemas.openxmlformats.org/officeDocument/2006/relationships/hyperlink" Id="rId37" Target="https://doi.org/10.1007/s00299-007-0406-8" TargetMode="External" /><Relationship Type="http://schemas.openxmlformats.org/officeDocument/2006/relationships/hyperlink" Id="rId76" Target="https://doi.org/10.1007/s12230-012-9285-9" TargetMode="External" /><Relationship Type="http://schemas.openxmlformats.org/officeDocument/2006/relationships/hyperlink" Id="rId66" Target="https://doi.org/10.1016/S0098-8472(03)00019-4" TargetMode="External" /><Relationship Type="http://schemas.openxmlformats.org/officeDocument/2006/relationships/hyperlink" Id="rId50" Target="https://doi.org/10.1016/S1161-0301(00)00081-2" TargetMode="External" /><Relationship Type="http://schemas.openxmlformats.org/officeDocument/2006/relationships/hyperlink" Id="rId48" Target="https://doi.org/10.1016/S1161-0301(99)00019-2" TargetMode="External" /><Relationship Type="http://schemas.openxmlformats.org/officeDocument/2006/relationships/hyperlink" Id="rId56" Target="https://doi.org/10.1016/j.envexpbot.2009.06.010" TargetMode="External" /><Relationship Type="http://schemas.openxmlformats.org/officeDocument/2006/relationships/hyperlink" Id="rId43" Target="https://doi.org/10.1016/j.fcr.2014.03.021" TargetMode="External" /><Relationship Type="http://schemas.openxmlformats.org/officeDocument/2006/relationships/hyperlink" Id="rId80" Target="https://doi.org/10.1017/S0021859600072713" TargetMode="External" /><Relationship Type="http://schemas.openxmlformats.org/officeDocument/2006/relationships/hyperlink" Id="rId62" Target="https://doi.org/10.1051/agro:2002089" TargetMode="External" /><Relationship Type="http://schemas.openxmlformats.org/officeDocument/2006/relationships/hyperlink" Id="rId39"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41" Target="https://doi.org/10.1071/FP11101" TargetMode="External" /><Relationship Type="http://schemas.openxmlformats.org/officeDocument/2006/relationships/hyperlink" Id="rId72" Target="https://doi.org/10.1071/PP9860329" TargetMode="External" /><Relationship Type="http://schemas.openxmlformats.org/officeDocument/2006/relationships/hyperlink" Id="rId54" Target="https://doi.org/10.1093/bioinformatics/btx657" TargetMode="External" /><Relationship Type="http://schemas.openxmlformats.org/officeDocument/2006/relationships/hyperlink" Id="rId68" Target="https://doi.org/10.1093/jxb/49.325.1381" TargetMode="External" /><Relationship Type="http://schemas.openxmlformats.org/officeDocument/2006/relationships/hyperlink" Id="rId84" Target="https://doi.org/10.1093/jxb/ern073" TargetMode="External" /><Relationship Type="http://schemas.openxmlformats.org/officeDocument/2006/relationships/hyperlink" Id="rId64" Target="https://doi.org/10.1111/1440-1703.1275" TargetMode="External" /><Relationship Type="http://schemas.openxmlformats.org/officeDocument/2006/relationships/hyperlink" Id="rId78" Target="https://doi.org/10.2134/agronj2008.0079x" TargetMode="External" /><Relationship Type="http://schemas.openxmlformats.org/officeDocument/2006/relationships/hyperlink" Id="rId74" Target="https://doi.org/10.2307/1309424" TargetMode="External" /><Relationship Type="http://schemas.openxmlformats.org/officeDocument/2006/relationships/hyperlink" Id="rId82" Target="https://doi.org/10.3389/fphys.2012.00347" TargetMode="External" /><Relationship Type="http://schemas.openxmlformats.org/officeDocument/2006/relationships/hyperlink" Id="rId70"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 E-mail address: flavjack@gmail.com (F. Lozano-Isla)</dc:creator>
  <dc:description>document template for scientific report</dc:description>
  <cp:keywords/>
  <dcterms:created xsi:type="dcterms:W3CDTF">2020-03-05T16:59:06Z</dcterms:created>
  <dcterms:modified xsi:type="dcterms:W3CDTF">2020-03-05T16:59:06Z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