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2.png" ContentType="image/png"/>
  <Override PartName="/word/media/rId71.png" ContentType="image/png"/>
  <Override PartName="/word/media/rId70.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w:r>
        <w:t xml:space="preserve"> </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 </w:t>
      </w:r>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without the resultant yield lost, understand the mechanisms of tolerance, and provide useful information for the selection of tolerance in breeding programs. In order to explore the different responses of potato under drought, we have evaluated fifteen genotypes under well watered (WD) and water deficit (WD) conditions for a range of agro-morphological and physiological traits.</w:t>
      </w:r>
    </w:p>
    <w:p>
      <w:pPr>
        <w:pStyle w:val="BodyText"/>
      </w:pPr>
      <w:r>
        <w:t xml:space="preserve">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abiotic stress, harvest index, lisimeter, drought tolerance</w:t>
      </w:r>
    </w:p>
    <w:p>
      <w:pPr>
        <w:pStyle w:val="Ttulo1"/>
      </w:pPr>
      <w:bookmarkStart w:id="22" w:name="introduction"/>
      <w:r>
        <w:t xml:space="preserve">Introduction</w:t>
      </w:r>
      <w:bookmarkEnd w:id="22"/>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trait-evaluation"/>
      <w:r>
        <w:t xml:space="preserve">Trait evaluation</w:t>
      </w:r>
      <w:bookmarkEnd w:id="26"/>
    </w:p>
    <w:p>
      <w:pPr>
        <w:pStyle w:val="Ttulo3"/>
      </w:pPr>
      <w:bookmarkStart w:id="27" w:name="water-use-efficiency"/>
      <w:r>
        <w:t xml:space="preserve">Water use efficiency</w:t>
      </w:r>
      <w:bookmarkEnd w:id="27"/>
    </w:p>
    <w:p>
      <w:pPr>
        <w:pStyle w:val="FirstParagraph"/>
      </w:pPr>
      <w:r>
        <w:t xml:space="preserve">Water use efficiency (WUE) 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 water use efficency (wue) and tuber water use efficency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Ttulo3"/>
      </w:pPr>
      <w:bookmarkStart w:id="28" w:name="water-components"/>
      <w:r>
        <w:t xml:space="preserve">Water components</w:t>
      </w:r>
      <w:bookmarkEnd w:id="28"/>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29" w:name="chlorophyll-content-spad"/>
      <w:r>
        <w:t xml:space="preserve">Chlorophyll content (SPAD)</w:t>
      </w:r>
      <w:bookmarkEnd w:id="29"/>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0" w:name="post-harvest-traits-and-indices"/>
      <w:r>
        <w:t xml:space="preserve">Post-harvest traits and indices</w:t>
      </w:r>
      <w:bookmarkEnd w:id="30"/>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1" w:name="statistical-analysis"/>
      <w:r>
        <w:t xml:space="preserve">Statistical analysis</w:t>
      </w:r>
      <w:bookmarkEnd w:id="31"/>
    </w:p>
    <w:p>
      <w:pPr>
        <w:pStyle w:val="FirstParagraph"/>
      </w:pPr>
      <w:r>
        <w:t xml:space="preserve">The experiment was carried out in a complete randomize block design with two factros; the irrigation with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2020</w:t>
        </w:r>
      </w:hyperlink>
      <w:r>
        <w:t xml:space="preserve">; 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2020</w:t>
        </w:r>
      </w:hyperlink>
      <w:r>
        <w:t xml:space="preserve">)</w:t>
      </w:r>
      <w:r>
        <w:t xml:space="preserve">. For the multivariate analysis correlation analysis was performed</w:t>
      </w:r>
      <w:r>
        <w:t xml:space="preserve"> </w:t>
      </w:r>
      <w:r>
        <w:t xml:space="preserve">(</w:t>
      </w:r>
      <w:r>
        <w:rPr>
          <w:b/>
        </w:rPr>
        <w:t xml:space="preserve">???</w:t>
      </w:r>
      <w:r>
        <w:t xml:space="preserve">; de Mendiburu,</w:t>
      </w:r>
      <w:r>
        <w:t xml:space="preserve"> </w:t>
      </w:r>
      <w:hyperlink w:anchor="ref-R-agricolae">
        <w:r>
          <w:rPr>
            <w:rStyle w:val="Hipervnculo"/>
          </w:rPr>
          <w:t xml:space="preserve">2020</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2020</w:t>
        </w:r>
      </w:hyperlink>
      <w:r>
        <w:t xml:space="preserve">)</w:t>
      </w:r>
      <w:r>
        <w:t xml:space="preserve">.</w:t>
      </w:r>
    </w:p>
    <w:p>
      <w:pPr>
        <w:pStyle w:val="Ttulo1"/>
      </w:pPr>
      <w:bookmarkStart w:id="32" w:name="result"/>
      <w:r>
        <w:t xml:space="preserve">Result</w:t>
      </w:r>
      <w:bookmarkEnd w:id="32"/>
    </w:p>
    <w:p>
      <w:pPr>
        <w:pStyle w:val="Ttulo2"/>
      </w:pPr>
      <w:bookmarkStart w:id="33" w:name="treatment-application"/>
      <w:r>
        <w:t xml:space="preserve">Treatment application</w:t>
      </w:r>
      <w:bookmarkEnd w:id="33"/>
    </w:p>
    <w:p>
      <w:pPr>
        <w:pStyle w:val="Ttulo2"/>
      </w:pPr>
      <w:bookmarkStart w:id="34" w:name="traits-evaluation"/>
      <w:r>
        <w:t xml:space="preserve">Traits evaluation</w:t>
      </w:r>
      <w:bookmarkEnd w:id="34"/>
    </w:p>
    <w:p>
      <w:pPr>
        <w:pStyle w:val="Ttulo2"/>
      </w:pPr>
      <w:bookmarkStart w:id="35" w:name="multivariate-analysis"/>
      <w:r>
        <w:t xml:space="preserve">Multivariate analysis</w:t>
      </w:r>
      <w:bookmarkEnd w:id="35"/>
    </w:p>
    <w:p>
      <w:pPr>
        <w:pStyle w:val="Ttulo2"/>
      </w:pPr>
      <w:bookmarkStart w:id="36" w:name="multiselection-index"/>
      <w:r>
        <w:t xml:space="preserve">Multiselection index</w:t>
      </w:r>
      <w:bookmarkEnd w:id="36"/>
    </w:p>
    <w:p>
      <w:pPr>
        <w:pStyle w:val="Ttulo1"/>
      </w:pPr>
      <w:bookmarkStart w:id="37" w:name="dicussion"/>
      <w:r>
        <w:t xml:space="preserve">Dicussion</w:t>
      </w:r>
      <w:bookmarkEnd w:id="37"/>
    </w:p>
    <w:p>
      <w:pPr>
        <w:pStyle w:val="Ttulo1"/>
      </w:pPr>
      <w:bookmarkStart w:id="38" w:name="conclusions"/>
      <w:r>
        <w:t xml:space="preserve">Conclusions</w:t>
      </w:r>
      <w:bookmarkEnd w:id="38"/>
    </w:p>
    <w:p>
      <w:pPr>
        <w:pStyle w:val="Ttulo1"/>
      </w:pPr>
      <w:bookmarkStart w:id="39" w:name="acknowledgments"/>
      <w:r>
        <w:t xml:space="preserve">Acknowledgments</w:t>
      </w:r>
      <w:bookmarkEnd w:id="39"/>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40" w:name="references"/>
      <w:r>
        <w:t xml:space="preserve">References</w:t>
      </w:r>
      <w:bookmarkEnd w:id="40"/>
    </w:p>
    <w:bookmarkStart w:id="67" w:name="refs"/>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3">
        <w:r>
          <w:rPr>
            <w:rStyle w:val="Hipervnculo"/>
          </w:rPr>
          <w:t xml:space="preserve">https://doi.org/10.1007/BF02407559</w:t>
        </w:r>
      </w:hyperlink>
    </w:p>
    <w:bookmarkEnd w:id="44"/>
    <w:bookmarkStart w:id="46"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5">
        <w:r>
          <w:rPr>
            <w:rStyle w:val="Hipervnculo"/>
          </w:rPr>
          <w:t xml:space="preserve">https://doi.org/10.1016/S1161-0301(99)00019-2</w:t>
        </w:r>
      </w:hyperlink>
    </w:p>
    <w:bookmarkEnd w:id="46"/>
    <w:bookmarkStart w:id="48"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47">
        <w:r>
          <w:rPr>
            <w:rStyle w:val="Hipervnculo"/>
          </w:rPr>
          <w:t xml:space="preserve">https://CRAN.R-project.org/package=agricolae</w:t>
        </w:r>
      </w:hyperlink>
    </w:p>
    <w:bookmarkEnd w:id="48"/>
    <w:bookmarkStart w:id="50"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49">
        <w:r>
          <w:rPr>
            <w:rStyle w:val="Hipervnculo"/>
          </w:rPr>
          <w:t xml:space="preserve">https://doi.org/10.1016/j.envexpbot.2009.06.010</w:t>
        </w:r>
      </w:hyperlink>
    </w:p>
    <w:bookmarkEnd w:id="50"/>
    <w:bookmarkStart w:id="5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1">
        <w:r>
          <w:rPr>
            <w:rStyle w:val="Hipervnculo"/>
          </w:rPr>
          <w:t xml:space="preserve">https://CRAN.R-project.org/package=FactoMineR</w:t>
        </w:r>
      </w:hyperlink>
    </w:p>
    <w:bookmarkEnd w:id="52"/>
    <w:bookmarkStart w:id="54"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53">
        <w:r>
          <w:rPr>
            <w:rStyle w:val="Hipervnculo"/>
          </w:rPr>
          <w:t xml:space="preserve">https://doi.org/10.1051/agro:2002089</w:t>
        </w:r>
      </w:hyperlink>
    </w:p>
    <w:bookmarkEnd w:id="54"/>
    <w:bookmarkStart w:id="56" w:name="ref-R-GerminaR"/>
    <w:p>
      <w:pPr>
        <w:pStyle w:val="Bibliografa"/>
      </w:pPr>
      <w:r>
        <w:t xml:space="preserve">Lozano Isla, F., Benites Alfaro, O., &amp; Pompelli, M. F. (2020).</w:t>
      </w:r>
      <w:r>
        <w:t xml:space="preserve"> </w:t>
      </w:r>
      <w:r>
        <w:rPr>
          <w:i/>
        </w:rPr>
        <w:t xml:space="preserve">GerminaR: Indices and graphics for assess seed germination process</w:t>
      </w:r>
      <w:r>
        <w:t xml:space="preserve">.</w:t>
      </w:r>
      <w:r>
        <w:t xml:space="preserve"> </w:t>
      </w:r>
      <w:hyperlink r:id="rId55">
        <w:r>
          <w:rPr>
            <w:rStyle w:val="Hipervnculo"/>
          </w:rPr>
          <w:t xml:space="preserve">https://flavjack.github.io/germinaquant/</w:t>
        </w:r>
      </w:hyperlink>
    </w:p>
    <w:bookmarkEnd w:id="56"/>
    <w:bookmarkStart w:id="5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57">
        <w:r>
          <w:rPr>
            <w:rStyle w:val="Hipervnculo"/>
          </w:rPr>
          <w:t xml:space="preserve">https://doi.org/10.1093/jxb/49.325.1381</w:t>
        </w:r>
      </w:hyperlink>
    </w:p>
    <w:bookmarkEnd w:id="58"/>
    <w:bookmarkStart w:id="6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59">
        <w:r>
          <w:rPr>
            <w:rStyle w:val="Hipervnculo"/>
          </w:rPr>
          <w:t xml:space="preserve">https://www.R-project.org/</w:t>
        </w:r>
      </w:hyperlink>
    </w:p>
    <w:bookmarkEnd w:id="60"/>
    <w:bookmarkStart w:id="6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1">
        <w:r>
          <w:rPr>
            <w:rStyle w:val="Hipervnculo"/>
          </w:rPr>
          <w:t xml:space="preserve">https://doi.org/10.1071/PP9860329</w:t>
        </w:r>
      </w:hyperlink>
    </w:p>
    <w:bookmarkEnd w:id="62"/>
    <w:bookmarkStart w:id="6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63">
        <w:r>
          <w:rPr>
            <w:rStyle w:val="Hipervnculo"/>
          </w:rPr>
          <w:t xml:space="preserve">https://doi.org/10.2307/1309424</w:t>
        </w:r>
      </w:hyperlink>
    </w:p>
    <w:bookmarkEnd w:id="64"/>
    <w:bookmarkStart w:id="66"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65">
        <w:r>
          <w:rPr>
            <w:rStyle w:val="Hipervnculo"/>
          </w:rPr>
          <w:t xml:space="preserve">https://doi.org/10.1093/jxb/ern073</w:t>
        </w:r>
      </w:hyperlink>
    </w:p>
    <w:bookmarkEnd w:id="66"/>
    <w:bookmarkEnd w:id="67"/>
    <w:p>
      <w:pPr>
        <w:pStyle w:val="Ttulo1"/>
      </w:pPr>
      <w:bookmarkStart w:id="68" w:name="tables"/>
      <w:r>
        <w:t xml:space="preserve">Tables</w:t>
      </w:r>
      <w:bookmarkEnd w:id="68"/>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tulo1"/>
      </w:pPr>
      <w:bookmarkStart w:id="69" w:name="figures"/>
      <w:r>
        <w:t xml:space="preserve">Figures</w:t>
      </w:r>
      <w:bookmarkEnd w:id="69"/>
    </w:p>
    <w:p>
      <w:pPr>
        <w:pStyle w:val="CaptionedFigure"/>
      </w:pPr>
      <w:r>
        <w:drawing>
          <wp:inline>
            <wp:extent cx="340376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70"/>
                    <a:stretch>
                      <a:fillRect/>
                    </a:stretch>
                  </pic:blipFill>
                  <pic:spPr bwMode="auto">
                    <a:xfrm>
                      <a:off x="0" y="0"/>
                      <a:ext cx="340376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969000" cy="2777381"/>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71"/>
                    <a:stretch>
                      <a:fillRect/>
                    </a:stretch>
                  </pic:blipFill>
                  <pic:spPr bwMode="auto">
                    <a:xfrm>
                      <a:off x="0" y="0"/>
                      <a:ext cx="5969000" cy="2777381"/>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5969000" cy="3730625"/>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72"/>
                    <a:stretch>
                      <a:fillRect/>
                    </a:stretch>
                  </pic:blipFill>
                  <pic:spPr bwMode="auto">
                    <a:xfrm>
                      <a:off x="0" y="0"/>
                      <a:ext cx="5969000" cy="3730625"/>
                    </a:xfrm>
                    <a:prstGeom prst="rect">
                      <a:avLst/>
                    </a:prstGeom>
                    <a:noFill/>
                    <a:ln w="9525">
                      <a:noFill/>
                      <a:headEnd/>
                      <a:tailEnd/>
                    </a:ln>
                  </pic:spPr>
                </pic:pic>
              </a:graphicData>
            </a:graphic>
          </wp:inline>
        </w:drawing>
      </w:r>
    </w:p>
    <w:p>
      <w:pPr>
        <w:pStyle w:val="ImageCaption"/>
      </w:pPr>
      <w:r>
        <w:t xml:space="preserve">Figure 3: Correlation analysis</w:t>
      </w:r>
    </w:p>
    <w:p>
      <w:pPr>
        <w:pStyle w:val="CaptionedFigure"/>
      </w:pPr>
      <w:r>
        <w:drawing>
          <wp:inline>
            <wp:extent cx="4082688" cy="3403769"/>
            <wp:effectExtent b="0" l="0" r="0" t="0"/>
            <wp:docPr descr="Figure 4: Harvest Index, tuber water use efficency" title="" id="1" name="Picture"/>
            <a:graphic>
              <a:graphicData uri="http://schemas.openxmlformats.org/drawingml/2006/picture">
                <pic:pic>
                  <pic:nvPicPr>
                    <pic:cNvPr descr="files/fig_ylc.png" id="0" name="Picture"/>
                    <pic:cNvPicPr>
                      <a:picLocks noChangeArrowheads="1" noChangeAspect="1"/>
                    </pic:cNvPicPr>
                  </pic:nvPicPr>
                  <pic:blipFill>
                    <a:blip r:embed="rId73"/>
                    <a:stretch>
                      <a:fillRect/>
                    </a:stretch>
                  </pic:blipFill>
                  <pic:spPr bwMode="auto">
                    <a:xfrm>
                      <a:off x="0" y="0"/>
                      <a:ext cx="4082688" cy="3403769"/>
                    </a:xfrm>
                    <a:prstGeom prst="rect">
                      <a:avLst/>
                    </a:prstGeom>
                    <a:noFill/>
                    <a:ln w="9525">
                      <a:noFill/>
                      <a:headEnd/>
                      <a:tailEnd/>
                    </a:ln>
                  </pic:spPr>
                </pic:pic>
              </a:graphicData>
            </a:graphic>
          </wp:inline>
        </w:drawing>
      </w:r>
    </w:p>
    <w:p>
      <w:pPr>
        <w:pStyle w:val="ImageCaption"/>
      </w:pPr>
      <w:r>
        <w:t xml:space="preserve">Figure 4: Harvest Index, tuber water use efficency</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Lozano-Isla ^{1*}, Farfan-Vignolo, Evelyn^{1}, Gutierrez, Raymundo ^{1}, Blas Raul^{2}, Khan Awais^{1}; ^{1} International Potato Center (CIP), Av. La Molina 1895, La Molina, 1558, Peru; ^{2}Universidad Nacional Agraria La Molina (UNALM), Av. La Molina, 1558, Peru; ^{*} Corresponding author. E-mail address: flavjack@gmail.com (F. Lozano-Isla)</dc:creator>
  <dc:description>document template for scientific report</dc:description>
  <cp:keywords/>
  <dcterms:created xsi:type="dcterms:W3CDTF">2020-03-03T21:26:57Z</dcterms:created>
  <dcterms:modified xsi:type="dcterms:W3CDTF">2020-03-03T21:26:57Z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