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references"/>
      <w:r>
        <w:t xml:space="preserve">References</w:t>
      </w:r>
      <w:bookmarkEnd w:id="40"/>
    </w:p>
    <w:bookmarkStart w:id="67" w:name="refs"/>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3">
        <w:r>
          <w:rPr>
            <w:rStyle w:val="Hipervnculo"/>
          </w:rPr>
          <w:t xml:space="preserve">https://doi.org/10.1007/BF02407559</w:t>
        </w:r>
      </w:hyperlink>
    </w:p>
    <w:bookmarkEnd w:id="44"/>
    <w:bookmarkStart w:id="46"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5">
        <w:r>
          <w:rPr>
            <w:rStyle w:val="Hipervnculo"/>
          </w:rPr>
          <w:t xml:space="preserve">https://doi.org/10.1016/S1161-0301(99)00019-2</w:t>
        </w:r>
      </w:hyperlink>
    </w:p>
    <w:bookmarkEnd w:id="46"/>
    <w:bookmarkStart w:id="48"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7">
        <w:r>
          <w:rPr>
            <w:rStyle w:val="Hipervnculo"/>
          </w:rPr>
          <w:t xml:space="preserve">https://CRAN.R-project.org/package=agricolae</w:t>
        </w:r>
      </w:hyperlink>
    </w:p>
    <w:bookmarkEnd w:id="48"/>
    <w:bookmarkStart w:id="50"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9">
        <w:r>
          <w:rPr>
            <w:rStyle w:val="Hipervnculo"/>
          </w:rPr>
          <w:t xml:space="preserve">https://doi.org/10.1016/j.envexpbot.2009.06.010</w:t>
        </w:r>
      </w:hyperlink>
    </w:p>
    <w:bookmarkEnd w:id="50"/>
    <w:bookmarkStart w:id="5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1">
        <w:r>
          <w:rPr>
            <w:rStyle w:val="Hipervnculo"/>
          </w:rPr>
          <w:t xml:space="preserve">https://CRAN.R-project.org/package=FactoMineR</w:t>
        </w:r>
      </w:hyperlink>
    </w:p>
    <w:bookmarkEnd w:id="52"/>
    <w:bookmarkStart w:id="5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3">
        <w:r>
          <w:rPr>
            <w:rStyle w:val="Hipervnculo"/>
          </w:rPr>
          <w:t xml:space="preserve">https://doi.org/10.1051/agro:2002089</w:t>
        </w:r>
      </w:hyperlink>
    </w:p>
    <w:bookmarkEnd w:id="54"/>
    <w:bookmarkStart w:id="56"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5">
        <w:r>
          <w:rPr>
            <w:rStyle w:val="Hipervnculo"/>
          </w:rPr>
          <w:t xml:space="preserve">https://flavjack.github.io/germinaquant/</w:t>
        </w:r>
      </w:hyperlink>
    </w:p>
    <w:bookmarkEnd w:id="56"/>
    <w:bookmarkStart w:id="5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7">
        <w:r>
          <w:rPr>
            <w:rStyle w:val="Hipervnculo"/>
          </w:rPr>
          <w:t xml:space="preserve">https://doi.org/10.1093/jxb/49.325.1381</w:t>
        </w:r>
      </w:hyperlink>
    </w:p>
    <w:bookmarkEnd w:id="58"/>
    <w:bookmarkStart w:id="6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59">
        <w:r>
          <w:rPr>
            <w:rStyle w:val="Hipervnculo"/>
          </w:rPr>
          <w:t xml:space="preserve">https://www.R-project.org/</w:t>
        </w:r>
      </w:hyperlink>
    </w:p>
    <w:bookmarkEnd w:id="60"/>
    <w:bookmarkStart w:id="6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1">
        <w:r>
          <w:rPr>
            <w:rStyle w:val="Hipervnculo"/>
          </w:rPr>
          <w:t xml:space="preserve">https://doi.org/10.1071/PP9860329</w:t>
        </w:r>
      </w:hyperlink>
    </w:p>
    <w:bookmarkEnd w:id="62"/>
    <w:bookmarkStart w:id="6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3">
        <w:r>
          <w:rPr>
            <w:rStyle w:val="Hipervnculo"/>
          </w:rPr>
          <w:t xml:space="preserve">https://doi.org/10.2307/1309424</w:t>
        </w:r>
      </w:hyperlink>
    </w:p>
    <w:bookmarkEnd w:id="64"/>
    <w:bookmarkStart w:id="6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5">
        <w:r>
          <w:rPr>
            <w:rStyle w:val="Hipervnculo"/>
          </w:rPr>
          <w:t xml:space="preserve">https://doi.org/10.1093/jxb/ern073</w:t>
        </w:r>
      </w:hyperlink>
    </w:p>
    <w:bookmarkEnd w:id="66"/>
    <w:bookmarkEnd w:id="67"/>
    <w:p>
      <w:pPr>
        <w:pStyle w:val="Ttulo1"/>
      </w:pPr>
      <w:bookmarkStart w:id="68" w:name="data-analysis"/>
      <w:r>
        <w:t xml:space="preserve">Data Analysis</w:t>
      </w:r>
      <w:bookmarkEnd w:id="68"/>
    </w:p>
    <w:p>
      <w:pPr>
        <w:pStyle w:val="Ttulo1"/>
      </w:pPr>
      <w:bookmarkStart w:id="69" w:name="tables"/>
      <w:r>
        <w:t xml:space="preserve">Tables</w:t>
      </w:r>
      <w:bookmarkEnd w:id="69"/>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
        <w:tblW w:type="pct" w:w="0.0"/>
        <w:tblLook w:firstRow="1"/>
        <w:tblCaption w:val="Table 3: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left"/>
            </w:pPr>
            <w:r>
              <w:t xml:space="preserve">m.rwd</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CIP720088</w:t>
            </w:r>
          </w:p>
        </w:tc>
        <w:tc>
          <w:p>
            <w:pPr>
              <w:pStyle w:val="Compact"/>
              <w:jc w:val="right"/>
            </w:pPr>
            <w:r>
              <w:t xml:space="preserve">15.496</w:t>
            </w:r>
          </w:p>
        </w:tc>
        <w:tc>
          <w:p>
            <w:pPr>
              <w:pStyle w:val="Compact"/>
              <w:jc w:val="right"/>
            </w:pPr>
            <w:r>
              <w:t xml:space="preserve">8.75</w:t>
            </w:r>
          </w:p>
        </w:tc>
        <w:tc>
          <w:p/>
        </w:tc>
        <w:tc>
          <w:p>
            <w:pPr>
              <w:pStyle w:val="Compact"/>
              <w:jc w:val="right"/>
            </w:pPr>
            <w:r>
              <w:t xml:space="preserve">680.7</w:t>
            </w:r>
          </w:p>
        </w:tc>
        <w:tc>
          <w:p>
            <w:pPr>
              <w:pStyle w:val="Compact"/>
              <w:jc w:val="right"/>
            </w:pPr>
            <w:r>
              <w:t xml:space="preserve">0.6891</w:t>
            </w:r>
          </w:p>
        </w:tc>
        <w:tc>
          <w:p>
            <w:pPr>
              <w:pStyle w:val="Compact"/>
              <w:jc w:val="right"/>
            </w:pPr>
            <w:r>
              <w:t xml:space="preserve">7.125</w:t>
            </w:r>
          </w:p>
        </w:tc>
        <w:tc>
          <w:p/>
        </w:tc>
        <w:tc>
          <w:p/>
        </w:tc>
      </w:tr>
      <w:tr>
        <w:tc>
          <w:p>
            <w:pPr>
              <w:pStyle w:val="Compact"/>
              <w:jc w:val="left"/>
            </w:pPr>
            <w:r>
              <w:t xml:space="preserve">CIP392797.22</w:t>
            </w:r>
          </w:p>
        </w:tc>
        <w:tc>
          <w:p>
            <w:pPr>
              <w:pStyle w:val="Compact"/>
              <w:jc w:val="right"/>
            </w:pPr>
            <w:r>
              <w:t xml:space="preserve">30.292</w:t>
            </w:r>
          </w:p>
        </w:tc>
        <w:tc>
          <w:p>
            <w:pPr>
              <w:pStyle w:val="Compact"/>
              <w:jc w:val="right"/>
            </w:pPr>
            <w:r>
              <w:t xml:space="preserve">8.40</w:t>
            </w:r>
          </w:p>
        </w:tc>
        <w:tc>
          <w:p/>
        </w:tc>
        <w:tc>
          <w:p>
            <w:pPr>
              <w:pStyle w:val="Compact"/>
              <w:jc w:val="right"/>
            </w:pPr>
            <w:r>
              <w:t xml:space="preserve">2059.1</w:t>
            </w:r>
          </w:p>
        </w:tc>
        <w:tc>
          <w:p>
            <w:pPr>
              <w:pStyle w:val="Compact"/>
              <w:jc w:val="right"/>
            </w:pPr>
            <w:r>
              <w:t xml:space="preserve">0.5927</w:t>
            </w:r>
          </w:p>
        </w:tc>
        <w:tc>
          <w:p>
            <w:pPr>
              <w:pStyle w:val="Compact"/>
              <w:jc w:val="right"/>
            </w:pPr>
            <w:r>
              <w:t xml:space="preserve">7.643</w:t>
            </w:r>
          </w:p>
        </w:tc>
        <w:tc>
          <w:p/>
        </w:tc>
        <w:tc>
          <w:p/>
        </w:tc>
      </w:tr>
      <w:tr>
        <w:tc>
          <w:p>
            <w:pPr>
              <w:pStyle w:val="Compact"/>
              <w:jc w:val="left"/>
            </w:pPr>
            <w:r>
              <w:t xml:space="preserve">CIP397077.16</w:t>
            </w:r>
          </w:p>
        </w:tc>
        <w:tc>
          <w:p>
            <w:pPr>
              <w:pStyle w:val="Compact"/>
              <w:jc w:val="right"/>
            </w:pPr>
            <w:r>
              <w:t xml:space="preserve">35.244</w:t>
            </w:r>
          </w:p>
        </w:tc>
        <w:tc>
          <w:p>
            <w:pPr>
              <w:pStyle w:val="Compact"/>
              <w:jc w:val="right"/>
            </w:pPr>
            <w:r>
              <w:t xml:space="preserve">17.00</w:t>
            </w:r>
          </w:p>
        </w:tc>
        <w:tc>
          <w:p/>
        </w:tc>
        <w:tc>
          <w:p>
            <w:pPr>
              <w:pStyle w:val="Compact"/>
              <w:jc w:val="right"/>
            </w:pPr>
            <w:r>
              <w:t xml:space="preserve">2062.4</w:t>
            </w:r>
          </w:p>
        </w:tc>
        <w:tc>
          <w:p>
            <w:pPr>
              <w:pStyle w:val="Compact"/>
              <w:jc w:val="right"/>
            </w:pPr>
            <w:r>
              <w:t xml:space="preserve">0.6652</w:t>
            </w:r>
          </w:p>
        </w:tc>
        <w:tc>
          <w:p>
            <w:pPr>
              <w:pStyle w:val="Compact"/>
              <w:jc w:val="right"/>
            </w:pPr>
            <w:r>
              <w:t xml:space="preserve">8.587</w:t>
            </w:r>
          </w:p>
        </w:tc>
        <w:tc>
          <w:p/>
        </w:tc>
        <w:tc>
          <w:p/>
        </w:tc>
      </w:tr>
      <w:tr>
        <w:tc>
          <w:p>
            <w:pPr>
              <w:pStyle w:val="Compact"/>
              <w:jc w:val="left"/>
            </w:pPr>
            <w:r>
              <w:t xml:space="preserve">CIP398192.213</w:t>
            </w:r>
          </w:p>
        </w:tc>
        <w:tc>
          <w:p>
            <w:pPr>
              <w:pStyle w:val="Compact"/>
              <w:jc w:val="right"/>
            </w:pPr>
            <w:r>
              <w:t xml:space="preserve">23.050</w:t>
            </w:r>
          </w:p>
        </w:tc>
        <w:tc>
          <w:p>
            <w:pPr>
              <w:pStyle w:val="Compact"/>
              <w:jc w:val="right"/>
            </w:pPr>
            <w:r>
              <w:t xml:space="preserve">13.40</w:t>
            </w:r>
          </w:p>
        </w:tc>
        <w:tc>
          <w:p/>
        </w:tc>
        <w:tc>
          <w:p>
            <w:pPr>
              <w:pStyle w:val="Compact"/>
              <w:jc w:val="right"/>
            </w:pPr>
            <w:r>
              <w:t xml:space="preserve">3066.0</w:t>
            </w:r>
          </w:p>
        </w:tc>
        <w:tc>
          <w:p>
            <w:pPr>
              <w:pStyle w:val="Compact"/>
              <w:jc w:val="right"/>
            </w:pPr>
            <w:r>
              <w:t xml:space="preserve">0.4272</w:t>
            </w:r>
          </w:p>
        </w:tc>
        <w:tc>
          <w:p>
            <w:pPr>
              <w:pStyle w:val="Compact"/>
              <w:jc w:val="right"/>
            </w:pPr>
            <w:r>
              <w:t xml:space="preserve">4.611</w:t>
            </w:r>
          </w:p>
        </w:tc>
        <w:tc>
          <w:p/>
        </w:tc>
        <w:tc>
          <w:p/>
        </w:tc>
      </w:tr>
      <w:tr>
        <w:tc>
          <w:p>
            <w:pPr>
              <w:pStyle w:val="Compact"/>
              <w:jc w:val="left"/>
            </w:pPr>
            <w:r>
              <w:t xml:space="preserve">CIP398180.612</w:t>
            </w:r>
          </w:p>
        </w:tc>
        <w:tc>
          <w:p>
            <w:pPr>
              <w:pStyle w:val="Compact"/>
              <w:jc w:val="right"/>
            </w:pPr>
            <w:r>
              <w:t xml:space="preserve">16.680</w:t>
            </w:r>
          </w:p>
        </w:tc>
        <w:tc>
          <w:p>
            <w:pPr>
              <w:pStyle w:val="Compact"/>
              <w:jc w:val="right"/>
            </w:pPr>
            <w:r>
              <w:t xml:space="preserve">12.80</w:t>
            </w:r>
          </w:p>
        </w:tc>
        <w:tc>
          <w:p/>
        </w:tc>
        <w:tc>
          <w:p>
            <w:pPr>
              <w:pStyle w:val="Compact"/>
              <w:jc w:val="right"/>
            </w:pPr>
            <w:r>
              <w:t xml:space="preserve">3133.5</w:t>
            </w:r>
          </w:p>
        </w:tc>
        <w:tc>
          <w:p>
            <w:pPr>
              <w:pStyle w:val="Compact"/>
              <w:jc w:val="right"/>
            </w:pPr>
            <w:r>
              <w:t xml:space="preserve">0.3460</w:t>
            </w:r>
          </w:p>
        </w:tc>
        <w:tc>
          <w:p>
            <w:pPr>
              <w:pStyle w:val="Compact"/>
              <w:jc w:val="right"/>
            </w:pPr>
            <w:r>
              <w:t xml:space="preserve">3.416</w:t>
            </w:r>
          </w:p>
        </w:tc>
        <w:tc>
          <w:p/>
        </w:tc>
        <w:tc>
          <w:p/>
        </w:tc>
      </w:tr>
      <w:tr>
        <w:tc>
          <w:p>
            <w:pPr>
              <w:pStyle w:val="Compact"/>
              <w:jc w:val="left"/>
            </w:pPr>
            <w:r>
              <w:t xml:space="preserve">CIP398208.704</w:t>
            </w:r>
          </w:p>
        </w:tc>
        <w:tc>
          <w:p>
            <w:pPr>
              <w:pStyle w:val="Compact"/>
              <w:jc w:val="right"/>
            </w:pPr>
            <w:r>
              <w:t xml:space="preserve">27.110</w:t>
            </w:r>
          </w:p>
        </w:tc>
        <w:tc>
          <w:p>
            <w:pPr>
              <w:pStyle w:val="Compact"/>
              <w:jc w:val="right"/>
            </w:pPr>
            <w:r>
              <w:t xml:space="preserve">18.80</w:t>
            </w:r>
          </w:p>
        </w:tc>
        <w:tc>
          <w:p/>
        </w:tc>
        <w:tc>
          <w:p>
            <w:pPr>
              <w:pStyle w:val="Compact"/>
              <w:jc w:val="right"/>
            </w:pPr>
            <w:r>
              <w:t xml:space="preserve">1804.6</w:t>
            </w:r>
          </w:p>
        </w:tc>
        <w:tc>
          <w:p>
            <w:pPr>
              <w:pStyle w:val="Compact"/>
              <w:jc w:val="right"/>
            </w:pPr>
            <w:r>
              <w:t xml:space="preserve">0.4463</w:t>
            </w:r>
          </w:p>
        </w:tc>
        <w:tc>
          <w:p>
            <w:pPr>
              <w:pStyle w:val="Compact"/>
              <w:jc w:val="right"/>
            </w:pPr>
            <w:r>
              <w:t xml:space="preserve">5.275</w:t>
            </w:r>
          </w:p>
        </w:tc>
        <w:tc>
          <w:p/>
        </w:tc>
        <w:tc>
          <w:p/>
        </w:tc>
      </w:tr>
      <w:tr>
        <w:tc>
          <w:p>
            <w:pPr>
              <w:pStyle w:val="Compact"/>
              <w:jc w:val="left"/>
            </w:pPr>
            <w:r>
              <w:t xml:space="preserve">CIP398098.119</w:t>
            </w:r>
          </w:p>
        </w:tc>
        <w:tc>
          <w:p>
            <w:pPr>
              <w:pStyle w:val="Compact"/>
              <w:jc w:val="right"/>
            </w:pPr>
            <w:r>
              <w:t xml:space="preserve">36.534</w:t>
            </w:r>
          </w:p>
        </w:tc>
        <w:tc>
          <w:p>
            <w:pPr>
              <w:pStyle w:val="Compact"/>
              <w:jc w:val="right"/>
            </w:pPr>
            <w:r>
              <w:t xml:space="preserve">16.40</w:t>
            </w:r>
          </w:p>
        </w:tc>
        <w:tc>
          <w:p/>
        </w:tc>
        <w:tc>
          <w:p>
            <w:pPr>
              <w:pStyle w:val="Compact"/>
              <w:jc w:val="right"/>
            </w:pPr>
            <w:r>
              <w:t xml:space="preserve">3054.2</w:t>
            </w:r>
          </w:p>
        </w:tc>
        <w:tc>
          <w:p>
            <w:pPr>
              <w:pStyle w:val="Compact"/>
              <w:jc w:val="right"/>
            </w:pPr>
            <w:r>
              <w:t xml:space="preserve">0.5111</w:t>
            </w:r>
          </w:p>
        </w:tc>
        <w:tc>
          <w:p>
            <w:pPr>
              <w:pStyle w:val="Compact"/>
              <w:jc w:val="right"/>
            </w:pPr>
            <w:r>
              <w:t xml:space="preserve">5.777</w:t>
            </w:r>
          </w:p>
        </w:tc>
        <w:tc>
          <w:p/>
        </w:tc>
        <w:tc>
          <w:p/>
        </w:tc>
      </w:tr>
      <w:tr>
        <w:tc>
          <w:p>
            <w:pPr>
              <w:pStyle w:val="Compact"/>
              <w:jc w:val="left"/>
            </w:pPr>
            <w:r>
              <w:t xml:space="preserve">CIP398190.89</w:t>
            </w:r>
          </w:p>
        </w:tc>
        <w:tc>
          <w:p>
            <w:pPr>
              <w:pStyle w:val="Compact"/>
              <w:jc w:val="right"/>
            </w:pPr>
            <w:r>
              <w:t xml:space="preserve">26.552</w:t>
            </w:r>
          </w:p>
        </w:tc>
        <w:tc>
          <w:p>
            <w:pPr>
              <w:pStyle w:val="Compact"/>
              <w:jc w:val="right"/>
            </w:pPr>
            <w:r>
              <w:t xml:space="preserve">7.40</w:t>
            </w:r>
          </w:p>
        </w:tc>
        <w:tc>
          <w:p/>
        </w:tc>
        <w:tc>
          <w:p>
            <w:pPr>
              <w:pStyle w:val="Compact"/>
              <w:jc w:val="right"/>
            </w:pPr>
            <w:r>
              <w:t xml:space="preserve">2881.8</w:t>
            </w:r>
          </w:p>
        </w:tc>
        <w:tc>
          <w:p>
            <w:pPr>
              <w:pStyle w:val="Compact"/>
              <w:jc w:val="right"/>
            </w:pPr>
            <w:r>
              <w:t xml:space="preserve">0.5817</w:t>
            </w:r>
          </w:p>
        </w:tc>
        <w:tc>
          <w:p>
            <w:pPr>
              <w:pStyle w:val="Compact"/>
              <w:jc w:val="right"/>
            </w:pPr>
            <w:r>
              <w:t xml:space="preserve">6.613</w:t>
            </w:r>
          </w:p>
        </w:tc>
        <w:tc>
          <w:p/>
        </w:tc>
        <w:tc>
          <w:p/>
        </w:tc>
      </w:tr>
      <w:tr>
        <w:tc>
          <w:p>
            <w:pPr>
              <w:pStyle w:val="Compact"/>
              <w:jc w:val="left"/>
            </w:pPr>
            <w:r>
              <w:t xml:space="preserve">CIP398192.592</w:t>
            </w:r>
          </w:p>
        </w:tc>
        <w:tc>
          <w:p>
            <w:pPr>
              <w:pStyle w:val="Compact"/>
              <w:jc w:val="right"/>
            </w:pPr>
            <w:r>
              <w:t xml:space="preserve">21.325</w:t>
            </w:r>
          </w:p>
        </w:tc>
        <w:tc>
          <w:p>
            <w:pPr>
              <w:pStyle w:val="Compact"/>
              <w:jc w:val="right"/>
            </w:pPr>
            <w:r>
              <w:t xml:space="preserve">17.50</w:t>
            </w:r>
          </w:p>
        </w:tc>
        <w:tc>
          <w:p/>
        </w:tc>
        <w:tc>
          <w:p>
            <w:pPr>
              <w:pStyle w:val="Compact"/>
              <w:jc w:val="right"/>
            </w:pPr>
            <w:r>
              <w:t xml:space="preserve">2450.7</w:t>
            </w:r>
          </w:p>
        </w:tc>
        <w:tc>
          <w:p>
            <w:pPr>
              <w:pStyle w:val="Compact"/>
              <w:jc w:val="right"/>
            </w:pPr>
            <w:r>
              <w:t xml:space="preserve">0.4041</w:t>
            </w:r>
          </w:p>
        </w:tc>
        <w:tc>
          <w:p>
            <w:pPr>
              <w:pStyle w:val="Compact"/>
              <w:jc w:val="right"/>
            </w:pPr>
            <w:r>
              <w:t xml:space="preserve">4.069</w:t>
            </w:r>
          </w:p>
        </w:tc>
        <w:tc>
          <w:p/>
        </w:tc>
        <w:tc>
          <w:p/>
        </w:tc>
      </w:tr>
      <w:tr>
        <w:tc>
          <w:p>
            <w:pPr>
              <w:pStyle w:val="Compact"/>
              <w:jc w:val="left"/>
            </w:pPr>
            <w:r>
              <w:t xml:space="preserve">CIP398201.510</w:t>
            </w:r>
          </w:p>
        </w:tc>
        <w:tc>
          <w:p>
            <w:pPr>
              <w:pStyle w:val="Compact"/>
              <w:jc w:val="right"/>
            </w:pPr>
            <w:r>
              <w:t xml:space="preserve">13.102</w:t>
            </w:r>
          </w:p>
        </w:tc>
        <w:tc>
          <w:p>
            <w:pPr>
              <w:pStyle w:val="Compact"/>
              <w:jc w:val="right"/>
            </w:pPr>
            <w:r>
              <w:t xml:space="preserve">13.25</w:t>
            </w:r>
          </w:p>
        </w:tc>
        <w:tc>
          <w:p/>
        </w:tc>
        <w:tc>
          <w:p>
            <w:pPr>
              <w:pStyle w:val="Compact"/>
              <w:jc w:val="right"/>
            </w:pPr>
            <w:r>
              <w:t xml:space="preserve">2373.6</w:t>
            </w:r>
          </w:p>
        </w:tc>
        <w:tc>
          <w:p>
            <w:pPr>
              <w:pStyle w:val="Compact"/>
              <w:jc w:val="right"/>
            </w:pPr>
            <w:r>
              <w:t xml:space="preserve">0.3153</w:t>
            </w:r>
          </w:p>
        </w:tc>
        <w:tc>
          <w:p>
            <w:pPr>
              <w:pStyle w:val="Compact"/>
              <w:jc w:val="right"/>
            </w:pPr>
            <w:r>
              <w:t xml:space="preserve">3.306</w:t>
            </w:r>
          </w:p>
        </w:tc>
        <w:tc>
          <w:p/>
        </w:tc>
        <w:tc>
          <w:p/>
        </w:tc>
      </w:tr>
      <w:tr>
        <w:tc>
          <w:p>
            <w:pPr>
              <w:pStyle w:val="Compact"/>
              <w:jc w:val="left"/>
            </w:pPr>
            <w:r>
              <w:t xml:space="preserve">CIP398203.244</w:t>
            </w:r>
          </w:p>
        </w:tc>
        <w:tc>
          <w:p>
            <w:pPr>
              <w:pStyle w:val="Compact"/>
              <w:jc w:val="right"/>
            </w:pPr>
            <w:r>
              <w:t xml:space="preserve">6.064</w:t>
            </w:r>
          </w:p>
        </w:tc>
        <w:tc>
          <w:p>
            <w:pPr>
              <w:pStyle w:val="Compact"/>
              <w:jc w:val="right"/>
            </w:pPr>
            <w:r>
              <w:t xml:space="preserve">3.60</w:t>
            </w:r>
          </w:p>
        </w:tc>
        <w:tc>
          <w:p/>
        </w:tc>
        <w:tc>
          <w:p>
            <w:pPr>
              <w:pStyle w:val="Compact"/>
              <w:jc w:val="right"/>
            </w:pPr>
            <w:r>
              <w:t xml:space="preserve">3322.6</w:t>
            </w:r>
          </w:p>
        </w:tc>
        <w:tc>
          <w:p>
            <w:pPr>
              <w:pStyle w:val="Compact"/>
              <w:jc w:val="right"/>
            </w:pPr>
            <w:r>
              <w:t xml:space="preserve">0.1363</w:t>
            </w:r>
          </w:p>
        </w:tc>
        <w:tc>
          <w:p>
            <w:pPr>
              <w:pStyle w:val="Compact"/>
              <w:jc w:val="right"/>
            </w:pPr>
            <w:r>
              <w:t xml:space="preserve">1.517</w:t>
            </w:r>
          </w:p>
        </w:tc>
        <w:tc>
          <w:p/>
        </w:tc>
        <w:tc>
          <w:p/>
        </w:tc>
      </w:tr>
      <w:tr>
        <w:tc>
          <w:p>
            <w:pPr>
              <w:pStyle w:val="Compact"/>
              <w:jc w:val="left"/>
            </w:pPr>
            <w:r>
              <w:t xml:space="preserve">CIP398203.5</w:t>
            </w:r>
          </w:p>
        </w:tc>
        <w:tc>
          <w:p>
            <w:pPr>
              <w:pStyle w:val="Compact"/>
              <w:jc w:val="right"/>
            </w:pPr>
            <w:r>
              <w:t xml:space="preserve">14.320</w:t>
            </w:r>
          </w:p>
        </w:tc>
        <w:tc>
          <w:p>
            <w:pPr>
              <w:pStyle w:val="Compact"/>
              <w:jc w:val="right"/>
            </w:pPr>
            <w:r>
              <w:t xml:space="preserve">10.00</w:t>
            </w:r>
          </w:p>
        </w:tc>
        <w:tc>
          <w:p/>
        </w:tc>
        <w:tc>
          <w:p>
            <w:pPr>
              <w:pStyle w:val="Compact"/>
              <w:jc w:val="right"/>
            </w:pPr>
            <w:r>
              <w:t xml:space="preserve">2717.1</w:t>
            </w:r>
          </w:p>
        </w:tc>
        <w:tc>
          <w:p>
            <w:pPr>
              <w:pStyle w:val="Compact"/>
              <w:jc w:val="right"/>
            </w:pPr>
            <w:r>
              <w:t xml:space="preserve">0.4097</w:t>
            </w:r>
          </w:p>
        </w:tc>
        <w:tc>
          <w:p>
            <w:pPr>
              <w:pStyle w:val="Compact"/>
              <w:jc w:val="right"/>
            </w:pPr>
            <w:r>
              <w:t xml:space="preserve">4.276</w:t>
            </w:r>
          </w:p>
        </w:tc>
        <w:tc>
          <w:p/>
        </w:tc>
        <w:tc>
          <w:p/>
        </w:tc>
      </w:tr>
      <w:tr>
        <w:tc>
          <w:p>
            <w:pPr>
              <w:pStyle w:val="Compact"/>
              <w:jc w:val="left"/>
            </w:pPr>
            <w:r>
              <w:t xml:space="preserve">CIP398208.219</w:t>
            </w:r>
          </w:p>
        </w:tc>
        <w:tc>
          <w:p>
            <w:pPr>
              <w:pStyle w:val="Compact"/>
              <w:jc w:val="right"/>
            </w:pPr>
            <w:r>
              <w:t xml:space="preserve">25.876</w:t>
            </w:r>
          </w:p>
        </w:tc>
        <w:tc>
          <w:p>
            <w:pPr>
              <w:pStyle w:val="Compact"/>
              <w:jc w:val="right"/>
            </w:pPr>
            <w:r>
              <w:t xml:space="preserve">7.20</w:t>
            </w:r>
          </w:p>
        </w:tc>
        <w:tc>
          <w:p/>
        </w:tc>
        <w:tc>
          <w:p>
            <w:pPr>
              <w:pStyle w:val="Compact"/>
              <w:jc w:val="right"/>
            </w:pPr>
            <w:r>
              <w:t xml:space="preserve">2978.7</w:t>
            </w:r>
          </w:p>
        </w:tc>
        <w:tc>
          <w:p>
            <w:pPr>
              <w:pStyle w:val="Compact"/>
              <w:jc w:val="right"/>
            </w:pPr>
            <w:r>
              <w:t xml:space="preserve">0.4857</w:t>
            </w:r>
          </w:p>
        </w:tc>
        <w:tc>
          <w:p>
            <w:pPr>
              <w:pStyle w:val="Compact"/>
              <w:jc w:val="right"/>
            </w:pPr>
            <w:r>
              <w:t xml:space="preserve">5.419</w:t>
            </w:r>
          </w:p>
        </w:tc>
        <w:tc>
          <w:p/>
        </w:tc>
        <w:tc>
          <w:p/>
        </w:tc>
      </w:tr>
      <w:tr>
        <w:tc>
          <w:p>
            <w:pPr>
              <w:pStyle w:val="Compact"/>
              <w:jc w:val="left"/>
            </w:pPr>
            <w:r>
              <w:t xml:space="preserve">CIP398208.33</w:t>
            </w:r>
          </w:p>
        </w:tc>
        <w:tc>
          <w:p>
            <w:pPr>
              <w:pStyle w:val="Compact"/>
              <w:jc w:val="right"/>
            </w:pPr>
            <w:r>
              <w:t xml:space="preserve">23.956</w:t>
            </w:r>
          </w:p>
        </w:tc>
        <w:tc>
          <w:p>
            <w:pPr>
              <w:pStyle w:val="Compact"/>
              <w:jc w:val="right"/>
            </w:pPr>
            <w:r>
              <w:t xml:space="preserve">14.00</w:t>
            </w:r>
          </w:p>
        </w:tc>
        <w:tc>
          <w:p/>
        </w:tc>
        <w:tc>
          <w:p>
            <w:pPr>
              <w:pStyle w:val="Compact"/>
              <w:jc w:val="right"/>
            </w:pPr>
            <w:r>
              <w:t xml:space="preserve">3514.3</w:t>
            </w:r>
          </w:p>
        </w:tc>
        <w:tc>
          <w:p>
            <w:pPr>
              <w:pStyle w:val="Compact"/>
              <w:jc w:val="right"/>
            </w:pPr>
            <w:r>
              <w:t xml:space="preserve">0.3890</w:t>
            </w:r>
          </w:p>
        </w:tc>
        <w:tc>
          <w:p>
            <w:pPr>
              <w:pStyle w:val="Compact"/>
              <w:jc w:val="right"/>
            </w:pPr>
            <w:r>
              <w:t xml:space="preserve">4.630</w:t>
            </w:r>
          </w:p>
        </w:tc>
        <w:tc>
          <w:p/>
        </w:tc>
        <w:tc>
          <w:p/>
        </w:tc>
      </w:tr>
      <w:tr>
        <w:tc>
          <w:p>
            <w:pPr>
              <w:pStyle w:val="Compact"/>
              <w:jc w:val="left"/>
            </w:pPr>
            <w:r>
              <w:t xml:space="preserve">CIP398208.620</w:t>
            </w:r>
          </w:p>
        </w:tc>
        <w:tc>
          <w:p>
            <w:pPr>
              <w:pStyle w:val="Compact"/>
              <w:jc w:val="right"/>
            </w:pPr>
            <w:r>
              <w:t xml:space="preserve">39.510</w:t>
            </w:r>
          </w:p>
        </w:tc>
        <w:tc>
          <w:p>
            <w:pPr>
              <w:pStyle w:val="Compact"/>
              <w:jc w:val="right"/>
            </w:pPr>
            <w:r>
              <w:t xml:space="preserve">12.40</w:t>
            </w:r>
          </w:p>
        </w:tc>
        <w:tc>
          <w:p/>
        </w:tc>
        <w:tc>
          <w:p>
            <w:pPr>
              <w:pStyle w:val="Compact"/>
              <w:jc w:val="right"/>
            </w:pPr>
            <w:r>
              <w:t xml:space="preserve">1530.8</w:t>
            </w:r>
          </w:p>
        </w:tc>
        <w:tc>
          <w:p>
            <w:pPr>
              <w:pStyle w:val="Compact"/>
              <w:jc w:val="right"/>
            </w:pPr>
            <w:r>
              <w:t xml:space="preserve">0.5896</w:t>
            </w:r>
          </w:p>
        </w:tc>
        <w:tc>
          <w:p>
            <w:pPr>
              <w:pStyle w:val="Compact"/>
              <w:jc w:val="right"/>
            </w:pPr>
            <w:r>
              <w:t xml:space="preserve">7.096</w:t>
            </w:r>
          </w:p>
        </w:tc>
        <w:tc>
          <w:p/>
        </w:tc>
        <w:tc>
          <w:p/>
        </w:tc>
      </w:tr>
    </w:tbl>
    <w:p>
      <w:pPr>
        <w:pStyle w:val="Ttulo1"/>
      </w:pPr>
      <w:bookmarkStart w:id="70" w:name="figures"/>
      <w:r>
        <w:t xml:space="preserve">Figures</w:t>
      </w:r>
      <w:bookmarkEnd w:id="70"/>
    </w:p>
    <w:p>
      <w:pPr>
        <w:pStyle w:val="CaptionedFigure"/>
      </w:pPr>
      <w:r>
        <w:drawing>
          <wp:inline>
            <wp:extent cx="4082688"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71"/>
                    <a:stretch>
                      <a:fillRect/>
                    </a:stretch>
                  </pic:blipFill>
                  <pic:spPr bwMode="auto">
                    <a:xfrm>
                      <a:off x="0" y="0"/>
                      <a:ext cx="4082688"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1" Target="media/rId71.png" /><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Lozano-Isla ^{1*}, Farfan-Vignolo, Evelyn^{1}, Gutierrez, Raymundo ^{1},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2020-03-01T20:48:52Z</dcterms:created>
  <dcterms:modified xsi:type="dcterms:W3CDTF">2020-03-01T20:48:52Z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