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99.png" ContentType="image/png"/>
  <Override PartName="/word/media/rId97.png" ContentType="image/png"/>
  <Override PartName="/word/media/rId98.png" ContentType="image/png"/>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understand the relation between traits and mechanisms of tolerance in potato, and provide useful information for selection of drought tolerance in potato breeding programs. In order to explore the different responses of potato under drought stress, we evaluated fifteen genotypes under well watered (WD) and water deficit (WD) conditions for a range of agro-physiological traits. Tolerant genotypes such as CIP397077.16, CIP398190.89, and CIP392797.22 (UNICA) were able to preferentially put limited water toward tuber production rather than biomass. Lower specific leaf area (sla) and relative water content (rwc) under WD, and that potato genotypes with the ability to maintain high harvest index (hi) and tuber water use efficiency (wue</w:t>
      </w:r>
      <w:r>
        <w:rPr>
          <w:vertAlign w:val="subscript"/>
        </w:rPr>
        <w:t xml:space="preserve">t</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rPr>
          <w:b/>
        </w:rPr>
        <w:t xml:space="preserve">Key words:</w:t>
      </w:r>
      <w:r>
        <w:t xml:space="preserve"> </w:t>
      </w:r>
      <w:r>
        <w:t xml:space="preserve">abiotic stress, harvest index, lisimeter, drought tolerance, SPAD</w:t>
      </w:r>
    </w:p>
    <w:p>
      <w:pPr>
        <w:pStyle w:val="Textodebloque"/>
      </w:pPr>
      <w:r>
        <w:t xml:space="preserve">Include info about potato!</w:t>
      </w:r>
    </w:p>
    <w:p>
      <w:pPr>
        <w:pStyle w:val="Ttulo1"/>
      </w:pPr>
      <w:bookmarkStart w:id="22" w:name="introduction"/>
      <w:r>
        <w:t xml:space="preserve">Introduction</w:t>
      </w:r>
      <w:bookmarkEnd w:id="22"/>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r>
        <w:t xml:space="preserve"> </w:t>
      </w:r>
      <w:r>
        <w:rPr>
          <w:i/>
        </w:rPr>
        <w:t xml:space="preserve">cita</w:t>
      </w:r>
      <w:r>
        <w:t xml:space="preserve">.</w:t>
      </w:r>
    </w:p>
    <w:p>
      <w:pPr>
        <w:pStyle w:val="Textodebloque"/>
      </w:pPr>
      <w:r>
        <w:t xml:space="preserve">Potato is the most important non-grain food crop in the world (FAO 2011)</w:t>
      </w:r>
    </w:p>
    <w:p>
      <w:pPr>
        <w:pStyle w:val="FirstParagraph"/>
      </w:pPr>
      <w:r>
        <w:t xml:space="preserve">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w:t>
      </w:r>
      <w:r>
        <w:t xml:space="preserve">. Nevertheless, potato has a high harvest index in comparison with cereals and relatively low demand for water</w:t>
      </w:r>
      <w:r>
        <w:t xml:space="preserve"> </w:t>
      </w:r>
      <w:r>
        <w:rPr>
          <w:i/>
        </w:rPr>
        <w:t xml:space="preserve">cita</w:t>
      </w:r>
      <w:r>
        <w:t xml:space="preserve">.</w:t>
      </w:r>
    </w:p>
    <w:p>
      <w:pPr>
        <w:pStyle w:val="BodyText"/>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2013Potato">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2005Drought">
        <w:r>
          <w:rPr>
            <w:rStyle w:val="Hipervnculo"/>
          </w:rPr>
          <w:t xml:space="preserve">2005</w:t>
        </w:r>
      </w:hyperlink>
      <w:r>
        <w:t xml:space="preserve">; Hochman et al.,</w:t>
      </w:r>
      <w:r>
        <w:t xml:space="preserve"> </w:t>
      </w:r>
      <w:hyperlink w:anchor="ref-hochman2009Potential">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2014Effect">
        <w:r>
          <w:rPr>
            <w:rStyle w:val="Hipervnculo"/>
          </w:rPr>
          <w:t xml:space="preserve">2014</w:t>
        </w:r>
      </w:hyperlink>
      <w:r>
        <w:t xml:space="preserve">; Condon et al.,</w:t>
      </w:r>
      <w:r>
        <w:t xml:space="preserve"> </w:t>
      </w:r>
      <w:hyperlink w:anchor="ref-condon2004Breeding">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&amp; Howell,</w:t>
      </w:r>
      <w:r>
        <w:t xml:space="preserve"> </w:t>
      </w:r>
      <w:hyperlink w:anchor="ref-tolk2009Transpiration">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&amp; Peñuelas,</w:t>
      </w:r>
      <w:r>
        <w:t xml:space="preserve"> </w:t>
      </w:r>
      <w:hyperlink w:anchor="ref-ogaya2003Comparative">
        <w:r>
          <w:rPr>
            <w:rStyle w:val="Hipervnculo"/>
          </w:rPr>
          <w:t xml:space="preserve">2003</w:t>
        </w:r>
      </w:hyperlink>
      <w:r>
        <w:t xml:space="preserve">)</w:t>
      </w:r>
      <w:r>
        <w:t xml:space="preserve">.</w:t>
      </w:r>
    </w:p>
    <w:p>
      <w:pPr>
        <w:pStyle w:val="BodyText"/>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&amp; Midmore,</w:t>
      </w:r>
      <w:r>
        <w:t xml:space="preserve"> </w:t>
      </w:r>
      <w:hyperlink w:anchor="ref-trebejo1990Effect">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BodyText"/>
      </w:pPr>
      <w:r>
        <w:t xml:space="preserve">This study elucidate the mechanisms for drought tolerance and yield in fifteen advanced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(op), specific leaf area (sla), tuber water use efficiency (wue</w:t>
      </w:r>
      <w:r>
        <w:rPr>
          <w:vertAlign w:val="subscript"/>
        </w:rPr>
        <w:t xml:space="preserve">t</w:t>
      </w:r>
      <w:r>
        <w:t xml:space="preserve">), harvest index (hi), among other traits, were evaluated to identify convenient indicators of plant water status that helps in the selection of clones with high tolerance to water deficit.</w:t>
      </w:r>
    </w:p>
    <w:p>
      <w:pPr>
        <w:pStyle w:val="Textodebloque"/>
      </w:pPr>
      <w:r>
        <w:t xml:space="preserve">Indirect selection between HI vs TWUE vs SPAD!</w:t>
      </w:r>
    </w:p>
    <w:p>
      <w:pPr>
        <w:pStyle w:val="Textodebloque"/>
      </w:pPr>
      <w:r>
        <w:t xml:space="preserve">Include in the intro</w:t>
      </w:r>
    </w:p>
    <w:p>
      <w:pPr>
        <w:pStyle w:val="Ttulo1"/>
      </w:pPr>
      <w:bookmarkStart w:id="23" w:name="materials-and-methods"/>
      <w:r>
        <w:t xml:space="preserve">Materials and Methods</w:t>
      </w:r>
      <w:bookmarkEnd w:id="23"/>
    </w:p>
    <w:p>
      <w:pPr>
        <w:pStyle w:val="Ttulo2"/>
      </w:pPr>
      <w:bookmarkStart w:id="24" w:name="plant-material"/>
      <w:r>
        <w:t xml:space="preserve">Plant material</w:t>
      </w:r>
      <w:bookmarkEnd w:id="24"/>
    </w:p>
    <w:p>
      <w:pPr>
        <w:pStyle w:val="FirstParagraph"/>
      </w:pPr>
      <w:r>
        <w:t xml:space="preserve">Thirteen potato clones were selected from advanced breeding population collection at International Potato Center (CIP) and two commercial varieties, Table (</w:t>
      </w:r>
      <w:r>
        <w:t xml:space="preserve">1</w:t>
      </w:r>
      <w:r>
        <w:t xml:space="preserve">). UNICA (CIP392797.22) and Achirana INTA (CIP720088) known for their earliness and drought tolerance</w:t>
      </w:r>
      <w:r>
        <w:t xml:space="preserve"> </w:t>
      </w:r>
      <w:r>
        <w:rPr>
          <w:i/>
        </w:rPr>
        <w:t xml:space="preserve">(Schafleitner et al. 2007)</w:t>
      </w:r>
      <w:r>
        <w:t xml:space="preserve">. UNICA has a good response to warm and dry environments</w:t>
      </w:r>
      <w:r>
        <w:t xml:space="preserve"> </w:t>
      </w:r>
      <w:r>
        <w:rPr>
          <w:i/>
        </w:rPr>
        <w:t xml:space="preserve">(Gutiérrez et al., 2007)</w:t>
      </w:r>
      <w:r>
        <w:t xml:space="preserve">.</w:t>
      </w:r>
    </w:p>
    <w:p>
      <w:pPr>
        <w:pStyle w:val="Ttulo2"/>
      </w:pPr>
      <w:bookmarkStart w:id="25" w:name="experimental-design-and-conditions"/>
      <w:r>
        <w:t xml:space="preserve">Experimental design and conditions</w:t>
      </w:r>
      <w:bookmarkEnd w:id="25"/>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1</w:t>
      </w:r>
      <w:r>
        <w:t xml:space="preserve">). Each treatment consisted of five replicates with one potato plant for each experimental unit.</w:t>
      </w:r>
    </w:p>
    <w:p>
      <w:pPr>
        <w:pStyle w:val="Ttulo2"/>
      </w:pPr>
      <w:bookmarkStart w:id="26" w:name="cultivation-and-management"/>
      <w:r>
        <w:t xml:space="preserve">Cultivation and management</w:t>
      </w:r>
      <w:bookmarkEnd w:id="26"/>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It was sown containing 5 kg of dry commercial Sogemix SM2 (75% Peat Moss, perlite, vermiculite, and limestone). The potato tubers were pre-sprouted for 2 weeks and planted at 5–7 cm depth. Fertilization was done twice with ammonium nitrate; triple superphosphate and potassium sulphate, one before planting mixed with the substrate and the other applied at the surface at 40 days after planting (dap).</w:t>
      </w:r>
    </w:p>
    <w:p>
      <w:pPr>
        <w:pStyle w:val="Ttulo2"/>
      </w:pPr>
      <w:bookmarkStart w:id="27" w:name="transpiration-rate-and-soil-water-supply"/>
      <w:r>
        <w:t xml:space="preserve">Transpiration rate and soil water supply</w:t>
      </w:r>
      <w:bookmarkEnd w:id="27"/>
    </w:p>
    <w:p>
      <w:pPr>
        <w:pStyle w:val="FirstParagraph"/>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8" w:name="evaluated-traits"/>
      <w:r>
        <w:t xml:space="preserve">Evaluated traits</w:t>
      </w:r>
      <w:bookmarkEnd w:id="28"/>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was used the dry weight from tuber production divide the total water transpired (trs)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 SPAD values were highly significantly correlated with a + b chlorophyll concentration per unit leaf area (</w:t>
      </w:r>
      <m:oMath>
        <m:r>
          <m:t>μ</m:t>
        </m:r>
      </m:oMath>
      <w:r>
        <w:t xml:space="preserve">g cm</w:t>
      </w:r>
      <w:r>
        <w:rPr>
          <w:vertAlign w:val="subscript"/>
        </w:rPr>
        <w:t xml:space="preserve">−2</w:t>
      </w:r>
      <w:r>
        <w:t xml:space="preserve">) as determined by</w:t>
      </w:r>
      <w:r>
        <w:t xml:space="preserve"> </w:t>
      </w:r>
      <w:r>
        <w:rPr>
          <w:i/>
        </w:rPr>
        <w:t xml:space="preserve">Lichtenthaler and Wellburn (1983)</w:t>
      </w:r>
      <w:r>
        <w:t xml:space="preserve">.</w:t>
      </w:r>
    </w:p>
    <w:p>
      <w:pPr>
        <w:pStyle w:val="BodyText"/>
      </w:pPr>
      <w:r>
        <w:rPr>
          <w:b/>
        </w:rPr>
        <w:t xml:space="preserve">Post-harvest traits.</w:t>
      </w:r>
      <w:r>
        <w:t xml:space="preserve"> </w:t>
      </w:r>
      <w:r>
        <w:t xml:space="preserve">The harvest was at 90 dap.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ImageJ software</w:t>
      </w:r>
      <w:r>
        <w:t xml:space="preserve"> </w:t>
      </w:r>
      <w:r>
        <w:t xml:space="preserve">(Zárate-Salazar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w:t>
      </w:r>
    </w:p>
    <w:p>
      <w:pPr>
        <w:pStyle w:val="Ttulo2"/>
      </w:pPr>
      <w:bookmarkStart w:id="29" w:name="statistical-analysis"/>
      <w:r>
        <w:t xml:space="preserve">Statistical analysis</w:t>
      </w:r>
      <w:bookmarkEnd w:id="29"/>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t-student test between well water and water deficit treatment (p&lt;0.05). For the multivariate analysis, correlation and principal components analysis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The method for compute the hierarchical clustering between treatments and genotypes was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w:t>
      </w:r>
    </w:p>
    <w:p>
      <w:pPr>
        <w:pStyle w:val="Ttulo1"/>
      </w:pPr>
      <w:bookmarkStart w:id="30" w:name="result"/>
      <w:r>
        <w:t xml:space="preserve">Result</w:t>
      </w:r>
      <w:bookmarkEnd w:id="30"/>
    </w:p>
    <w:p>
      <w:pPr>
        <w:pStyle w:val="Ttulo2"/>
      </w:pPr>
      <w:bookmarkStart w:id="31" w:name="treatment-application"/>
      <w:r>
        <w:t xml:space="preserve">Treatment application</w:t>
      </w:r>
      <w:bookmarkEnd w:id="31"/>
    </w:p>
    <w:p>
      <w:pPr>
        <w:pStyle w:val="FirstParagraph"/>
      </w:pPr>
      <w:r>
        <w:t xml:space="preserve">The drought treatment were apply at 45 day after planting (dap) and the fraction of transpirable soil water (ftsw) shown differences 4 day since treatment application. Plants in WW were maintained the water availability in the pots more than 70%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 transpiration rate 8 days after not water irrigation, Figure</w:t>
      </w:r>
      <w:r>
        <w:t xml:space="preserve"> </w:t>
      </w:r>
      <w:r>
        <w:t xml:space="preserve">1</w:t>
      </w:r>
      <w:r>
        <w:t xml:space="preserve">B.</w:t>
      </w:r>
    </w:p>
    <w:p>
      <w:pPr>
        <w:pStyle w:val="Ttulo2"/>
      </w:pPr>
      <w:bookmarkStart w:id="32" w:name="agro-phisological-traits"/>
      <w:r>
        <w:t xml:space="preserve">Agro-phisological traits</w:t>
      </w:r>
      <w:bookmarkEnd w:id="32"/>
    </w:p>
    <w:p>
      <w:pPr>
        <w:pStyle w:val="FirstParagraph"/>
      </w:pPr>
      <w:r>
        <w:t xml:space="preserve">SPAD units taken over the course of plant development (29, 59, 76, and 83 dap) showed that at 29 dap all plants were at the same stress level as no treatment difference was found, Table</w:t>
      </w:r>
      <w:r>
        <w:t xml:space="preserve"> </w:t>
      </w:r>
      <w:r>
        <w:t xml:space="preserve">2</w:t>
      </w:r>
      <w:r>
        <w:t xml:space="preserve">. At 59, 76 and 83 the spad shown difference en each evaluation and at the end of the experiment the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w:t>
      </w:r>
    </w:p>
    <w:p>
      <w:pPr>
        <w:pStyle w:val="BodyText"/>
      </w:pPr>
      <w:r>
        <w:t xml:space="preserve">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 Figure</w:t>
      </w:r>
      <w:r>
        <w:t xml:space="preserve"> </w:t>
      </w:r>
      <w:r>
        <w:t xml:space="preserve">2</w:t>
      </w:r>
      <w:r>
        <w:t xml:space="preserve">B.</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While the components such as number of tuber (ntub), root dry weight (rdw) and root length (rdl) did not shown differences between the treatments (p&gt;0.5).</w:t>
      </w:r>
    </w:p>
    <w:p>
      <w:pPr>
        <w:pStyle w:val="Ttulo2"/>
      </w:pPr>
      <w:bookmarkStart w:id="33" w:name="yield-components"/>
      <w:r>
        <w:t xml:space="preserve">Yield components</w:t>
      </w:r>
      <w:bookmarkEnd w:id="33"/>
    </w:p>
    <w:p>
      <w:pPr>
        <w:pStyle w:val="FirstParagraph"/>
      </w:pPr>
      <w:r>
        <w:t xml:space="preserve">Differences existed among genotypes in total dry biomass (g)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across genotypes by an average of 40% (P&lt; 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 Figure</w:t>
      </w:r>
      <w:r>
        <w:t xml:space="preserve"> </w:t>
      </w:r>
      <w:r>
        <w:t xml:space="preserve">2</w:t>
      </w:r>
      <w:r>
        <w:t xml:space="preserve">D.</w:t>
      </w:r>
    </w:p>
    <w:p>
      <w:pPr>
        <w:pStyle w:val="Ttulo2"/>
      </w:pPr>
      <w:bookmarkStart w:id="34" w:name="multivariate-analysis"/>
      <w:r>
        <w:t xml:space="preserve">Multivariate analysis</w:t>
      </w:r>
      <w:bookmarkEnd w:id="34"/>
    </w:p>
    <w:p>
      <w:pPr>
        <w:pStyle w:val="FirstParagraph"/>
      </w:pPr>
      <w:r>
        <w:t xml:space="preserve">The Principal Component Analysis (PCA) the two first dimension explain 64.9% of the variance in the experiment. In the first dimension trs (r=0.90), lfa (r=0.89), tbd (r=0.84), sla (r=0.83), tdw (r=0.77) and rwc (r=0.71) show a high correlation and association with WW treatment, in the other side the spad_76 (r=-0,77) shown an negatives correlation and association with WD treatment. In the second dimension the rdw (r=0.87), rdl (r=0.86) have a high correlation and associated at WD treatment and negate correlated with hi (-0.89) and wue</w:t>
      </w:r>
      <w:r>
        <w:rPr>
          <w:vertAlign w:val="subscript"/>
        </w:rPr>
        <w:t xml:space="preserve">t</w:t>
      </w:r>
      <w:r>
        <w:t xml:space="preserve"> </w:t>
      </w:r>
      <w:r>
        <w:t xml:space="preserve">(-0.9) and associated to WW treatment, Figure</w:t>
      </w:r>
      <w:r>
        <w:t xml:space="preserve"> </w:t>
      </w:r>
      <w:r>
        <w:t xml:space="preserve">3</w:t>
      </w:r>
      <w:r>
        <w:t xml:space="preserve">A.</w:t>
      </w:r>
    </w:p>
    <w:p>
      <w:pPr>
        <w:pStyle w:val="BodyText"/>
      </w:pPr>
      <w:r>
        <w:t xml:space="preserve">The clustering analysis show 5 groups and it could be associated in 2 different ways. The first association could by classified by the treatment applied, the blue and cyan are the well water treatments (WW) and the black and red associated at the water deficit treatment (WD); and the second association in green, cyan and red color genotypes with tolerate to water stress, in addiction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w:t>
      </w:r>
    </w:p>
    <w:p>
      <w:pPr>
        <w:pStyle w:val="BodyText"/>
      </w:pPr>
      <w:r>
        <w:t xml:space="preserve">The association between the cluster an the variables shown that the genotypes in the cluster 1 are positive correlated with the spad, rdl and rdw and negative correlated to hi, tdw, wue</w:t>
      </w:r>
      <w:r>
        <w:rPr>
          <w:vertAlign w:val="subscript"/>
        </w:rPr>
        <w:t xml:space="preserve">t</w:t>
      </w:r>
      <w:r>
        <w:t xml:space="preserve">, sla. The genoytpes in the cluster 2 are positive associated with the hi and negative associated with ldw, tdb, sdw. In the cluster 3 the genotypes are positive correlated at wue</w:t>
      </w:r>
      <w:r>
        <w:rPr>
          <w:vertAlign w:val="subscript"/>
        </w:rPr>
        <w:t xml:space="preserve">b</w:t>
      </w:r>
      <w:r>
        <w:t xml:space="preserve">, wue</w:t>
      </w:r>
      <w:r>
        <w:rPr>
          <w:vertAlign w:val="subscript"/>
        </w:rPr>
        <w:t xml:space="preserve">t</w:t>
      </w:r>
      <w:r>
        <w:t xml:space="preserve"> </w:t>
      </w:r>
      <w:r>
        <w:t xml:space="preserve">and negative correlated for rwc, lop and sla. The cluster 4 positive association with rdw, ldw, lfa, sdw, trs and negative correlated with wue</w:t>
      </w:r>
      <w:r>
        <w:rPr>
          <w:vertAlign w:val="subscript"/>
        </w:rPr>
        <w:t xml:space="preserve">b</w:t>
      </w:r>
      <w:r>
        <w:t xml:space="preserve"> </w:t>
      </w:r>
      <w:r>
        <w:t xml:space="preserve">and wue</w:t>
      </w:r>
      <w:r>
        <w:rPr>
          <w:vertAlign w:val="subscript"/>
        </w:rPr>
        <w:t xml:space="preserve">t</w:t>
      </w:r>
      <w:r>
        <w:t xml:space="preserve">. And the cluster 5 is associated with sla, tdw, rwc, lfa and negative associated with spad and rdw, Figure</w:t>
      </w:r>
      <w:r>
        <w:t xml:space="preserve"> </w:t>
      </w:r>
      <w:r>
        <w:t xml:space="preserve">3</w:t>
      </w:r>
      <w:r>
        <w:t xml:space="preserve">.</w:t>
      </w:r>
    </w:p>
    <w:p>
      <w:pPr>
        <w:pStyle w:val="BodyText"/>
      </w:pPr>
      <w:r>
        <w:t xml:space="preserve">The values of tdb and trs were strongly and positively correlated with 0.93 (P&lt;0.05) with Euclidean distance of 0.91, Figure</w:t>
      </w:r>
      <w:r>
        <w:t xml:space="preserve"> </w:t>
      </w:r>
      <w:r>
        <w:t xml:space="preserve">4</w:t>
      </w:r>
      <w:r>
        <w:t xml:space="preserve">. The spad value shown stronger correlation when the time it was taken is longer with 0.83 positive correlation between 76 and 83 dap with a euclidean distance 0.53. A negative correlation (r= -0.73) among rdw and hi was found with a euclidean distance of 4.21, Figure</w:t>
      </w:r>
      <w:r>
        <w:t xml:space="preserve"> </w:t>
      </w:r>
      <w:r>
        <w:t xml:space="preserve">4</w:t>
      </w:r>
      <w:r>
        <w:t xml:space="preserve">.</w:t>
      </w:r>
    </w:p>
    <w:p>
      <w:pPr>
        <w:pStyle w:val="BodyText"/>
      </w:pPr>
      <w:r>
        <w:t xml:space="preserve">For correlation between hi and wue</w:t>
      </w:r>
      <w:r>
        <w:rPr>
          <w:vertAlign w:val="subscript"/>
        </w:rPr>
        <w:t xml:space="preserve">t</w:t>
      </w:r>
      <w:r>
        <w:t xml:space="preserve"> </w:t>
      </w:r>
      <w:r>
        <w:t xml:space="preserve">was strong (r=0.92) with an euclidean distance of 0.68, shown not only a good correlation but also a good association between these two variables, Figure</w:t>
      </w:r>
      <w:r>
        <w:t xml:space="preserve"> </w:t>
      </w:r>
      <w:r>
        <w:t xml:space="preserve">4</w:t>
      </w:r>
      <w:r>
        <w:t xml:space="preserve">. While tuber dry weight (tdw) shown better correlation with hi (r=0.61) and wue</w:t>
      </w:r>
      <w:r>
        <w:rPr>
          <w:vertAlign w:val="subscript"/>
        </w:rPr>
        <w:t xml:space="preserve">t</w:t>
      </w:r>
      <w:r>
        <w:t xml:space="preserve"> </w:t>
      </w:r>
      <w:r>
        <w:t xml:space="preserve">(r=0.55) than wue</w:t>
      </w:r>
      <w:r>
        <w:rPr>
          <w:vertAlign w:val="subscript"/>
        </w:rPr>
        <w:t xml:space="preserve">b</w:t>
      </w:r>
      <w:r>
        <w:t xml:space="preserve"> </w:t>
      </w:r>
      <w:r>
        <w:t xml:space="preserve">(r=0.05) with a euclidean distance of the traits 4.21, shown low association with tdw, Figure</w:t>
      </w:r>
      <w:r>
        <w:t xml:space="preserve"> </w:t>
      </w:r>
      <w:r>
        <w:t xml:space="preserve">3</w:t>
      </w:r>
      <w:r>
        <w:t xml:space="preserve"> </w:t>
      </w:r>
      <w:r>
        <w:t xml:space="preserve">and Figure</w:t>
      </w:r>
      <w:r>
        <w:t xml:space="preserve"> </w:t>
      </w:r>
      <w:r>
        <w:t xml:space="preserve">4</w:t>
      </w:r>
      <w:r>
        <w:t xml:space="preserve">.</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an euclidean distance of 4.21 shown no association between them. Apparently spad measure is sensitive to the detect the drought stress and it is related with the tuber production, Figure</w:t>
      </w:r>
      <w:r>
        <w:t xml:space="preserve"> </w:t>
      </w:r>
      <w:r>
        <w:t xml:space="preserve">3</w:t>
      </w:r>
      <w:r>
        <w:t xml:space="preserve"> </w:t>
      </w:r>
      <w:r>
        <w:t xml:space="preserve">and Figure</w:t>
      </w:r>
      <w:r>
        <w:t xml:space="preserve"> </w:t>
      </w:r>
      <w:r>
        <w:t xml:space="preserve">4</w:t>
      </w:r>
      <w:r>
        <w:t xml:space="preserve">.</w:t>
      </w:r>
    </w:p>
    <w:p>
      <w:pPr>
        <w:pStyle w:val="Ttulo1"/>
      </w:pPr>
      <w:bookmarkStart w:id="35" w:name="dicussion"/>
      <w:r>
        <w:t xml:space="preserve">Dicussion</w:t>
      </w:r>
      <w:bookmarkEnd w:id="35"/>
    </w:p>
    <w:p>
      <w:pPr>
        <w:pStyle w:val="FirstParagraph"/>
      </w:pPr>
      <w:r>
        <w:t xml:space="preserve">Water stress triggered a range of morphological and physiological mechanisms in the potato genotypes tested, leading to different yield penalties and indicating a variety of survival strategies by potato. Most characteristics measure showed differences between treatments, pointing to their value in evaluating the impact of drought. Under WW conditions, soil can supply water at a steady rate to meet the transpiration demand. However, as the soil becomes dry, water flux from soil to root surface decreases and cannot satisfy the demand of transpiration. Additionally, in WD conditions, mineralization and supply of nutrients, especially N, is reduced, forcing the plant to use their resources efficiently as the only solution to not compromise yield (Motalebifard et al. 2013). According to (Songsri et al. 2009), enhanced extraction of water and nutrients from the soil due to large root system and long roots is a drought resistance mechanism in potato. But in our study showed that the minimal yield losses in some genotypes like CIP398190.89 under WD could be related to its ability to increase its wue</w:t>
      </w:r>
      <w:r>
        <w:rPr>
          <w:vertAlign w:val="subscript"/>
        </w:rPr>
        <w:t xml:space="preserve">t</w:t>
      </w:r>
      <w:r>
        <w:t xml:space="preserve">, by absorbing the limited water and nutrients available in the soil without changing have a high reduction in the final yield, Figure</w:t>
      </w:r>
      <w:r>
        <w:t xml:space="preserve"> </w:t>
      </w:r>
      <w:r>
        <w:t xml:space="preserve">3</w:t>
      </w:r>
      <w:r>
        <w:t xml:space="preserve">.</w:t>
      </w:r>
    </w:p>
    <w:p>
      <w:pPr>
        <w:pStyle w:val="BodyText"/>
      </w:pPr>
      <w:r>
        <w:t xml:space="preserve">Plant biomass accumulation, and consequently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A drought resistance mechanism can be the reduction of transpiration achieved by the reduction of leaf area with thick leaves often have greater photosynthetic capacity than thin leaves, due to their higher chlorophyll per leaf area counts (Songsri et al. 2009). Sensitive genotypes such as CIP398203.244 and CIP398201.510 preferred to produce leaves and more roots in preference to tubers. A lower specific leaf area (SLA) under WD, principally explained by decreases in new leaf production, number of leaves, and leaf size. This decrease might have had allowed a reduction in leaf transpiration, saving water for tuber bulking as suggested by Lahlou, et al. (2003). Payne et al. (1995) found that N uptake was linearly related to plant transpiration, and that about twice as much N is taken up per kg of transpiration in water-stressed plants than in non-water-stressed plants. Hence, potato genotypes with the ability to maintain low SPAD and high SLA under WD conditions, can maintain higher wue</w:t>
      </w:r>
      <w:r>
        <w:rPr>
          <w:vertAlign w:val="subscript"/>
        </w:rPr>
        <w:t xml:space="preserve">t</w:t>
      </w:r>
      <w:r>
        <w:t xml:space="preserve"> </w:t>
      </w:r>
      <w:r>
        <w:t xml:space="preserve">and increase the tuber production. SPAD is an indicator of the photosynthetically active light transmittance characteristics of the leaf, which is dependent on the unit amount of chlorophyll per unit leaf area. SPAD units have been correlated with chlorophyll and carotenoid content in potato and other crops (Ramírez et al. 2014: Marenco et al. 2009) and are used in selecting genotypes tolerant to drought in breeding programs.</w:t>
      </w:r>
    </w:p>
    <w:p>
      <w:pPr>
        <w:pStyle w:val="BodyText"/>
      </w:pPr>
      <w:r>
        <w:t xml:space="preserve">The genotypes like CIP398201.510 and CIP398203.244 with the longest roots showed the lowest yield and hi under both stressed and non-stressed conditions. In this genotype, the long roots seem to contribute to vegetative growth rather than yield components.We found root dry weight, spad and hi to be good indicators for tuber water use efficient and useful traits for drought tolerance breeding programs Figure</w:t>
      </w:r>
      <w:r>
        <w:t xml:space="preserve"> </w:t>
      </w:r>
      <w:r>
        <w:t xml:space="preserve">3</w:t>
      </w:r>
      <w:r>
        <w:t xml:space="preserve">. The genotypes like CIP398201.510 and CIP398203.244 with the longest roots showed the lowest yield and hi under both stressed and non-stressed conditions. In this genotype, the long roots seem to contribute to vegetative growth rather than yield components.</w:t>
      </w:r>
    </w:p>
    <w:p>
      <w:pPr>
        <w:pStyle w:val="BodyText"/>
      </w:pPr>
      <w:r>
        <w:t xml:space="preserve">High correlation between tdw with wue</w:t>
      </w:r>
      <w:r>
        <w:rPr>
          <w:vertAlign w:val="subscript"/>
        </w:rPr>
        <w:t xml:space="preserve">t</w:t>
      </w:r>
      <w:r>
        <w:t xml:space="preserve"> </w:t>
      </w:r>
      <w:r>
        <w:t xml:space="preserve">and hi than wue</w:t>
      </w:r>
      <w:r>
        <w:rPr>
          <w:vertAlign w:val="subscript"/>
        </w:rPr>
        <w:t xml:space="preserve">b</w:t>
      </w:r>
      <w:r>
        <w:t xml:space="preserve"> </w:t>
      </w:r>
      <w:r>
        <w:t xml:space="preserve">indicates direct association between them, and at the same time, reflected the conservative relationship between biomass production and wue</w:t>
      </w:r>
      <w:r>
        <w:rPr>
          <w:vertAlign w:val="subscript"/>
        </w:rPr>
        <w:t xml:space="preserve">b</w:t>
      </w:r>
      <w:r>
        <w:t xml:space="preserve"> </w:t>
      </w:r>
      <w:r>
        <w:t xml:space="preserve">through a range of limited soil water availability. We found root dry weight, spad and hi to be good indicators for tuber water use efficient and useful traits for drought tolerance breeding programs, Figure</w:t>
      </w:r>
      <w:r>
        <w:t xml:space="preserve"> </w:t>
      </w:r>
      <w:r>
        <w:t xml:space="preserve">3</w:t>
      </w:r>
      <w:r>
        <w:t xml:space="preserve">. SPAD measurements of the leaf were used as an indicator of nitrogen status and leaf senescence. Passioura (1977) proposed that cereals for water-limited environments be developed with roots with restricted water uptake rates. Again, such an alteration would, in principle, conserve water during vegetative growth leaving more soil water for extraction during grain development. The key aspect of both strategies is that sustained reproductive growth is essential for a high harvest index. However, a deeper and more extensive rooting system may have drawbacks. A greater root biomass would almost surely result in lowered harvest index.</w:t>
      </w:r>
    </w:p>
    <w:p>
      <w:pPr>
        <w:pStyle w:val="BodyText"/>
      </w:pPr>
      <w:r>
        <w:t xml:space="preserve">Evans (1980) suggested that one of the main variables for yield increases seen to date has been increases in harvest index. Harvest index (hi) and has been found to be relatively stable for a particular cultivar over wide range of conditions (Donald and Hamblin 1976). Passioura (1977) and Fischer (1979) have argued that obtaining high harvest indexes underwater-limited conditions is especially important obtaining high water-use efficiencies even if many crops it appears that further substantial improvements in harvest index are unlikely [Evans (1980)].</w:t>
      </w:r>
    </w:p>
    <w:p>
      <w:pPr>
        <w:pStyle w:val="Textodebloque"/>
      </w:pPr>
      <w:r>
        <w:t xml:space="preserve">SPAD a good indicator for select best genotypes, because it have negative correlation with the tdw</w:t>
      </w:r>
    </w:p>
    <w:p>
      <w:pPr>
        <w:pStyle w:val="Textodebloque"/>
      </w:pPr>
      <w:r>
        <w:t xml:space="preserve">Menor contendido de clorofila –&gt; mayor contenido de otros pigmentos que ayuden a luchar contra el stress por sequia???</w:t>
      </w:r>
    </w:p>
    <w:p>
      <w:pPr>
        <w:pStyle w:val="Textodebloque"/>
      </w:pPr>
      <w:r>
        <w:t xml:space="preserve">Selection basado en genotipos de alto HI y mayor SPAD para selección de líneas promisorias!</w:t>
      </w:r>
    </w:p>
    <w:p>
      <w:pPr>
        <w:pStyle w:val="Textodebloque"/>
      </w:pPr>
      <w:r>
        <w:t xml:space="preserve">SPAD Acompanhado de la senecencia o que sucede, buscar explicación??</w:t>
      </w:r>
    </w:p>
    <w:p>
      <w:pPr>
        <w:pStyle w:val="Textodebloque"/>
      </w:pPr>
      <w:r>
        <w:t xml:space="preserve">Lo que desmuestra que se puede usar hi and spad para saleccionar papas con mayor efficiencia de uso de agua para formar tuberculos</w:t>
      </w:r>
    </w:p>
    <w:p>
      <w:pPr>
        <w:pStyle w:val="FirstParagraph"/>
      </w:pPr>
      <w:r>
        <w:t xml:space="preserve">At all growth stages, water stress reduces photosynthetic efficiency, but drought during tuber initiation and bulking has the most drastic effect on yield (Yuan et al., 2003; Onder et al., 2005).</w:t>
      </w:r>
    </w:p>
    <w:p>
      <w:pPr>
        <w:pStyle w:val="BodyText"/>
      </w:pPr>
      <w:r>
        <w:t xml:space="preserve">Previous studies have shown that reduced soil water availability at diff erent growth stages results in earlier crop maturity (Karafyllidis et al., 1996) and decreased plant growth, tuber yield, tubers per plant and tuber size and quality (Lynch et al., 1995; Dalla Costa et al., 1997; Yuan et al., 2003).</w:t>
      </w:r>
    </w:p>
    <w:p>
      <w:pPr>
        <w:pStyle w:val="BodyText"/>
      </w:pPr>
      <w:r>
        <w:t xml:space="preserve">The 80% treatment was more efficient or equally efficient compared with the 100 and 120% treatments, and had higher WUE in the first year; thus, this level of irrigation can be recommended as a good strategy in situations with limited water supplies or high water costs. The 80% treatment was more efficient or equally efficient compared with the 100 and 120% treatments, and had higher WUE in the first year; thus, this level of irrigation can be recommended as a good strategy in situations with limited water supplies or high water costs</w:t>
      </w:r>
      <w:r>
        <w:t xml:space="preserve"> </w:t>
      </w:r>
      <w:r>
        <w:t xml:space="preserve">(Camargo et al.,</w:t>
      </w:r>
      <w:r>
        <w:t xml:space="preserve"> </w:t>
      </w:r>
      <w:hyperlink w:anchor="ref-camargo2015Potato">
        <w:r>
          <w:rPr>
            <w:rStyle w:val="Hipervnculo"/>
          </w:rPr>
          <w:t xml:space="preserve">2015</w:t>
        </w:r>
      </w:hyperlink>
      <w:r>
        <w:t xml:space="preserve">)</w:t>
      </w:r>
      <w:r>
        <w:t xml:space="preserve">.</w:t>
      </w:r>
    </w:p>
    <w:p>
      <w:pPr>
        <w:pStyle w:val="BodyText"/>
      </w:pPr>
      <w:r>
        <w:t xml:space="preserve">The leaf chlorophyll content was lower in the high-WUE group indicating that the higher net photosynthesis rate was not due to higher leaf-N status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leaf chlorophyll content was lower in the high-WUE group indicating that the higher net photosynthesis rate was not due to higher leaf-N status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Agriculture accounts for around 85 % of global water consumption (Shiklomanov and Rodda 2003), and the amount of water used for crop irrigation is predicted to double by 2050 (Tilman et al. 2002).</w:t>
      </w:r>
    </w:p>
    <w:p>
      <w:pPr>
        <w:pStyle w:val="BodyText"/>
      </w:pPr>
      <w:r>
        <w:t xml:space="preserve">It is therefore essential for future studies to focus, in addition to improving the agricultural irrigation systems, on breeding crops with increased water-use efficiency (WUE), also at well-watered conditions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regulation of potato (Solanum tuberosum subsp. tuberosum) stomatal conductance has been of special interest, as this crop is sensitive to drought and closes its stomata at relatively mild soil moisture deficits (Lynch et al. 1995, Sadras and Milroy 1996, Porter et al. 1999, Onder et al. 2005) resulting in considerable yield loss (Porter et al. 1999). An appropriate irrigation is therefore necessary to achieve desirable yield and quality (Liu et al. 2006). It has been shown that partial root zone drying (PRD), a technique where water is supplied alternately to two spatially separated parts of the potatoes root system, saves 30 % of irrigation water without reducing the overall yield (Shahnazariet al. 2007).</w:t>
      </w:r>
    </w:p>
    <w:p>
      <w:pPr>
        <w:pStyle w:val="BodyText"/>
      </w:pPr>
      <w:r>
        <w:t xml:space="preserve">(ABA) based root-to-shoot chemical signalling system has been found to be effective in increasing WUE by partial stomatal closure, where water losses due to transpiration decrease significantly yet not affecting the photosynthetic potential of potato (Liu et al. 2005, 2006).</w:t>
      </w:r>
    </w:p>
    <w:p>
      <w:pPr>
        <w:pStyle w:val="BodyText"/>
      </w:pPr>
      <w:r>
        <w:t xml:space="preserve">Potatoes use water more efficiently than cereals. The potato harvest index is approximately 0.75 and can reach as high as 0.86 (Shahnazari et al. 2007), in contrast to cereals for which it oscillates around 0.5 (Vreugdenhil and Bradshaw 2007).</w:t>
      </w:r>
    </w:p>
    <w:p>
      <w:pPr>
        <w:pStyle w:val="BodyText"/>
      </w:pPr>
      <w:r>
        <w:t xml:space="preserve">Breeding potato with increased WUE is essential to meet the demand of a continuously increasing world population with little possibility to include previously unexploited arable land. However, phenotyping WUE is not a simple process due to cost, space and labour requirements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physiological mechanisms of potato plants response to various environmental conditions require deeper understanding. In addition, potato is an autotetraploid (2n = 4x = 48) and suffers from acute inbreeding depression (Potato Genome Sequencing Consortium 2011), which contributes to a significant barrier for traditional breeding approaches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(Rolando et al.,</w:t>
      </w:r>
      <w:r>
        <w:t xml:space="preserve"> </w:t>
      </w:r>
      <w:hyperlink w:anchor="ref-rolando2015Leaf">
        <w:r>
          <w:rPr>
            <w:rStyle w:val="Hipervnculo"/>
          </w:rPr>
          <w:t xml:space="preserve">2015</w:t>
        </w:r>
      </w:hyperlink>
      <w:r>
        <w:t xml:space="preserve">)</w:t>
      </w:r>
      <w:r>
        <w:t xml:space="preserve">{</w:t>
      </w:r>
    </w:p>
    <w:p>
      <w:pPr>
        <w:pStyle w:val="BodyText"/>
      </w:pPr>
      <w:r>
        <w:t xml:space="preserve">However, in the three genotypes tested, an increase in greenness was noted one week after the initiation of water restriction and maintained for 4–6 weeks.</w:t>
      </w:r>
    </w:p>
    <w:p>
      <w:pPr>
        <w:pStyle w:val="BodyText"/>
      </w:pPr>
      <w:r>
        <w:t xml:space="preserve">In our work, a decrease in leaf growth a week after the initiation of water restriction coincided with the leaf greenness increase. Reduced leaf growth under water restriction was evidenced by both reduced leaf length and total above ground biomass accumulation, the latter measured three weeks after the restriction started.</w:t>
      </w:r>
    </w:p>
    <w:p>
      <w:pPr>
        <w:pStyle w:val="BodyText"/>
      </w:pPr>
      <w:r>
        <w:t xml:space="preserve">Unica had the highest DSI, its final TB under water restriction was higher than Désirée. DSI compares the ratio between TB under water restricted and control treatments, thus Unica higher DSI is the result of a much higher TB under control treatment than Désirée. This higher TB, among other reasons, is a result of a longer vegetative period during which the crop accumulated biomass (Tardieu, 2013).</w:t>
      </w:r>
    </w:p>
    <w:p>
      <w:pPr>
        <w:pStyle w:val="BodyText"/>
      </w:pPr>
      <w:r>
        <w:t xml:space="preserve">Finally, as the increase of greenness promoted by water stress likely depends on the stage of application and intensity of water restriction, further research on the timing effect of drought stress on the senescence process and its impact on the photosynthetic apparatus should be considered.</w:t>
      </w:r>
    </w:p>
    <w:p>
      <w:pPr>
        <w:pStyle w:val="BodyText"/>
      </w:pPr>
      <w:r>
        <w:t xml:space="preserve">}</w:t>
      </w:r>
    </w:p>
    <w:p>
      <w:pPr>
        <w:pStyle w:val="BodyText"/>
      </w:pPr>
      <w:r>
        <w:t xml:space="preserve">Drought stress reduce the harvest index in 11% for WD plants, similar results were found in potato</w:t>
      </w:r>
      <w:r>
        <w:t xml:space="preserve"> </w:t>
      </w:r>
      <w:r>
        <w:rPr>
          <w:i/>
        </w:rPr>
        <w:t xml:space="preserve">(Schafleitner et al., 2007)</w:t>
      </w:r>
      <w:r>
        <w:t xml:space="preserve"> </w:t>
      </w:r>
      <w:r>
        <w:t xml:space="preserve">with 14% under terminal drought and more drastic with 57% Jerusalem artichoke</w:t>
      </w:r>
      <w:r>
        <w:t xml:space="preserve"> </w:t>
      </w:r>
      <w:r>
        <w:t xml:space="preserve">(Ruttanaprasert et al.,</w:t>
      </w:r>
      <w:r>
        <w:t xml:space="preserve"> </w:t>
      </w:r>
      <w:hyperlink w:anchor="ref-ruttanaprasert2016Effects">
        <w:r>
          <w:rPr>
            <w:rStyle w:val="Hipervnculo"/>
          </w:rPr>
          <w:t xml:space="preserve">2016</w:t>
        </w:r>
      </w:hyperlink>
      <w:r>
        <w:t xml:space="preserve">)</w:t>
      </w:r>
      <w:r>
        <w:t xml:space="preserve"> </w:t>
      </w:r>
      <w:r>
        <w:t xml:space="preserve">showing that potato have moderate reduction under drought stress including in the present study that the number of tuber did not have variation between treatments.</w:t>
      </w:r>
    </w:p>
    <w:p>
      <w:pPr>
        <w:pStyle w:val="BodyText"/>
      </w:pPr>
      <w:r>
        <w:rPr>
          <w:i/>
        </w:rPr>
        <w:t xml:space="preserve">Jefferies (1992)</w:t>
      </w:r>
      <w:r>
        <w:t xml:space="preserve"> </w:t>
      </w:r>
      <w:r>
        <w:t xml:space="preserve">found that long term drought stress increased harvest index of potato in some early maturity varieties (from 0.41 to 0.50) but reduced one late maturity variety (from 0.54 to 0.25).</w:t>
      </w:r>
    </w:p>
    <w:p>
      <w:pPr>
        <w:pStyle w:val="BodyText"/>
      </w:pPr>
      <w:r>
        <w:t xml:space="preserve">Nevertheless, harvest index of a tuber crop is an important trait determining yield under drought conditions</w:t>
      </w:r>
      <w:r>
        <w:t xml:space="preserve"> </w:t>
      </w:r>
      <w:r>
        <w:rPr>
          <w:i/>
        </w:rPr>
        <w:t xml:space="preserve">(Deguchi et al., 2010)</w:t>
      </w:r>
      <w:r>
        <w:t xml:space="preserve">.</w:t>
      </w:r>
    </w:p>
    <w:p>
      <w:pPr>
        <w:pStyle w:val="BodyText"/>
      </w:pPr>
      <w:r>
        <w:t xml:space="preserve">(Saravia et al.,</w:t>
      </w:r>
      <w:r>
        <w:t xml:space="preserve"> </w:t>
      </w:r>
      <w:hyperlink w:anchor="ref-saravia2016Yield">
        <w:r>
          <w:rPr>
            <w:rStyle w:val="Hipervnculo"/>
          </w:rPr>
          <w:t xml:space="preserve">2016</w:t>
        </w:r>
      </w:hyperlink>
      <w:r>
        <w:t xml:space="preserve">)</w:t>
      </w:r>
      <w:r>
        <w:t xml:space="preserve">{</w:t>
      </w:r>
    </w:p>
    <w:p>
      <w:pPr>
        <w:pStyle w:val="BodyText"/>
      </w:pPr>
      <w:r>
        <w:t xml:space="preserve">UNICA was the most efficient genotype at using the N present in the soil and tolerating drought stress, while Achirana-INTA was most affected by drought in terms of NUE.</w:t>
      </w:r>
    </w:p>
    <w:p>
      <w:pPr>
        <w:pStyle w:val="BodyText"/>
      </w:pPr>
      <w:r>
        <w:t xml:space="preserve">Both UNICA and CIP397077.16 tolerated drought in terms of yield maintenance and used the N present in the soil more efficiently, also under drought, than Achirana-INTA.</w:t>
      </w:r>
    </w:p>
    <w:p>
      <w:pPr>
        <w:pStyle w:val="BodyText"/>
      </w:pPr>
      <w:r>
        <w:t xml:space="preserve">Saravia et al. (</w:t>
      </w:r>
      <w:hyperlink w:anchor="ref-saravia2016Yield">
        <w:r>
          <w:rPr>
            <w:rStyle w:val="Hipervnculo"/>
          </w:rPr>
          <w:t xml:space="preserve">2016</w:t>
        </w:r>
      </w:hyperlink>
      <w:r>
        <w:t xml:space="preserve">)</w:t>
      </w:r>
      <w:r>
        <w:t xml:space="preserve"> </w:t>
      </w:r>
      <w:r>
        <w:t xml:space="preserve">show that UNICA and CIP397077.16 while they did not have difference for harvest index under well water and drought treatment the Chl</w:t>
      </w:r>
      <w:r>
        <w:rPr>
          <w:vertAlign w:val="subscript"/>
        </w:rPr>
        <w:t xml:space="preserve">spad</w:t>
      </w:r>
      <w:r>
        <w:t xml:space="preserve"> </w:t>
      </w:r>
      <w:r>
        <w:t xml:space="preserve">can discriminate the relation between the tuber yield under drought stress with less Chl</w:t>
      </w:r>
      <w:r>
        <w:rPr>
          <w:vertAlign w:val="subscript"/>
        </w:rPr>
        <w:t xml:space="preserve">spad</w:t>
      </w:r>
      <w:r>
        <w:t xml:space="preserve"> </w:t>
      </w:r>
      <w:r>
        <w:t xml:space="preserve">shown that Chl</w:t>
      </w:r>
      <w:r>
        <w:rPr>
          <w:vertAlign w:val="subscript"/>
        </w:rPr>
        <w:t xml:space="preserve">spad</w:t>
      </w:r>
      <w:r>
        <w:t xml:space="preserve"> </w:t>
      </w:r>
      <w:r>
        <w:t xml:space="preserve">could allow to discriminate drought tolerance genotypes under field conditions.</w:t>
      </w:r>
    </w:p>
    <w:p>
      <w:pPr>
        <w:pStyle w:val="BodyText"/>
      </w:pPr>
      <w:r>
        <w:t xml:space="preserve">}</w:t>
      </w:r>
    </w:p>
    <w:p>
      <w:pPr>
        <w:pStyle w:val="Ttulo1"/>
      </w:pPr>
      <w:bookmarkStart w:id="36" w:name="conclusions"/>
      <w:r>
        <w:t xml:space="preserve">Conclusions</w:t>
      </w:r>
      <w:bookmarkEnd w:id="36"/>
    </w:p>
    <w:p>
      <w:pPr>
        <w:pStyle w:val="FirstParagraph"/>
      </w:pPr>
      <w:r>
        <w:t xml:space="preserve">The genotypes with high hi, low spad content under WD present mechanisms for drought avoiding. Additionally, tolerant genotypes like CIP398208.620, CIP398098.119. CIP397077.16 and CIP392797.22 (UNICA) preferentially use available water for tuber production rather than above ground biomass represented by their high wue</w:t>
      </w:r>
      <w:r>
        <w:rPr>
          <w:vertAlign w:val="subscript"/>
        </w:rPr>
        <w:t xml:space="preserve">t</w:t>
      </w:r>
      <w:r>
        <w:t xml:space="preserve">. Traits like spad and hi are associated to tuber yield under drought stress and could be useful as selection criteria for first stage breeding programs because are easy and chip to measure in large populations. However, there are additional strategies of the below-ground plant parts that need to be explored for their role in yield stability under water stress conditions.</w:t>
      </w:r>
    </w:p>
    <w:p>
      <w:pPr>
        <w:pStyle w:val="Ttulo1"/>
      </w:pPr>
      <w:bookmarkStart w:id="37" w:name="acknowledgments"/>
      <w:r>
        <w:t xml:space="preserve">Acknowledgments</w:t>
      </w:r>
      <w:bookmarkEnd w:id="37"/>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8" w:name="references"/>
      <w:r>
        <w:t xml:space="preserve">References</w:t>
      </w:r>
      <w:bookmarkEnd w:id="38"/>
    </w:p>
    <w:bookmarkStart w:id="95" w:name="refs"/>
    <w:bookmarkStart w:id="40"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39">
        <w:r>
          <w:rPr>
            <w:rStyle w:val="Hipervnculo"/>
          </w:rPr>
          <w:t xml:space="preserve">https://doi.org/10.1007/s00299-007-0406-8</w:t>
        </w:r>
      </w:hyperlink>
    </w:p>
    <w:bookmarkEnd w:id="40"/>
    <w:bookmarkStart w:id="42" w:name="ref-blum2005Drought"/>
    <w:p>
      <w:pPr>
        <w:pStyle w:val="Bibliografa"/>
      </w:pPr>
      <w:r>
        <w:t xml:space="preserve">Blum, A. (2005). Drought resistance, water-use efficiency, and yield potentialAre they compatible, dissonant, or mutually exclusive?</w:t>
      </w:r>
      <w:r>
        <w:t xml:space="preserve"> </w:t>
      </w:r>
      <w:r>
        <w:rPr>
          <w:i/>
        </w:rPr>
        <w:t xml:space="preserve">Australian Journal of Agricultural Research</w:t>
      </w:r>
      <w:r>
        <w:t xml:space="preserve">,</w:t>
      </w:r>
      <w:r>
        <w:t xml:space="preserve"> </w:t>
      </w:r>
      <w:r>
        <w:rPr>
          <w:i/>
        </w:rPr>
        <w:t xml:space="preserve">56</w:t>
      </w:r>
      <w:r>
        <w:t xml:space="preserve">(11), 1159.</w:t>
      </w:r>
      <w:r>
        <w:t xml:space="preserve"> </w:t>
      </w:r>
      <w:hyperlink r:id="rId41">
        <w:r>
          <w:rPr>
            <w:rStyle w:val="Hipervnculo"/>
          </w:rPr>
          <w:t xml:space="preserve">https://doi.org/10.1071/AR05069</w:t>
        </w:r>
      </w:hyperlink>
    </w:p>
    <w:bookmarkEnd w:id="42"/>
    <w:bookmarkStart w:id="44"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3">
        <w:r>
          <w:rPr>
            <w:rStyle w:val="Hipervnculo"/>
          </w:rPr>
          <w:t xml:space="preserve">https://doi.org/10.1071/FP11101</w:t>
        </w:r>
      </w:hyperlink>
    </w:p>
    <w:bookmarkEnd w:id="44"/>
    <w:bookmarkStart w:id="46" w:name="ref-camargo2015Potato"/>
    <w:p>
      <w:pPr>
        <w:pStyle w:val="Bibliografa"/>
      </w:pPr>
      <w:r>
        <w:t xml:space="preserve">Camargo, D. C., Montoya, F., Ortega, J. F., &amp; Córcoles, J. I. (2015). Potato Yield and Water Use Efficiency Responses to Irrigation in Semiarid Conditions.</w:t>
      </w:r>
      <w:r>
        <w:t xml:space="preserve"> </w:t>
      </w:r>
      <w:r>
        <w:rPr>
          <w:i/>
        </w:rPr>
        <w:t xml:space="preserve">Agronomy Journal</w:t>
      </w:r>
      <w:r>
        <w:t xml:space="preserve">,</w:t>
      </w:r>
      <w:r>
        <w:t xml:space="preserve"> </w:t>
      </w:r>
      <w:r>
        <w:rPr>
          <w:i/>
        </w:rPr>
        <w:t xml:space="preserve">107</w:t>
      </w:r>
      <w:r>
        <w:t xml:space="preserve">(6), 2120–2131.</w:t>
      </w:r>
      <w:r>
        <w:t xml:space="preserve"> </w:t>
      </w:r>
      <w:hyperlink r:id="rId45">
        <w:r>
          <w:rPr>
            <w:rStyle w:val="Hipervnculo"/>
          </w:rPr>
          <w:t xml:space="preserve">https://doi.org/10.2134/agronj14.0572</w:t>
        </w:r>
      </w:hyperlink>
    </w:p>
    <w:bookmarkEnd w:id="46"/>
    <w:bookmarkStart w:id="48" w:name="ref-carli2014Effect"/>
    <w:p>
      <w:pPr>
        <w:pStyle w:val="Bibliografa"/>
      </w:pPr>
      <w:r>
        <w:t xml:space="preserve">Carli, C., Yuldashev, F., Khalikov, D., Condori, B., Mares, V., &amp; Monneveux, P. (2014). Effect of different irrigation regimes on yield, water use efficiency and quality of potato (Solanum tuberosum L.) In the lowlands of Tashkent, Uzbekistan: A field and modeling perspective.</w:t>
      </w:r>
      <w:r>
        <w:t xml:space="preserve"> </w:t>
      </w:r>
      <w:r>
        <w:rPr>
          <w:i/>
        </w:rPr>
        <w:t xml:space="preserve">Field Crops Research</w:t>
      </w:r>
      <w:r>
        <w:t xml:space="preserve">,</w:t>
      </w:r>
      <w:r>
        <w:t xml:space="preserve"> </w:t>
      </w:r>
      <w:r>
        <w:rPr>
          <w:i/>
        </w:rPr>
        <w:t xml:space="preserve">163</w:t>
      </w:r>
      <w:r>
        <w:t xml:space="preserve">, 90–99.</w:t>
      </w:r>
      <w:r>
        <w:t xml:space="preserve"> </w:t>
      </w:r>
      <w:hyperlink r:id="rId47">
        <w:r>
          <w:rPr>
            <w:rStyle w:val="Hipervnculo"/>
          </w:rPr>
          <w:t xml:space="preserve">https://doi.org/10.1016/j.fcr.2014.03.021</w:t>
        </w:r>
      </w:hyperlink>
    </w:p>
    <w:bookmarkEnd w:id="48"/>
    <w:bookmarkStart w:id="49" w:name="ref-condon2004Breeding"/>
    <w:p>
      <w:pPr>
        <w:pStyle w:val="Bibliografa"/>
      </w:pPr>
      <w:r>
        <w:t xml:space="preserve">Condon, A. G., Richards, R. A., Rebetzke, G. J., &amp; Farquhar, G. D. (2004). Breeding for high water-use efficiency.</w:t>
      </w:r>
      <w:r>
        <w:t xml:space="preserve"> </w:t>
      </w:r>
      <w:r>
        <w:rPr>
          <w:i/>
        </w:rPr>
        <w:t xml:space="preserve">Journal of Experimental Botany</w:t>
      </w:r>
      <w:r>
        <w:t xml:space="preserve">,</w:t>
      </w:r>
      <w:r>
        <w:t xml:space="preserve"> </w:t>
      </w:r>
      <w:r>
        <w:rPr>
          <w:i/>
        </w:rPr>
        <w:t xml:space="preserve">55</w:t>
      </w:r>
      <w:r>
        <w:t xml:space="preserve">(407), 2447–2460.</w:t>
      </w:r>
    </w:p>
    <w:bookmarkEnd w:id="49"/>
    <w:bookmarkStart w:id="51"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50">
        <w:r>
          <w:rPr>
            <w:rStyle w:val="Hipervnculo"/>
          </w:rPr>
          <w:t xml:space="preserve">https://doi.org/10.1007/BF02407559</w:t>
        </w:r>
      </w:hyperlink>
    </w:p>
    <w:bookmarkEnd w:id="51"/>
    <w:bookmarkStart w:id="53"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2">
        <w:r>
          <w:rPr>
            <w:rStyle w:val="Hipervnculo"/>
          </w:rPr>
          <w:t xml:space="preserve">https://doi.org/10.1016/S1161-0301(00)00081-2</w:t>
        </w:r>
      </w:hyperlink>
    </w:p>
    <w:bookmarkEnd w:id="53"/>
    <w:bookmarkStart w:id="55"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4">
        <w:r>
          <w:rPr>
            <w:rStyle w:val="Hipervnculo"/>
          </w:rPr>
          <w:t xml:space="preserve">https://CRAN.R-project.org/package=agricolae</w:t>
        </w:r>
      </w:hyperlink>
    </w:p>
    <w:bookmarkEnd w:id="55"/>
    <w:bookmarkStart w:id="57"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56">
        <w:r>
          <w:rPr>
            <w:rStyle w:val="Hipervnculo"/>
          </w:rPr>
          <w:t xml:space="preserve">https://doi.org/10.1093/bioinformatics/btx657</w:t>
        </w:r>
      </w:hyperlink>
    </w:p>
    <w:bookmarkEnd w:id="57"/>
    <w:bookmarkStart w:id="59" w:name="ref-hochman2009Potential"/>
    <w:p>
      <w:pPr>
        <w:pStyle w:val="Bibliografa"/>
      </w:pPr>
      <w:r>
        <w:t xml:space="preserve">Hochman, Z., Holzworth, D., &amp; Hunt, J. R. (2009). Potential to improve on-farm wheat yield and WUE in Australia.</w:t>
      </w:r>
      <w:r>
        <w:t xml:space="preserve"> </w:t>
      </w:r>
      <w:r>
        <w:rPr>
          <w:i/>
        </w:rPr>
        <w:t xml:space="preserve">Crop and Pasture Science</w:t>
      </w:r>
      <w:r>
        <w:t xml:space="preserve">,</w:t>
      </w:r>
      <w:r>
        <w:t xml:space="preserve"> </w:t>
      </w:r>
      <w:r>
        <w:rPr>
          <w:i/>
        </w:rPr>
        <w:t xml:space="preserve">60</w:t>
      </w:r>
      <w:r>
        <w:t xml:space="preserve">(8), 708.</w:t>
      </w:r>
      <w:r>
        <w:t xml:space="preserve"> </w:t>
      </w:r>
      <w:hyperlink r:id="rId58">
        <w:r>
          <w:rPr>
            <w:rStyle w:val="Hipervnculo"/>
          </w:rPr>
          <w:t xml:space="preserve">https://doi.org/10.1071/CP09064</w:t>
        </w:r>
      </w:hyperlink>
    </w:p>
    <w:bookmarkEnd w:id="59"/>
    <w:bookmarkStart w:id="61"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60">
        <w:r>
          <w:rPr>
            <w:rStyle w:val="Hipervnculo"/>
          </w:rPr>
          <w:t xml:space="preserve">https://CRAN.R-project.org/package=FactoMineR</w:t>
        </w:r>
      </w:hyperlink>
    </w:p>
    <w:bookmarkEnd w:id="61"/>
    <w:bookmarkStart w:id="63" w:name="ref-kaminski2015Contrasting"/>
    <w:p>
      <w:pPr>
        <w:pStyle w:val="Bibliografa"/>
      </w:pPr>
      <w:r>
        <w:t xml:space="preserve">Kaminski, K. P., Kørup, K., Kristensen, K., Nielsen, K. L., Liu, F., Topbjerg, H. B., Kirk, H. G., &amp; Andersen, M. N. (2015). Contrasting Water-Use Efficiency (WUE) Responses of a Potato Mapping Population and Capability of Modified Ball-Berry Model to Predict Stomatal Conductance and WUE Measured at Different Environmental Conditions.</w:t>
      </w:r>
      <w:r>
        <w:t xml:space="preserve"> </w:t>
      </w:r>
      <w:r>
        <w:rPr>
          <w:i/>
        </w:rPr>
        <w:t xml:space="preserve">Journal of Agronomy and Crop Science</w:t>
      </w:r>
      <w:r>
        <w:t xml:space="preserve">,</w:t>
      </w:r>
      <w:r>
        <w:t xml:space="preserve"> </w:t>
      </w:r>
      <w:r>
        <w:rPr>
          <w:i/>
        </w:rPr>
        <w:t xml:space="preserve">201</w:t>
      </w:r>
      <w:r>
        <w:t xml:space="preserve">(2), 81–94.</w:t>
      </w:r>
      <w:r>
        <w:t xml:space="preserve"> </w:t>
      </w:r>
      <w:hyperlink r:id="rId62">
        <w:r>
          <w:rPr>
            <w:rStyle w:val="Hipervnculo"/>
          </w:rPr>
          <w:t xml:space="preserve">https://doi.org/10.1111/jac.12091</w:t>
        </w:r>
      </w:hyperlink>
    </w:p>
    <w:bookmarkEnd w:id="63"/>
    <w:bookmarkStart w:id="65"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64">
        <w:r>
          <w:rPr>
            <w:rStyle w:val="Hipervnculo"/>
          </w:rPr>
          <w:t xml:space="preserve">https://doi.org/10.18637/jss.v025.i01</w:t>
        </w:r>
      </w:hyperlink>
    </w:p>
    <w:bookmarkEnd w:id="65"/>
    <w:bookmarkStart w:id="67"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66">
        <w:r>
          <w:rPr>
            <w:rStyle w:val="Hipervnculo"/>
          </w:rPr>
          <w:t xml:space="preserve">https://doi.org/10.1111/1440-1703.1275</w:t>
        </w:r>
      </w:hyperlink>
    </w:p>
    <w:bookmarkEnd w:id="67"/>
    <w:bookmarkStart w:id="69" w:name="ref-ogaya2003Comparative"/>
    <w:p>
      <w:pPr>
        <w:pStyle w:val="Bibliografa"/>
      </w:pPr>
      <w:r>
        <w:t xml:space="preserve">Ogaya, R., &amp; Peñuelas, J. (2003). Comparative field study of Quercus ilex and Phillyrea latifolia: Photosynthetic response to experimental drought conditions.</w:t>
      </w:r>
      <w:r>
        <w:t xml:space="preserve"> </w:t>
      </w:r>
      <w:r>
        <w:rPr>
          <w:i/>
        </w:rPr>
        <w:t xml:space="preserve">Environmental and Experimental Botany</w:t>
      </w:r>
      <w:r>
        <w:t xml:space="preserve">,</w:t>
      </w:r>
      <w:r>
        <w:t xml:space="preserve"> </w:t>
      </w:r>
      <w:r>
        <w:rPr>
          <w:i/>
        </w:rPr>
        <w:t xml:space="preserve">50</w:t>
      </w:r>
      <w:r>
        <w:t xml:space="preserve">(2), 137–148.</w:t>
      </w:r>
      <w:r>
        <w:t xml:space="preserve"> </w:t>
      </w:r>
      <w:hyperlink r:id="rId68">
        <w:r>
          <w:rPr>
            <w:rStyle w:val="Hipervnculo"/>
          </w:rPr>
          <w:t xml:space="preserve">https://doi.org/10.1016/S0098-8472(03)00019-4</w:t>
        </w:r>
      </w:hyperlink>
    </w:p>
    <w:bookmarkEnd w:id="69"/>
    <w:bookmarkStart w:id="71"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70">
        <w:r>
          <w:rPr>
            <w:rStyle w:val="Hipervnculo"/>
          </w:rPr>
          <w:t xml:space="preserve">https://doi.org/10.1093/jxb/49.325.1381</w:t>
        </w:r>
      </w:hyperlink>
    </w:p>
    <w:bookmarkEnd w:id="71"/>
    <w:bookmarkStart w:id="73"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72">
        <w:r>
          <w:rPr>
            <w:rStyle w:val="Hipervnculo"/>
          </w:rPr>
          <w:t xml:space="preserve">https://www.R-project.org/</w:t>
        </w:r>
      </w:hyperlink>
    </w:p>
    <w:bookmarkEnd w:id="73"/>
    <w:bookmarkStart w:id="75"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74">
        <w:r>
          <w:rPr>
            <w:rStyle w:val="Hipervnculo"/>
          </w:rPr>
          <w:t xml:space="preserve">https://doi.org/10.1016/j.envexpbot.2014.09.006</w:t>
        </w:r>
      </w:hyperlink>
    </w:p>
    <w:bookmarkEnd w:id="75"/>
    <w:bookmarkStart w:id="77" w:name="ref-ruttanaprasert2016Effects"/>
    <w:p>
      <w:pPr>
        <w:pStyle w:val="Bibliografa"/>
      </w:pPr>
      <w:r>
        <w:t xml:space="preserve">Ruttanaprasert, R., Jogloy, S., Vorasoot, N., Kesmala, T., Kanwar, R. S., Holbrook, C. C., &amp; Patanothai, A. (2016). Effects of water stress on total biomass, tuber yield, harvest index and water use efficiency in Jerusalem artichoke.</w:t>
      </w:r>
      <w:r>
        <w:t xml:space="preserve"> </w:t>
      </w:r>
      <w:r>
        <w:rPr>
          <w:i/>
        </w:rPr>
        <w:t xml:space="preserve">Agricultural Water Management</w:t>
      </w:r>
      <w:r>
        <w:t xml:space="preserve">,</w:t>
      </w:r>
      <w:r>
        <w:t xml:space="preserve"> </w:t>
      </w:r>
      <w:r>
        <w:rPr>
          <w:i/>
        </w:rPr>
        <w:t xml:space="preserve">166</w:t>
      </w:r>
      <w:r>
        <w:t xml:space="preserve">, 130–138.</w:t>
      </w:r>
      <w:r>
        <w:t xml:space="preserve"> </w:t>
      </w:r>
      <w:hyperlink r:id="rId76">
        <w:r>
          <w:rPr>
            <w:rStyle w:val="Hipervnculo"/>
          </w:rPr>
          <w:t xml:space="preserve">https://doi.org/10.1016/j.agwat.2015.12.022</w:t>
        </w:r>
      </w:hyperlink>
    </w:p>
    <w:bookmarkEnd w:id="77"/>
    <w:bookmarkStart w:id="79" w:name="ref-saravia2016Yield"/>
    <w:p>
      <w:pPr>
        <w:pStyle w:val="Bibliografa"/>
      </w:pPr>
      <w:r>
        <w:t xml:space="preserve">Saravia, D., Farfán-Vignolo, E. R., Gutiérrez, R., De Mendiburu, F., Schafleitner, R., Bonierbale, M., &amp; Khan, M. A. (2016). Yield and Physiological Response of Potatoes Indicate Different Strategies to Cope with Drought Stress and Nitrogen Fertilization.</w:t>
      </w:r>
      <w:r>
        <w:t xml:space="preserve"> </w:t>
      </w:r>
      <w:r>
        <w:rPr>
          <w:i/>
        </w:rPr>
        <w:t xml:space="preserve">American Journal of Potato Research</w:t>
      </w:r>
      <w:r>
        <w:t xml:space="preserve">,</w:t>
      </w:r>
      <w:r>
        <w:t xml:space="preserve"> </w:t>
      </w:r>
      <w:r>
        <w:rPr>
          <w:i/>
        </w:rPr>
        <w:t xml:space="preserve">93</w:t>
      </w:r>
      <w:r>
        <w:t xml:space="preserve">(3), 288–295.</w:t>
      </w:r>
      <w:r>
        <w:t xml:space="preserve"> </w:t>
      </w:r>
      <w:hyperlink r:id="rId78">
        <w:r>
          <w:rPr>
            <w:rStyle w:val="Hipervnculo"/>
          </w:rPr>
          <w:t xml:space="preserve">https://doi.org/10.1007/s12230-016-9505-9</w:t>
        </w:r>
      </w:hyperlink>
    </w:p>
    <w:bookmarkEnd w:id="79"/>
    <w:bookmarkStart w:id="81"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80">
        <w:r>
          <w:rPr>
            <w:rStyle w:val="Hipervnculo"/>
          </w:rPr>
          <w:t xml:space="preserve">https://doi.org/10.1071/PP9860329</w:t>
        </w:r>
      </w:hyperlink>
    </w:p>
    <w:bookmarkEnd w:id="81"/>
    <w:bookmarkStart w:id="83"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82">
        <w:r>
          <w:rPr>
            <w:rStyle w:val="Hipervnculo"/>
          </w:rPr>
          <w:t xml:space="preserve">https://doi.org/10.2307/1309424</w:t>
        </w:r>
      </w:hyperlink>
    </w:p>
    <w:bookmarkEnd w:id="83"/>
    <w:bookmarkStart w:id="85"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84">
        <w:r>
          <w:rPr>
            <w:rStyle w:val="Hipervnculo"/>
          </w:rPr>
          <w:t xml:space="preserve">https://doi.org/10.1007/s12230-012-9285-9</w:t>
        </w:r>
      </w:hyperlink>
    </w:p>
    <w:bookmarkEnd w:id="85"/>
    <w:bookmarkStart w:id="87" w:name="ref-tolk2009Transpiration"/>
    <w:p>
      <w:pPr>
        <w:pStyle w:val="Bibliografa"/>
      </w:pPr>
      <w:r>
        <w:t xml:space="preserve">Tolk, J. A., &amp; Howell, T. A. (2009). Transpiration and Yield Relationships of Grain Sorghum Grown in a Field Environment.</w:t>
      </w:r>
      <w:r>
        <w:t xml:space="preserve"> </w:t>
      </w:r>
      <w:r>
        <w:rPr>
          <w:i/>
        </w:rPr>
        <w:t xml:space="preserve">Agronomy Journal</w:t>
      </w:r>
      <w:r>
        <w:t xml:space="preserve">,</w:t>
      </w:r>
      <w:r>
        <w:t xml:space="preserve"> </w:t>
      </w:r>
      <w:r>
        <w:rPr>
          <w:i/>
        </w:rPr>
        <w:t xml:space="preserve">101</w:t>
      </w:r>
      <w:r>
        <w:t xml:space="preserve">(3), 657–662.</w:t>
      </w:r>
      <w:r>
        <w:t xml:space="preserve"> </w:t>
      </w:r>
      <w:hyperlink r:id="rId86">
        <w:r>
          <w:rPr>
            <w:rStyle w:val="Hipervnculo"/>
          </w:rPr>
          <w:t xml:space="preserve">https://doi.org/10.2134/agronj2008.0079x</w:t>
        </w:r>
      </w:hyperlink>
    </w:p>
    <w:bookmarkEnd w:id="87"/>
    <w:bookmarkStart w:id="89" w:name="ref-trebejo1990Effect"/>
    <w:p>
      <w:pPr>
        <w:pStyle w:val="Bibliografa"/>
      </w:pPr>
      <w:r>
        <w:t xml:space="preserve">Trebejo, I., &amp; Midmore, D. J. (1990). Effect of water stress on potato growth, yield and water use in a hot and a cool tropical climate.</w:t>
      </w:r>
      <w:r>
        <w:t xml:space="preserve"> </w:t>
      </w:r>
      <w:r>
        <w:rPr>
          <w:i/>
        </w:rPr>
        <w:t xml:space="preserve">The Journal of Agricultural Science</w:t>
      </w:r>
      <w:r>
        <w:t xml:space="preserve">,</w:t>
      </w:r>
      <w:r>
        <w:t xml:space="preserve"> </w:t>
      </w:r>
      <w:r>
        <w:rPr>
          <w:i/>
        </w:rPr>
        <w:t xml:space="preserve">114</w:t>
      </w:r>
      <w:r>
        <w:t xml:space="preserve">(03), 321.</w:t>
      </w:r>
      <w:r>
        <w:t xml:space="preserve"> </w:t>
      </w:r>
      <w:hyperlink r:id="rId88">
        <w:r>
          <w:rPr>
            <w:rStyle w:val="Hipervnculo"/>
          </w:rPr>
          <w:t xml:space="preserve">https://doi.org/10.1017/S0021859600072713</w:t>
        </w:r>
      </w:hyperlink>
    </w:p>
    <w:bookmarkEnd w:id="89"/>
    <w:bookmarkStart w:id="91" w:name="ref-tuberosa2012Phenotyping"/>
    <w:p>
      <w:pPr>
        <w:pStyle w:val="Bibliografa"/>
      </w:pPr>
      <w:r>
        <w:t xml:space="preserve">Tuberosa, R. (2012). Phenotyping for drought tolerance of crops in the genomics era.</w:t>
      </w:r>
      <w:r>
        <w:t xml:space="preserve"> </w:t>
      </w:r>
      <w:r>
        <w:rPr>
          <w:i/>
        </w:rPr>
        <w:t xml:space="preserve">Frontiers in Physiology</w:t>
      </w:r>
      <w:r>
        <w:t xml:space="preserve">,</w:t>
      </w:r>
      <w:r>
        <w:t xml:space="preserve"> </w:t>
      </w:r>
      <w:r>
        <w:rPr>
          <w:i/>
        </w:rPr>
        <w:t xml:space="preserve">3</w:t>
      </w:r>
      <w:r>
        <w:t xml:space="preserve">.</w:t>
      </w:r>
      <w:r>
        <w:t xml:space="preserve"> </w:t>
      </w:r>
      <w:hyperlink r:id="rId90">
        <w:r>
          <w:rPr>
            <w:rStyle w:val="Hipervnculo"/>
          </w:rPr>
          <w:t xml:space="preserve">https://doi.org/10.3389/fphys.2012.00347</w:t>
        </w:r>
      </w:hyperlink>
    </w:p>
    <w:bookmarkEnd w:id="91"/>
    <w:bookmarkStart w:id="93"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92">
        <w:r>
          <w:rPr>
            <w:rStyle w:val="Hipervnculo"/>
          </w:rPr>
          <w:t xml:space="preserve">https://doi.org/10.1093/jxb/ern073</w:t>
        </w:r>
      </w:hyperlink>
    </w:p>
    <w:bookmarkEnd w:id="93"/>
    <w:bookmarkStart w:id="94"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p>
    <w:bookmarkEnd w:id="94"/>
    <w:bookmarkEnd w:id="95"/>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 The vales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he val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 and (B) Daily transpiration in 15 potato genotypes under well-watered (WW) and water deficit (WD)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96"/>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 and (B) Daily transpiration in 15 potato genotypes under well-watered (WW) and water deficit (WD) experiment.</w:t>
      </w:r>
    </w:p>
    <w:p>
      <w:r>
        <w:br w:type="page"/>
      </w:r>
    </w:p>
    <w:p>
      <w:pPr>
        <w:pStyle w:val="CaptionedFigure"/>
      </w:pPr>
      <w:r>
        <w:drawing>
          <wp:inline>
            <wp:extent cx="5969000" cy="5969000"/>
            <wp:effectExtent b="0" l="0" r="0" t="0"/>
            <wp:docPr descr="Figure 2: Variables measured in 15 potato genotypes under well-watered (WW) and water deficit (WD) treatment. (A) Tuber dry weight (tdw; g). (B) Specific Leaf Area (sla; cm2g-1). (C) Harvest Index (hi). (D) Tuber Water Use Efficiency (wuet; gl-1). D-E Chlorophyll Concentration (spad)." title="" id="1" name="Picture"/>
            <a:graphic>
              <a:graphicData uri="http://schemas.openxmlformats.org/drawingml/2006/picture">
                <pic:pic>
                  <pic:nvPicPr>
                    <pic:cNvPr descr="files/fig_mpv.png" id="0" name="Picture"/>
                    <pic:cNvPicPr>
                      <a:picLocks noChangeArrowheads="1" noChangeAspect="1"/>
                    </pic:cNvPicPr>
                  </pic:nvPicPr>
                  <pic:blipFill>
                    <a:blip r:embed="rId9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Variables measured in 15 potato genotypes under well-watered (WW) and water deficit (WD) treatment. (A) Tuber dry weight (tdw; g). (B) Specific Leaf Area (sla; cm</w:t>
      </w:r>
      <w:r>
        <w:rPr>
          <w:vertAlign w:val="superscript"/>
        </w:rPr>
        <w:t xml:space="preserve">2</w:t>
      </w:r>
      <w:r>
        <w:t xml:space="preserve">g</w:t>
      </w:r>
      <w:r>
        <w:rPr>
          <w:vertAlign w:val="superscript"/>
        </w:rPr>
        <w:t xml:space="preserve">-1</w:t>
      </w:r>
      <w:r>
        <w:t xml:space="preserve">). (C) Harvest Index (hi). (D) Tuber Water Use Efficiency (wue</w:t>
      </w:r>
      <w:r>
        <w:rPr>
          <w:vertAlign w:val="subscript"/>
        </w:rPr>
        <w:t xml:space="preserve">t</w:t>
      </w:r>
      <w:r>
        <w:t xml:space="preserve">; gl</w:t>
      </w:r>
      <w:r>
        <w:rPr>
          <w:vertAlign w:val="superscript"/>
        </w:rPr>
        <w:t xml:space="preserve">-1</w:t>
      </w:r>
      <w:r>
        <w:t xml:space="preserve">). D-E Chlorophyll Concentration (spad).</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treatment. (A) PCA for the variables. (B) PCA for the genotypes under WW and WD.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itle="" id="1" name="Picture"/>
            <a:graphic>
              <a:graphicData uri="http://schemas.openxmlformats.org/drawingml/2006/picture">
                <pic:pic>
                  <pic:nvPicPr>
                    <pic:cNvPr descr="files/fig_mv.png" id="0" name="Picture"/>
                    <pic:cNvPicPr>
                      <a:picLocks noChangeArrowheads="1" noChangeAspect="1"/>
                    </pic:cNvPicPr>
                  </pic:nvPicPr>
                  <pic:blipFill>
                    <a:blip r:embed="rId98"/>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treatment. (A) PCA for the variables. (B) PCA for the genotypes under WW and WD.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w:t>
      </w:r>
    </w:p>
    <w:p>
      <w:r>
        <w:br w:type="page"/>
      </w:r>
    </w:p>
    <w:p>
      <w:pPr>
        <w:pStyle w:val="CaptionedFigure"/>
      </w:pPr>
      <w:r>
        <w:drawing>
          <wp:inline>
            <wp:extent cx="5969000" cy="4263571"/>
            <wp:effectExtent b="0" l="0" r="0" t="0"/>
            <wp:docPr descr="Figure 4: Correlation and cluster analysis from variables measured in 15 potato genotypes under well-watered (WW) and water deficit (WD) treatment.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itle="" id="1" name="Picture"/>
            <a:graphic>
              <a:graphicData uri="http://schemas.openxmlformats.org/drawingml/2006/picture">
                <pic:pic>
                  <pic:nvPicPr>
                    <pic:cNvPr descr="files/fig_cor.png" id="0" name="Picture"/>
                    <pic:cNvPicPr>
                      <a:picLocks noChangeArrowheads="1" noChangeAspect="1"/>
                    </pic:cNvPicPr>
                  </pic:nvPicPr>
                  <pic:blipFill>
                    <a:blip r:embed="rId99"/>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Correlation and cluster analysis from variables measured in 15 potato genotypes under well-watered (WW) and water deficit (WD) treatment.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w:t>
      </w:r>
    </w:p>
    <w:sectPr w:rsidR="00164B34" w:rsidRPr="003665A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FD7" w14:textId="77777777" w:rsidR="00A04089" w:rsidRPr="00750171" w:rsidRDefault="0087636E">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40C9F553" w14:textId="77777777" w:rsidR="00A04089" w:rsidRDefault="0087636E">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3BCA2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EB68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B3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1E86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863A8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D2D3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8273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B41A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9673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3C2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0D648E"/>
    <w:pPr>
      <w:keepNext/>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99" Target="media/rId99.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6" Target="media/rId96.png" /><Relationship Type="http://schemas.openxmlformats.org/officeDocument/2006/relationships/hyperlink" Id="rId60" Target="https://CRAN.R-project.org/package=FactoMineR" TargetMode="External" /><Relationship Type="http://schemas.openxmlformats.org/officeDocument/2006/relationships/hyperlink" Id="rId54" Target="https://CRAN.R-project.org/package=agricolae" TargetMode="External" /><Relationship Type="http://schemas.openxmlformats.org/officeDocument/2006/relationships/hyperlink" Id="rId50" Target="https://doi.org/10.1007/BF02407559" TargetMode="External" /><Relationship Type="http://schemas.openxmlformats.org/officeDocument/2006/relationships/hyperlink" Id="rId39" Target="https://doi.org/10.1007/s00299-007-0406-8" TargetMode="External" /><Relationship Type="http://schemas.openxmlformats.org/officeDocument/2006/relationships/hyperlink" Id="rId84" Target="https://doi.org/10.1007/s12230-012-9285-9" TargetMode="External" /><Relationship Type="http://schemas.openxmlformats.org/officeDocument/2006/relationships/hyperlink" Id="rId78" Target="https://doi.org/10.1007/s12230-016-9505-9" TargetMode="External" /><Relationship Type="http://schemas.openxmlformats.org/officeDocument/2006/relationships/hyperlink" Id="rId68" Target="https://doi.org/10.1016/S0098-8472(03)00019-4" TargetMode="External" /><Relationship Type="http://schemas.openxmlformats.org/officeDocument/2006/relationships/hyperlink" Id="rId52" Target="https://doi.org/10.1016/S1161-0301(00)00081-2" TargetMode="External" /><Relationship Type="http://schemas.openxmlformats.org/officeDocument/2006/relationships/hyperlink" Id="rId76" Target="https://doi.org/10.1016/j.agwat.2015.12.022" TargetMode="External" /><Relationship Type="http://schemas.openxmlformats.org/officeDocument/2006/relationships/hyperlink" Id="rId74" Target="https://doi.org/10.1016/j.envexpbot.2014.09.006" TargetMode="External" /><Relationship Type="http://schemas.openxmlformats.org/officeDocument/2006/relationships/hyperlink" Id="rId47" Target="https://doi.org/10.1016/j.fcr.2014.03.021" TargetMode="External" /><Relationship Type="http://schemas.openxmlformats.org/officeDocument/2006/relationships/hyperlink" Id="rId88" Target="https://doi.org/10.1017/S0021859600072713" TargetMode="External" /><Relationship Type="http://schemas.openxmlformats.org/officeDocument/2006/relationships/hyperlink" Id="rId41"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43" Target="https://doi.org/10.1071/FP11101" TargetMode="External" /><Relationship Type="http://schemas.openxmlformats.org/officeDocument/2006/relationships/hyperlink" Id="rId80" Target="https://doi.org/10.1071/PP9860329" TargetMode="External" /><Relationship Type="http://schemas.openxmlformats.org/officeDocument/2006/relationships/hyperlink" Id="rId56" Target="https://doi.org/10.1093/bioinformatics/btx657" TargetMode="External" /><Relationship Type="http://schemas.openxmlformats.org/officeDocument/2006/relationships/hyperlink" Id="rId70" Target="https://doi.org/10.1093/jxb/49.325.1381" TargetMode="External" /><Relationship Type="http://schemas.openxmlformats.org/officeDocument/2006/relationships/hyperlink" Id="rId92" Target="https://doi.org/10.1093/jxb/ern073" TargetMode="External" /><Relationship Type="http://schemas.openxmlformats.org/officeDocument/2006/relationships/hyperlink" Id="rId66" Target="https://doi.org/10.1111/1440-1703.1275" TargetMode="External" /><Relationship Type="http://schemas.openxmlformats.org/officeDocument/2006/relationships/hyperlink" Id="rId62" Target="https://doi.org/10.1111/jac.12091" TargetMode="External" /><Relationship Type="http://schemas.openxmlformats.org/officeDocument/2006/relationships/hyperlink" Id="rId64" Target="https://doi.org/10.18637/jss.v025.i01" TargetMode="External" /><Relationship Type="http://schemas.openxmlformats.org/officeDocument/2006/relationships/hyperlink" Id="rId45" Target="https://doi.org/10.2134/agronj14.0572" TargetMode="External" /><Relationship Type="http://schemas.openxmlformats.org/officeDocument/2006/relationships/hyperlink" Id="rId86" Target="https://doi.org/10.2134/agronj2008.0079x" TargetMode="External" /><Relationship Type="http://schemas.openxmlformats.org/officeDocument/2006/relationships/hyperlink" Id="rId82" Target="https://doi.org/10.2307/1309424" TargetMode="External" /><Relationship Type="http://schemas.openxmlformats.org/officeDocument/2006/relationships/hyperlink" Id="rId90" Target="https://doi.org/10.3389/fphys.2012.00347" TargetMode="External" /><Relationship Type="http://schemas.openxmlformats.org/officeDocument/2006/relationships/hyperlink" Id="rId72"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s://CRAN.R-project.org/package=FactoMineR" TargetMode="External" /><Relationship Type="http://schemas.openxmlformats.org/officeDocument/2006/relationships/hyperlink" Id="rId54" Target="https://CRAN.R-project.org/package=agricolae" TargetMode="External" /><Relationship Type="http://schemas.openxmlformats.org/officeDocument/2006/relationships/hyperlink" Id="rId50" Target="https://doi.org/10.1007/BF02407559" TargetMode="External" /><Relationship Type="http://schemas.openxmlformats.org/officeDocument/2006/relationships/hyperlink" Id="rId39" Target="https://doi.org/10.1007/s00299-007-0406-8" TargetMode="External" /><Relationship Type="http://schemas.openxmlformats.org/officeDocument/2006/relationships/hyperlink" Id="rId84" Target="https://doi.org/10.1007/s12230-012-9285-9" TargetMode="External" /><Relationship Type="http://schemas.openxmlformats.org/officeDocument/2006/relationships/hyperlink" Id="rId78" Target="https://doi.org/10.1007/s12230-016-9505-9" TargetMode="External" /><Relationship Type="http://schemas.openxmlformats.org/officeDocument/2006/relationships/hyperlink" Id="rId68" Target="https://doi.org/10.1016/S0098-8472(03)00019-4" TargetMode="External" /><Relationship Type="http://schemas.openxmlformats.org/officeDocument/2006/relationships/hyperlink" Id="rId52" Target="https://doi.org/10.1016/S1161-0301(00)00081-2" TargetMode="External" /><Relationship Type="http://schemas.openxmlformats.org/officeDocument/2006/relationships/hyperlink" Id="rId76" Target="https://doi.org/10.1016/j.agwat.2015.12.022" TargetMode="External" /><Relationship Type="http://schemas.openxmlformats.org/officeDocument/2006/relationships/hyperlink" Id="rId74" Target="https://doi.org/10.1016/j.envexpbot.2014.09.006" TargetMode="External" /><Relationship Type="http://schemas.openxmlformats.org/officeDocument/2006/relationships/hyperlink" Id="rId47" Target="https://doi.org/10.1016/j.fcr.2014.03.021" TargetMode="External" /><Relationship Type="http://schemas.openxmlformats.org/officeDocument/2006/relationships/hyperlink" Id="rId88" Target="https://doi.org/10.1017/S0021859600072713" TargetMode="External" /><Relationship Type="http://schemas.openxmlformats.org/officeDocument/2006/relationships/hyperlink" Id="rId41"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43" Target="https://doi.org/10.1071/FP11101" TargetMode="External" /><Relationship Type="http://schemas.openxmlformats.org/officeDocument/2006/relationships/hyperlink" Id="rId80" Target="https://doi.org/10.1071/PP9860329" TargetMode="External" /><Relationship Type="http://schemas.openxmlformats.org/officeDocument/2006/relationships/hyperlink" Id="rId56" Target="https://doi.org/10.1093/bioinformatics/btx657" TargetMode="External" /><Relationship Type="http://schemas.openxmlformats.org/officeDocument/2006/relationships/hyperlink" Id="rId70" Target="https://doi.org/10.1093/jxb/49.325.1381" TargetMode="External" /><Relationship Type="http://schemas.openxmlformats.org/officeDocument/2006/relationships/hyperlink" Id="rId92" Target="https://doi.org/10.1093/jxb/ern073" TargetMode="External" /><Relationship Type="http://schemas.openxmlformats.org/officeDocument/2006/relationships/hyperlink" Id="rId66" Target="https://doi.org/10.1111/1440-1703.1275" TargetMode="External" /><Relationship Type="http://schemas.openxmlformats.org/officeDocument/2006/relationships/hyperlink" Id="rId62" Target="https://doi.org/10.1111/jac.12091" TargetMode="External" /><Relationship Type="http://schemas.openxmlformats.org/officeDocument/2006/relationships/hyperlink" Id="rId64" Target="https://doi.org/10.18637/jss.v025.i01" TargetMode="External" /><Relationship Type="http://schemas.openxmlformats.org/officeDocument/2006/relationships/hyperlink" Id="rId45" Target="https://doi.org/10.2134/agronj14.0572" TargetMode="External" /><Relationship Type="http://schemas.openxmlformats.org/officeDocument/2006/relationships/hyperlink" Id="rId86" Target="https://doi.org/10.2134/agronj2008.0079x" TargetMode="External" /><Relationship Type="http://schemas.openxmlformats.org/officeDocument/2006/relationships/hyperlink" Id="rId82" Target="https://doi.org/10.2307/1309424" TargetMode="External" /><Relationship Type="http://schemas.openxmlformats.org/officeDocument/2006/relationships/hyperlink" Id="rId90" Target="https://doi.org/10.3389/fphys.2012.00347" TargetMode="External" /><Relationship Type="http://schemas.openxmlformats.org/officeDocument/2006/relationships/hyperlink" Id="rId72"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2020-03-11T21:30:48Z</dcterms:created>
  <dcterms:modified xsi:type="dcterms:W3CDTF">2020-03-11T21:30:48Z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