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61.png" ContentType="image/png"/>
  <Override PartName="/word/media/rId66.png" ContentType="image/png"/>
  <Override PartName="/word/media/rId71.png" ContentType="image/png"/>
  <Override PartName="/word/media/rId91.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Impact of water deficit on growth, productivity, and water use efficiency in potato genotypes (</w:t>
      </w:r>
      <w:r>
        <w:rPr>
          <w:iCs/>
          <w:i/>
          <w:bCs/>
          <w:b/>
        </w:rPr>
        <w:t xml:space="preserve">Solanum tuberosum</w:t>
      </w:r>
      <w:r>
        <w:rPr>
          <w:bCs/>
          <w:b/>
        </w:rPr>
        <w:t xml:space="preserve"> </w:t>
      </w:r>
      <w:r>
        <w:rPr>
          <w:bCs/>
          <w:b/>
        </w:rPr>
        <w:t xml:space="preserve">L.)</w:t>
      </w:r>
    </w:p>
    <w:p>
      <w:pPr>
        <w:pStyle w:val="BodyText"/>
      </w:pPr>
      <w:r>
        <w:t xml:space="preserve">Flavio Lozano-Isla</w:t>
      </w:r>
      <w:r>
        <w:rPr>
          <w:vertAlign w:val="superscript"/>
        </w:rPr>
        <w:t xml:space="preserve">1#*</w:t>
      </w:r>
      <w:r>
        <w:t xml:space="preserve">, Evelyn Roxana Farfan-Vignolo</w:t>
      </w:r>
      <w:r>
        <w:rPr>
          <w:vertAlign w:val="superscript"/>
        </w:rPr>
        <w:t xml:space="preserve">2#*</w:t>
      </w:r>
      <w:r>
        <w:t xml:space="preserve">, Raymundo Gutierrez</w:t>
      </w:r>
      <w:r>
        <w:rPr>
          <w:vertAlign w:val="superscript"/>
        </w:rPr>
        <w:t xml:space="preserve">1#</w:t>
      </w:r>
      <w:r>
        <w:t xml:space="preserve">, Raul Blas</w:t>
      </w:r>
      <w:r>
        <w:rPr>
          <w:vertAlign w:val="superscript"/>
        </w:rPr>
        <w:t xml:space="preserve">1</w:t>
      </w:r>
      <w:r>
        <w:t xml:space="preserve">, Khan Awais</w:t>
      </w:r>
      <w:r>
        <w:rPr>
          <w:vertAlign w:val="superscript"/>
        </w:rPr>
        <w:t xml:space="preserve">3#+</w:t>
      </w:r>
    </w:p>
    <w:p>
      <w:pPr>
        <w:pStyle w:val="BodyText"/>
      </w:pPr>
      <w:r>
        <w:rPr>
          <w:vertAlign w:val="superscript"/>
        </w:rPr>
        <w:t xml:space="preserve">1</w:t>
      </w:r>
      <w:r>
        <w:t xml:space="preserve"> </w:t>
      </w:r>
      <w:r>
        <w:t xml:space="preserve">Universidad Nacional Agraria La Molina (UNALM), Av. La Molina, 1558, Peru.</w:t>
      </w:r>
    </w:p>
    <w:p>
      <w:pPr>
        <w:pStyle w:val="BodyText"/>
      </w:pPr>
      <w:r>
        <w:rPr>
          <w:vertAlign w:val="superscript"/>
        </w:rPr>
        <w:t xml:space="preserve">2</w:t>
      </w:r>
      <w:r>
        <w:t xml:space="preserve"> </w:t>
      </w:r>
      <w:r>
        <w:t xml:space="preserve">Dirección de Recursos Genéticos y Biotecnología, Instituto Nacional de Innovación Agraria (INIA), La Molina, Lima, Peru.</w:t>
      </w:r>
    </w:p>
    <w:p>
      <w:pPr>
        <w:pStyle w:val="BodyText"/>
      </w:pPr>
      <w:r>
        <w:rPr>
          <w:vertAlign w:val="superscript"/>
        </w:rPr>
        <w:t xml:space="preserve">3</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rPr>
          <w:vertAlign w:val="superscript"/>
        </w:rPr>
        <w:t xml:space="preserve">*</w:t>
      </w:r>
      <w:r>
        <w:t xml:space="preserve"> </w:t>
      </w:r>
      <w:r>
        <w:t xml:space="preserve">Equal contributing author</w:t>
      </w:r>
    </w:p>
    <w:bookmarkStart w:id="20" w:name="abstract"/>
    <w:p>
      <w:pPr>
        <w:pStyle w:val="Heading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Cs/>
          <w:b/>
        </w:rPr>
        <w:t xml:space="preserve">Keywords:</w:t>
      </w:r>
      <w:r>
        <w:t xml:space="preserve"> </w:t>
      </w:r>
      <w:r>
        <w:t xml:space="preserve">abiotic stress, harvest index, physiological traits, drought tolerance, SPAD</w:t>
      </w:r>
    </w:p>
    <w:bookmarkEnd w:id="20"/>
    <w:bookmarkStart w:id="35" w:name="introduction"/>
    <w:p>
      <w:pPr>
        <w:pStyle w:val="Heading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yperlink"/>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yperlink"/>
          </w:rPr>
          <w:t xml:space="preserve">(Blum, 2005)</w:t>
        </w:r>
      </w:hyperlink>
      <w:r>
        <w:t xml:space="preserve">. Potato (</w:t>
      </w:r>
      <w:r>
        <w:rPr>
          <w:iCs/>
          <w:i/>
        </w:rPr>
        <w:t xml:space="preserve">Solanum tuberosum</w:t>
      </w:r>
      <w:r>
        <w:t xml:space="preserve"> </w:t>
      </w:r>
      <w:r>
        <w:t xml:space="preserve">L.), the fourth most important food crop worldwide with an annual production of around 380 million tons (ref), suffers drastic losses in tuber yield and/or quality due to drought stress</w:t>
      </w:r>
      <w:r>
        <w:t xml:space="preserve"> </w:t>
      </w:r>
      <w:hyperlink r:id="rId23">
        <w:r>
          <w:rPr>
            <w:rStyle w:val="Hyperlink"/>
          </w:rPr>
          <w:t xml:space="preserve">(Stark et al., 2013; Yang et al., 2016)</w:t>
        </w:r>
      </w:hyperlink>
      <w:r>
        <w:t xml:space="preserve">. In general, the potato has a high harvest index in comparison with cereals and relatively low demand for water i.e., 400 to 600 L for 1 kg of tuber dry matter</w:t>
      </w:r>
      <w:r>
        <w:t xml:space="preserve"> </w:t>
      </w:r>
      <w:hyperlink r:id="rId24">
        <w:r>
          <w:rPr>
            <w:rStyle w:val="Hyperlink"/>
          </w:rPr>
          <w:t xml:space="preserve">(Monneveux et al., 2013; Sprenger et al., 2016)</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yperlink"/>
          </w:rPr>
          <w:t xml:space="preserve">(Deblonde &amp;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yperlink"/>
          </w:rPr>
          <w:t xml:space="preserve">(Monneveux et al., 2014)</w:t>
        </w:r>
      </w:hyperlink>
      <w:r>
        <w:t xml:space="preserve">. The majority of modern potato cultivars are drought-sensitive presenting different responses to drought stress</w:t>
      </w:r>
      <w:r>
        <w:t xml:space="preserve"> </w:t>
      </w:r>
      <w:hyperlink r:id="rId27">
        <w:r>
          <w:rPr>
            <w:rStyle w:val="Hyperlink"/>
          </w:rPr>
          <w:t xml:space="preserve">(Soltys-Kalina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yperlink"/>
          </w:rPr>
          <w:t xml:space="preserve">(Chen et al., 2020; Khan et al., 2015)</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yperlink"/>
          </w:rPr>
          <w:t xml:space="preserve">(Liu et al., 2006)</w:t>
        </w:r>
      </w:hyperlink>
      <w:r>
        <w:t xml:space="preserve">.</w:t>
      </w:r>
    </w:p>
    <w:p>
      <w:pPr>
        <w:pStyle w:val="BodyText"/>
      </w:pPr>
      <w:r>
        <w:t xml:space="preserve">In Peru, the center of origin of potatoes,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(Tolk and Howell, 2009)</w:t>
      </w:r>
      <w:r>
        <w:t xml:space="preserve"> </w:t>
      </w:r>
      <w:r>
        <w:t xml:space="preserve">. When a higher WUE under drought stress is maintained, the effects of water deficiency are reduced and the competitiveness for water under drought conditions is enhanced</w:t>
      </w:r>
      <w:r>
        <w:t xml:space="preserve"> </w:t>
      </w:r>
      <w:hyperlink r:id="rId30">
        <w:r>
          <w:rPr>
            <w:rStyle w:val="Hyperlink"/>
          </w:rPr>
          <w:t xml:space="preserve">(Ogaya &amp;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1">
        <w:r>
          <w:rPr>
            <w:rStyle w:val="Hyperlink"/>
          </w:rPr>
          <w:t xml:space="preserve">(Trebejo &amp;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2">
        <w:r>
          <w:rPr>
            <w:rStyle w:val="Hyperlink"/>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3">
        <w:r>
          <w:rPr>
            <w:rStyle w:val="Hyperlink"/>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4">
        <w:r>
          <w:rPr>
            <w:rStyle w:val="Hyperlink"/>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bookmarkEnd w:id="35"/>
    <w:bookmarkStart w:id="58" w:name="materials-and-methods"/>
    <w:p>
      <w:pPr>
        <w:pStyle w:val="Heading1"/>
      </w:pPr>
      <w:r>
        <w:t xml:space="preserve">Materials and Methods</w:t>
      </w:r>
    </w:p>
    <w:bookmarkStart w:id="39" w:name="X46f9eb3f904fd8264fe48d6443a5a8446bfb368"/>
    <w:p>
      <w:pPr>
        <w:pStyle w:val="Heading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w:t>
      </w:r>
      <w:hyperlink w:anchor="tbl-id.oxthgr87o9kv">
        <w:r>
          <w:rPr>
            <w:rStyle w:val="Hyperlink"/>
          </w:rPr>
          <w:t xml:space="preserve">Table 1</w:t>
        </w:r>
      </w:hyperlink>
      <w:r>
        <w:t xml:space="preserve">:). The commercial varieties were UNICA (CIP392797.22) with a good yield in warm and dry environments</w:t>
      </w:r>
      <w:r>
        <w:t xml:space="preserve"> </w:t>
      </w:r>
      <w:hyperlink r:id="rId36">
        <w:r>
          <w:rPr>
            <w:rStyle w:val="Hyperlink"/>
          </w:rPr>
          <w:t xml:space="preserve">(Demirel et al., 2020; Gutiérrez-Rosales et al., 2007; Rolando et al., 2015)</w:t>
        </w:r>
      </w:hyperlink>
      <w:r>
        <w:t xml:space="preserve">; and Achirana INTA (CIP720088) known for its earliness and drought tolerance</w:t>
      </w:r>
      <w:r>
        <w:t xml:space="preserve"> </w:t>
      </w:r>
      <w:hyperlink r:id="rId37">
        <w:r>
          <w:rPr>
            <w:rStyle w:val="Hyperlink"/>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p>
      <w:pPr>
        <w:numPr>
          <w:ilvl w:val="0"/>
          <w:numId w:val="1001"/>
        </w:numPr>
        <w:pStyle w:val="Compact"/>
      </w:pPr>
      <w:r>
        <w:t xml:space="preserve">Where was the experiment conducted? What are the geographical coordinates or location?</w:t>
      </w:r>
    </w:p>
    <w:p>
      <w:pPr>
        <w:numPr>
          <w:ilvl w:val="0"/>
          <w:numId w:val="1001"/>
        </w:numPr>
        <w:pStyle w:val="Compact"/>
      </w:pPr>
      <w:r>
        <w:t xml:space="preserve">mention in which year the experiment was established and precise date</w:t>
      </w:r>
    </w:p>
    <w:bookmarkStart w:id="38" w:name="tbl-id.oxthgr87o9kv"/>
    <w:p>
      <w:pPr>
        <w:pStyle w:val="TableCaption"/>
      </w:pPr>
      <w:r>
        <w:t xml:space="preserve">Table 1: Potato genotypes (</w:t>
      </w:r>
      <w:r>
        <w:rPr>
          <w:iCs/>
          <w:i/>
        </w:rPr>
        <w:t xml:space="preserve">Solanum tuberosum</w:t>
      </w:r>
      <w:r>
        <w:t xml:space="preserve"> </w:t>
      </w:r>
      <w:r>
        <w:t xml:space="preserve">L.) used for water deficit experiment with two commercial varieties and 13 genotypes from an advanced breeding population developed by the International Potato Center (CIP). Source: CIP</w:t>
      </w:r>
    </w:p>
    <w:tbl>
      <w:tblPr>
        <w:tblStyle w:val="Table"/>
        <w:tblW w:type="pct" w:w="5000"/>
        <w:tblLook w:firstRow="1" w:lastRow="0" w:firstColumn="0" w:lastColumn="0" w:noHBand="0" w:noVBand="0" w:val="0020"/>
        <w:tblCaption w:val="Table 1: Potato genotypes (Solanum tuberosum L.) used for water deficit experiment with two commercial varieties and 13 genotypes from an advanced breeding population developed by the International Potato Center (CIP). Source: CIP"/>
      </w:tblPr>
      <w:tblGrid>
        <w:gridCol w:w="1312"/>
        <w:gridCol w:w="1312"/>
        <w:gridCol w:w="1312"/>
        <w:gridCol w:w="1312"/>
        <w:gridCol w:w="1312"/>
        <w:gridCol w:w="1356"/>
      </w:tblGrid>
      <w:tr>
        <w:trPr>
          <w:tblHeader w:val="true"/>
        </w:trPr>
        <w:tc>
          <w:tcPr/>
          <w:p>
            <w:pPr>
              <w:pStyle w:val="Compact"/>
              <w:jc w:val="left"/>
            </w:pPr>
            <w:r>
              <w:rPr>
                <w:bCs/>
                <w:b/>
              </w:rPr>
              <w:t xml:space="preserve">Number</w:t>
            </w:r>
          </w:p>
        </w:tc>
        <w:tc>
          <w:tcPr/>
          <w:p>
            <w:pPr>
              <w:pStyle w:val="Compact"/>
              <w:jc w:val="left"/>
            </w:pPr>
            <w:r>
              <w:rPr>
                <w:bCs/>
                <w:b/>
              </w:rPr>
              <w:t xml:space="preserve">Genotypes</w:t>
            </w:r>
          </w:p>
        </w:tc>
        <w:tc>
          <w:tcPr/>
          <w:p>
            <w:pPr>
              <w:pStyle w:val="Compact"/>
              <w:jc w:val="left"/>
            </w:pPr>
            <w:r>
              <w:rPr>
                <w:bCs/>
                <w:b/>
              </w:rPr>
              <w:t xml:space="preserve">Adaptability</w:t>
            </w:r>
          </w:p>
        </w:tc>
        <w:tc>
          <w:tcPr/>
          <w:p>
            <w:pPr>
              <w:pStyle w:val="Compact"/>
              <w:jc w:val="left"/>
            </w:pPr>
            <w:r>
              <w:rPr>
                <w:bCs/>
                <w:b/>
              </w:rPr>
              <w:t xml:space="preserve">Growing period</w:t>
            </w:r>
          </w:p>
        </w:tc>
        <w:tc>
          <w:tcPr/>
          <w:p>
            <w:pPr>
              <w:pStyle w:val="Compact"/>
              <w:jc w:val="left"/>
            </w:pPr>
            <w:r>
              <w:rPr>
                <w:bCs/>
                <w:b/>
              </w:rPr>
              <w:t xml:space="preserve">Heat tolerance</w:t>
            </w:r>
          </w:p>
        </w:tc>
        <w:tc>
          <w:tcPr/>
          <w:p>
            <w:pPr>
              <w:pStyle w:val="Compact"/>
              <w:jc w:val="left"/>
            </w:pPr>
            <w:r>
              <w:rPr>
                <w:bCs/>
                <w:b/>
              </w:rPr>
              <w:t xml:space="preserve">Dry matter (%)</w:t>
            </w:r>
          </w:p>
        </w:tc>
      </w:tr>
      <w:tr>
        <w:tc>
          <w:tcPr/>
          <w:p>
            <w:pPr>
              <w:pStyle w:val="Compact"/>
              <w:jc w:val="left"/>
            </w:pPr>
            <w:r>
              <w:t xml:space="preserve">G01</w:t>
            </w:r>
          </w:p>
        </w:tc>
        <w:tc>
          <w:tcPr/>
          <w:p>
            <w:pPr>
              <w:pStyle w:val="Compact"/>
              <w:jc w:val="left"/>
            </w:pPr>
            <w:r>
              <w:t xml:space="preserve">CIP720088 (Achirana-INTA)</w:t>
            </w:r>
          </w:p>
        </w:tc>
        <w:tc>
          <w:tcPr/>
          <w:p>
            <w:pPr>
              <w:pStyle w:val="Compact"/>
            </w:pPr>
          </w:p>
        </w:tc>
        <w:tc>
          <w:tcPr/>
          <w:p>
            <w:pPr>
              <w:pStyle w:val="Compact"/>
              <w:jc w:val="left"/>
            </w:pPr>
            <w:r>
              <w:t xml:space="preserve">Early</w:t>
            </w:r>
          </w:p>
        </w:tc>
        <w:tc>
          <w:tcPr/>
          <w:p>
            <w:pPr>
              <w:pStyle w:val="Compact"/>
            </w:pPr>
          </w:p>
        </w:tc>
        <w:tc>
          <w:tcPr/>
          <w:p>
            <w:pPr>
              <w:pStyle w:val="Compact"/>
              <w:jc w:val="left"/>
            </w:pPr>
            <w:r>
              <w:t xml:space="preserve">19</w:t>
            </w:r>
          </w:p>
        </w:tc>
      </w:tr>
      <w:tr>
        <w:tc>
          <w:tcPr/>
          <w:p>
            <w:pPr>
              <w:pStyle w:val="Compact"/>
              <w:jc w:val="left"/>
            </w:pPr>
            <w:r>
              <w:t xml:space="preserve">G02</w:t>
            </w:r>
          </w:p>
        </w:tc>
        <w:tc>
          <w:tcPr/>
          <w:p>
            <w:pPr>
              <w:pStyle w:val="Compact"/>
              <w:jc w:val="left"/>
            </w:pPr>
            <w:r>
              <w:t xml:space="preserve">CIP392797.22 (UNICA)</w:t>
            </w:r>
          </w:p>
        </w:tc>
        <w:tc>
          <w:tcPr/>
          <w:p>
            <w:pPr>
              <w:pStyle w:val="Compact"/>
              <w:jc w:val="left"/>
            </w:pPr>
            <w:r>
              <w:t xml:space="preserve">Lowland and highland Tropics</w:t>
            </w:r>
          </w:p>
        </w:tc>
        <w:tc>
          <w:tcPr/>
          <w:p>
            <w:pPr>
              <w:pStyle w:val="Compact"/>
              <w:jc w:val="left"/>
            </w:pPr>
            <w:r>
              <w:t xml:space="preserve">Medium</w:t>
            </w:r>
          </w:p>
        </w:tc>
        <w:tc>
          <w:tcPr/>
          <w:p>
            <w:pPr>
              <w:pStyle w:val="Compact"/>
            </w:pPr>
          </w:p>
        </w:tc>
        <w:tc>
          <w:tcPr/>
          <w:p>
            <w:pPr>
              <w:pStyle w:val="Compact"/>
              <w:jc w:val="left"/>
            </w:pPr>
            <w:r>
              <w:t xml:space="preserve">21</w:t>
            </w:r>
          </w:p>
        </w:tc>
      </w:tr>
      <w:tr>
        <w:tc>
          <w:tcPr/>
          <w:p>
            <w:pPr>
              <w:pStyle w:val="Compact"/>
              <w:jc w:val="left"/>
            </w:pPr>
            <w:r>
              <w:t xml:space="preserve">G03</w:t>
            </w:r>
          </w:p>
        </w:tc>
        <w:tc>
          <w:tcPr/>
          <w:p>
            <w:pPr>
              <w:pStyle w:val="Compact"/>
              <w:jc w:val="left"/>
            </w:pPr>
            <w:r>
              <w:t xml:space="preserve">CIP397077.16</w:t>
            </w:r>
          </w:p>
        </w:tc>
        <w:tc>
          <w:tcPr/>
          <w:p>
            <w:pPr>
              <w:pStyle w:val="Compact"/>
              <w:jc w:val="left"/>
            </w:pPr>
            <w:r>
              <w:t xml:space="preserve">Lowland tropics</w:t>
            </w:r>
          </w:p>
        </w:tc>
        <w:tc>
          <w:tcPr/>
          <w:p>
            <w:pPr>
              <w:pStyle w:val="Compact"/>
              <w:jc w:val="left"/>
            </w:pPr>
            <w:r>
              <w:t xml:space="preserve">Medium</w:t>
            </w:r>
          </w:p>
        </w:tc>
        <w:tc>
          <w:tcPr/>
          <w:p>
            <w:pPr>
              <w:pStyle w:val="Compact"/>
            </w:pPr>
          </w:p>
        </w:tc>
        <w:tc>
          <w:tcPr/>
          <w:p>
            <w:pPr>
              <w:pStyle w:val="Compact"/>
              <w:jc w:val="left"/>
            </w:pPr>
            <w:r>
              <w:t xml:space="preserve">20</w:t>
            </w:r>
          </w:p>
        </w:tc>
      </w:tr>
      <w:tr>
        <w:tc>
          <w:tcPr/>
          <w:p>
            <w:pPr>
              <w:pStyle w:val="Compact"/>
              <w:jc w:val="left"/>
            </w:pPr>
            <w:r>
              <w:t xml:space="preserve">G04</w:t>
            </w:r>
          </w:p>
        </w:tc>
        <w:tc>
          <w:tcPr/>
          <w:p>
            <w:pPr>
              <w:pStyle w:val="Compact"/>
              <w:jc w:val="left"/>
            </w:pPr>
            <w:r>
              <w:t xml:space="preserve">CIP398192.213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G05</w:t>
            </w:r>
          </w:p>
        </w:tc>
        <w:tc>
          <w:tcPr/>
          <w:p>
            <w:pPr>
              <w:pStyle w:val="Compact"/>
              <w:jc w:val="left"/>
            </w:pPr>
            <w:r>
              <w:t xml:space="preserve">CIP398180.612</w:t>
            </w:r>
          </w:p>
        </w:tc>
        <w:tc>
          <w:tcPr/>
          <w:p>
            <w:pPr>
              <w:pStyle w:val="Compact"/>
            </w:pPr>
          </w:p>
        </w:tc>
        <w:tc>
          <w:tcPr/>
          <w:p>
            <w:pPr>
              <w:pStyle w:val="Compact"/>
              <w:jc w:val="left"/>
            </w:pPr>
            <w:r>
              <w:t xml:space="preserve">Medium</w:t>
            </w:r>
          </w:p>
        </w:tc>
        <w:tc>
          <w:tcPr/>
          <w:p>
            <w:pPr>
              <w:pStyle w:val="Compact"/>
            </w:pPr>
          </w:p>
        </w:tc>
        <w:tc>
          <w:tcPr/>
          <w:p>
            <w:pPr>
              <w:pStyle w:val="Compact"/>
            </w:pPr>
          </w:p>
        </w:tc>
      </w:tr>
      <w:tr>
        <w:tc>
          <w:tcPr/>
          <w:p>
            <w:pPr>
              <w:pStyle w:val="Compact"/>
              <w:jc w:val="left"/>
            </w:pPr>
            <w:r>
              <w:t xml:space="preserve">G06</w:t>
            </w:r>
          </w:p>
        </w:tc>
        <w:tc>
          <w:tcPr/>
          <w:p>
            <w:pPr>
              <w:pStyle w:val="Compact"/>
              <w:jc w:val="left"/>
            </w:pPr>
            <w:r>
              <w:t xml:space="preserve">CIP398208.704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24</w:t>
            </w:r>
          </w:p>
        </w:tc>
      </w:tr>
      <w:tr>
        <w:tc>
          <w:tcPr/>
          <w:p>
            <w:pPr>
              <w:pStyle w:val="Compact"/>
              <w:jc w:val="left"/>
            </w:pPr>
            <w:r>
              <w:t xml:space="preserve">G07</w:t>
            </w:r>
          </w:p>
        </w:tc>
        <w:tc>
          <w:tcPr/>
          <w:p>
            <w:pPr>
              <w:pStyle w:val="Compact"/>
              <w:jc w:val="left"/>
            </w:pPr>
            <w:r>
              <w:t xml:space="preserve">CIP398098.119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26</w:t>
            </w:r>
          </w:p>
        </w:tc>
      </w:tr>
      <w:tr>
        <w:tc>
          <w:tcPr/>
          <w:p>
            <w:pPr>
              <w:pStyle w:val="Compact"/>
              <w:jc w:val="left"/>
            </w:pPr>
            <w:r>
              <w:t xml:space="preserve">G08</w:t>
            </w:r>
          </w:p>
        </w:tc>
        <w:tc>
          <w:tcPr/>
          <w:p>
            <w:pPr>
              <w:pStyle w:val="Compact"/>
              <w:jc w:val="left"/>
            </w:pPr>
            <w:r>
              <w:t xml:space="preserve">CIP398190.89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G09</w:t>
            </w:r>
          </w:p>
        </w:tc>
        <w:tc>
          <w:tcPr/>
          <w:p>
            <w:pPr>
              <w:pStyle w:val="Compact"/>
              <w:jc w:val="left"/>
            </w:pPr>
            <w:r>
              <w:t xml:space="preserve">CIP398192.592</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G10</w:t>
            </w:r>
          </w:p>
        </w:tc>
        <w:tc>
          <w:tcPr/>
          <w:p>
            <w:pPr>
              <w:pStyle w:val="Compact"/>
              <w:jc w:val="left"/>
            </w:pPr>
            <w:r>
              <w:t xml:space="preserve">CIP398201.510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G11</w:t>
            </w:r>
          </w:p>
        </w:tc>
        <w:tc>
          <w:tcPr/>
          <w:p>
            <w:pPr>
              <w:pStyle w:val="Compact"/>
              <w:jc w:val="left"/>
            </w:pPr>
            <w:r>
              <w:t xml:space="preserve">CIP398203.244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G12</w:t>
            </w:r>
          </w:p>
        </w:tc>
        <w:tc>
          <w:tcPr/>
          <w:p>
            <w:pPr>
              <w:pStyle w:val="Compact"/>
              <w:jc w:val="left"/>
            </w:pPr>
            <w:r>
              <w:t xml:space="preserve">CIP398203.5</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13</w:t>
            </w:r>
          </w:p>
        </w:tc>
      </w:tr>
      <w:tr>
        <w:tc>
          <w:tcPr/>
          <w:p>
            <w:pPr>
              <w:pStyle w:val="Compact"/>
              <w:jc w:val="left"/>
            </w:pPr>
            <w:r>
              <w:t xml:space="preserve">G13</w:t>
            </w:r>
          </w:p>
        </w:tc>
        <w:tc>
          <w:tcPr/>
          <w:p>
            <w:pPr>
              <w:pStyle w:val="Compact"/>
              <w:jc w:val="left"/>
            </w:pPr>
            <w:r>
              <w:t xml:space="preserve">CIP398208.219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G14</w:t>
            </w:r>
          </w:p>
        </w:tc>
        <w:tc>
          <w:tcPr/>
          <w:p>
            <w:pPr>
              <w:pStyle w:val="Compact"/>
              <w:jc w:val="left"/>
            </w:pPr>
            <w:r>
              <w:t xml:space="preserve">CIP398208.33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G15</w:t>
            </w:r>
          </w:p>
        </w:tc>
        <w:tc>
          <w:tcPr/>
          <w:p>
            <w:pPr>
              <w:pStyle w:val="Compact"/>
              <w:jc w:val="left"/>
            </w:pPr>
            <w:r>
              <w:t xml:space="preserve">CIP398208.620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bl>
    <w:bookmarkEnd w:id="38"/>
    <w:bookmarkEnd w:id="39"/>
    <w:bookmarkStart w:id="46" w:name="Xdfe51db0f261578c9335cf99583c83e91bf6df7"/>
    <w:p>
      <w:pPr>
        <w:pStyle w:val="Heading2"/>
      </w:pPr>
      <w:r>
        <w:t xml:space="preserve">Experimental design and irrigation treatments</w:t>
      </w:r>
    </w:p>
    <w:p>
      <w:pPr>
        <w:pStyle w:val="FirstParagraph"/>
      </w:pPr>
      <w:r>
        <w:t xml:space="preserve">The experiment was carried out in a complete randomized block design with two irrigation treatments with five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yperlink"/>
          </w:rPr>
          <w:t xml:space="preserve">(Ray &amp; Sinclair, 1998)</w:t>
        </w:r>
      </w:hyperlink>
      <w:r>
        <w:t xml:space="preserve">. At 35 dap, before the stress initiation, the pots were watered to soaking and then allowed to drain overnight</w:t>
      </w:r>
      <w:r>
        <w:t xml:space="preserve"> </w:t>
      </w:r>
      <w:hyperlink r:id="rId41">
        <w:r>
          <w:rPr>
            <w:rStyle w:val="Hyperlink"/>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 down parameters for treatment application (Figure 1B). The WD treatment started at 45 dap which coincides with the beginning of tuber initiation.</w:t>
      </w:r>
    </w:p>
    <w:p>
      <w:pPr>
        <w:pStyle w:val="CaptionedFigure"/>
      </w:pPr>
      <w:bookmarkStart w:id="45" w:name="fig-id.olts8je85fk5"/>
      <w:r>
        <w:drawing>
          <wp:inline>
            <wp:extent cx="5943600" cy="4953967"/>
            <wp:effectExtent b="0" l="0" r="0" t="0"/>
            <wp:docPr descr="Figure 1: (A) Fraction of transpirable soil water (FTSW). (B) Daily transpiration in 15 potato genotypes under well-watered (WW) and water deficit (WD) conditions." title="" id="43" name="Picture"/>
            <a:graphic>
              <a:graphicData uri="http://schemas.openxmlformats.org/drawingml/2006/picture">
                <pic:pic>
                  <pic:nvPicPr>
                    <pic:cNvPr descr="docs/img_0.png" id="44" name="Picture"/>
                    <pic:cNvPicPr>
                      <a:picLocks noChangeArrowheads="1" noChangeAspect="1"/>
                    </pic:cNvPicPr>
                  </pic:nvPicPr>
                  <pic:blipFill>
                    <a:blip r:embed="rId42"/>
                    <a:stretch>
                      <a:fillRect/>
                    </a:stretch>
                  </pic:blipFill>
                  <pic:spPr bwMode="auto">
                    <a:xfrm>
                      <a:off x="0" y="0"/>
                      <a:ext cx="5943600" cy="4953967"/>
                    </a:xfrm>
                    <a:prstGeom prst="rect">
                      <a:avLst/>
                    </a:prstGeom>
                    <a:noFill/>
                    <a:ln w="9525">
                      <a:noFill/>
                      <a:headEnd/>
                      <a:tailEnd/>
                    </a:ln>
                  </pic:spPr>
                </pic:pic>
              </a:graphicData>
            </a:graphic>
          </wp:inline>
        </w:drawing>
      </w:r>
      <w:bookmarkEnd w:id="45"/>
    </w:p>
    <w:p>
      <w:pPr>
        <w:pStyle w:val="ImageCaption"/>
      </w:pPr>
      <w:r>
        <w:t xml:space="preserve">Figure 1: (A) Fraction of transpirable soil water (FTSW). (B) Daily transpiration in 15 potato genotypes under well-watered (WW) and water deficit (WD) conditions.</w:t>
      </w:r>
    </w:p>
    <w:bookmarkEnd w:id="46"/>
    <w:bookmarkStart w:id="49" w:name="transpiration-rate"/>
    <w:p>
      <w:pPr>
        <w:pStyle w:val="Heading2"/>
      </w:pPr>
      <w:r>
        <w:t xml:space="preserve">Transpiration rate</w:t>
      </w:r>
    </w:p>
    <w:p>
      <w:pPr>
        <w:numPr>
          <w:ilvl w:val="0"/>
          <w:numId w:val="1002"/>
        </w:numPr>
        <w:pStyle w:val="Compact"/>
      </w:pPr>
      <w:r>
        <w:t xml:space="preserve">formulas not between the lines of the paragraph and describe the units of measurement of each variable</w:t>
      </w:r>
    </w:p>
    <w:p>
      <w:pPr>
        <w:pStyle w:val="FirstParagraph"/>
      </w:pPr>
      <w:r>
        <w:t xml:space="preserve">The transpiration rate of each plant was calculated by the procedure previously described by</w:t>
      </w:r>
      <w:r>
        <w:t xml:space="preserve"> </w:t>
      </w:r>
      <w:hyperlink r:id="rId47">
        <w:r>
          <w:rPr>
            <w:rStyle w:val="Hyperlink"/>
          </w:rPr>
          <w:t xml:space="preserve">(Ray &amp; Sinclair, 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pPr>
        <w:pStyle w:val="BodyText"/>
      </w:pPr>
      <m:oMathPara>
        <m:oMathParaPr>
          <m:jc m:val="center"/>
        </m:oMathParaP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m:oMathPara>
    </w:p>
    <w:p>
      <w:pPr>
        <w:pStyle w:val="FirstParagraph"/>
      </w:pPr>
      <w:r>
        <w:t xml:space="preserve">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8">
        <w:r>
          <w:rPr>
            <w:rStyle w:val="Hyperlink"/>
          </w:rPr>
          <w:t xml:space="preserve">(T. Sinclair &amp;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p>
    <w:p>
      <w:pPr>
        <w:pStyle w:val="BodyText"/>
      </w:pPr>
      <m:oMathPara>
        <m:oMathParaPr>
          <m:jc m:val="center"/>
        </m:oMathParaP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m:oMathPara>
    </w:p>
    <w:p>
      <w:pPr>
        <w:pStyle w:val="FirstParagraph"/>
      </w:pPr>
      <w:r>
        <w:t xml:space="preserve">The inter-diary transpiration rate for each pot on average was 275.69 mL for WW and 72.51 mL for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9"/>
    <w:bookmarkStart w:id="52" w:name="agro-physiological-traits"/>
    <w:p>
      <w:pPr>
        <w:pStyle w:val="Heading2"/>
      </w:pPr>
      <w:r>
        <w:t xml:space="preserve">Agro-physiological traits</w:t>
      </w:r>
    </w:p>
    <w:p>
      <w:pPr>
        <w:pStyle w:val="FirstParagraph"/>
      </w:pPr>
      <w:r>
        <w:rPr>
          <w:bCs/>
          <w:b/>
        </w:rPr>
        <w:t xml:space="preserve">Water Use Efficiency:</w:t>
      </w:r>
      <w:r>
        <w:t xml:space="preserve"> </w:t>
      </w:r>
      <w:r>
        <w:t xml:space="preserve">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pPr>
        <w:pStyle w:val="BodyText"/>
      </w:pPr>
      <w:r>
        <w:rPr>
          <w:bCs/>
          <w:b/>
        </w:rPr>
        <w:t xml:space="preserve">Relative Water content:</w:t>
      </w:r>
      <w:r>
        <w:t xml:space="preserve"> </w:t>
      </w:r>
      <w:r>
        <w:t xml:space="preserve">Relative water content (RWC; %) was determined by weighing the fresh weight (FW)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w:t>
      </w:r>
      <w:r>
        <w:t xml:space="preserve"> </w:t>
      </w:r>
      <w:hyperlink r:id="rId50">
        <w:r>
          <w:rPr>
            <w:rStyle w:val="Hyperlink"/>
          </w:rPr>
          <w:t xml:space="preserve">(Vasquez-Robinet et al., 2008)</w:t>
        </w:r>
      </w:hyperlink>
      <w:r>
        <w:t xml:space="preserve">:</w:t>
      </w:r>
    </w:p>
    <w:p>
      <w:pPr>
        <w:pStyle w:val="BodyText"/>
      </w:pPr>
      <m:oMathPara>
        <m:oMathParaPr>
          <m:jc m:val="center"/>
        </m:oMathParaP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m:oMathPara>
    </w:p>
    <w:p>
      <w:pPr>
        <w:pStyle w:val="FirstParagraph"/>
      </w:pPr>
      <w:r>
        <w:rPr>
          <w:bCs/>
          <w:b/>
        </w:rPr>
        <w:t xml:space="preserve">Leaf Osmotic Potential:</w:t>
      </w:r>
      <w:r>
        <w:t xml:space="preserve"> </w:t>
      </w: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pPr>
        <w:pStyle w:val="BodyText"/>
      </w:pPr>
      <w:r>
        <w:rPr>
          <w:bCs/>
          <w:b/>
        </w:rPr>
        <w:t xml:space="preserve">Relative chlorophyll content (SPAD):</w:t>
      </w:r>
      <w:r>
        <w:t xml:space="preserve"> </w:t>
      </w: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pPr>
        <w:pStyle w:val="BodyText"/>
      </w:pPr>
      <w:r>
        <w:rPr>
          <w:bCs/>
          <w:b/>
        </w:rPr>
        <w:t xml:space="preserve">Morphological traits:</w:t>
      </w:r>
      <w:r>
        <w:t xml:space="preserve"> </w:t>
      </w: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yperlink"/>
          </w:rPr>
          <w:t xml:space="preserve">(Zárate-Salazar et al., 2018)</w:t>
        </w:r>
      </w:hyperlink>
      <w:r>
        <w:t xml:space="preserve">.</w:t>
      </w:r>
    </w:p>
    <w:p>
      <w:pPr>
        <w:pStyle w:val="BodyText"/>
      </w:pPr>
      <w:r>
        <w:rPr>
          <w:bCs/>
          <w:b/>
        </w:rPr>
        <w:t xml:space="preserve">Post-harvest evaluations:</w:t>
      </w:r>
      <w:r>
        <w:t xml:space="preserve"> </w:t>
      </w:r>
      <w:r>
        <w:t xml:space="preserve">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pPr>
        <w:pStyle w:val="BodyText"/>
      </w:pPr>
      <w:r>
        <w:rPr>
          <w:bCs/>
          <w:b/>
        </w:rPr>
        <w:t xml:space="preserve">Indices:</w:t>
      </w:r>
      <w:r>
        <w:t xml:space="preserve"> </w:t>
      </w:r>
      <w:r>
        <w:t xml:space="preserve">Harvest index (HI) was calculated as the ratio of TDW related to the TDB and the specific leaf area (SLA; cm</w:t>
      </w:r>
      <w:r>
        <w:rPr>
          <w:vertAlign w:val="superscript"/>
        </w:rPr>
        <w:t xml:space="preserve">2</w:t>
      </w:r>
      <w:r>
        <w:t xml:space="preserve">/g) was calculated by dividing LFA by LDW. Relative chlorophyll content (RCC) was calculated between the relation of SPAD at 83 dap and LFA.</w:t>
      </w:r>
    </w:p>
    <w:bookmarkEnd w:id="52"/>
    <w:bookmarkStart w:id="57" w:name="statistical-analysis"/>
    <w:p>
      <w:pPr>
        <w:pStyle w:val="Heading2"/>
      </w:pPr>
      <w:r>
        <w:t xml:space="preserve">Statistical analysis</w:t>
      </w:r>
    </w:p>
    <w:p>
      <w:pPr>
        <w:pStyle w:val="FirstParagraph"/>
      </w:pPr>
      <w:r>
        <w:t xml:space="preserve">The statistical analysis was performed with the software R (R Core Team, 2020).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3">
        <w:r>
          <w:rPr>
            <w:rStyle w:val="Hyperlink"/>
          </w:rPr>
          <w:t xml:space="preserve">(Lozano-Isla et al., 2019)</w:t>
        </w:r>
      </w:hyperlink>
      <w:r>
        <w:t xml:space="preserve">. The principal components analysis (PCA) and graphics were used in the FactoMineR package</w:t>
      </w:r>
      <w:r>
        <w:t xml:space="preserve"> </w:t>
      </w:r>
      <w:hyperlink r:id="rId54">
        <w:r>
          <w:rPr>
            <w:rStyle w:val="Hyperlink"/>
          </w:rPr>
          <w:t xml:space="preserve">(Lê et al., 2008)</w:t>
        </w:r>
      </w:hyperlink>
      <w:r>
        <w:t xml:space="preserve">. The correlation graphic with clusters analysis using Euclidean distances (ED) was performed using the heatmaply packages</w:t>
      </w:r>
      <w:r>
        <w:t xml:space="preserve"> </w:t>
      </w:r>
      <w:hyperlink r:id="rId55">
        <w:r>
          <w:rPr>
            <w:rStyle w:val="Hyperlink"/>
          </w:rPr>
          <w:t xml:space="preserve">(Galili et al., 2018)</w:t>
        </w:r>
      </w:hyperlink>
      <w:r>
        <w:t xml:space="preserve">. The broad-sense heritability was estimated using linear mixed models with fixed and random effects implemented in the H2cal function in the inti package</w:t>
      </w:r>
      <w:r>
        <w:t xml:space="preserve"> </w:t>
      </w:r>
      <w:hyperlink r:id="rId56">
        <w:r>
          <w:rPr>
            <w:rStyle w:val="Hyperlink"/>
          </w:rPr>
          <w:t xml:space="preserve">(Lozano-Isla, 2020)</w:t>
        </w:r>
      </w:hyperlink>
      <w:r>
        <w:t xml:space="preserve">.</w:t>
      </w:r>
    </w:p>
    <w:bookmarkEnd w:id="57"/>
    <w:bookmarkEnd w:id="58"/>
    <w:bookmarkStart w:id="76" w:name="results"/>
    <w:p>
      <w:pPr>
        <w:pStyle w:val="Heading1"/>
      </w:pPr>
      <w:r>
        <w:t xml:space="preserve">Results</w:t>
      </w:r>
    </w:p>
    <w:bookmarkStart w:id="60" w:name="agro-physiological-traits-1"/>
    <w:p>
      <w:pPr>
        <w:pStyle w:val="Heading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of HGT, LDW, SDW, and LFA decreased significantly (p&lt;0.01) under WD (Table 2) (Aliche et al., 2020; Deblonde and Ledent, 2001).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(p&lt;0.001) and was able to discriminate genotypes under WD and WW treatments (Figure 1C). The genotypes with best performance for RCC were CIP720088 (Achirana-INTA), CIP398208.620, CIP398208.704, CIP398201.510, CIP392797.22 (UNICA) and CIP397077.16 (Figure 1C, Table S1).</w:t>
      </w:r>
    </w:p>
    <w:bookmarkStart w:id="59" w:name="tbl-id.6z822g4xoxxt"/>
    <w:p>
      <w:pPr>
        <w:pStyle w:val="TableCaption"/>
      </w:pPr>
      <w:r>
        <w:t xml:space="preserve">Table 2: Treatment comparison for 17 variables between Well-Watered (WW) and Water Deficit (WD) in 15 potato genotypes. The values for different variables are represented by the mean ± standard deviation with the significance under the t-test with their respective p-values.</w:t>
      </w:r>
    </w:p>
    <w:tbl>
      <w:tblPr>
        <w:tblStyle w:val="Table"/>
        <w:tblW w:type="pct" w:w="5000"/>
        <w:tblLook w:firstRow="1" w:lastRow="0" w:firstColumn="0" w:lastColumn="0" w:noHBand="0" w:noVBand="0" w:val="0020"/>
        <w:tblCaption w:val="Table 2: Treatment comparison for 17 variables between Well-Watered (WW) and Water Deficit (WD) in 15 potato genotypes. The values for different variables are represented by the mean ± standard deviation with the significance under the t-test with their respective p-values."/>
      </w:tblPr>
      <w:tblGrid>
        <w:gridCol w:w="1968"/>
        <w:gridCol w:w="1968"/>
        <w:gridCol w:w="1968"/>
        <w:gridCol w:w="2013"/>
      </w:tblGrid>
      <w:tr>
        <w:trPr>
          <w:tblHeader w:val="true"/>
        </w:trPr>
        <w:tc>
          <w:tcPr/>
          <w:p>
            <w:pPr>
              <w:pStyle w:val="Compact"/>
              <w:jc w:val="left"/>
            </w:pPr>
            <w:r>
              <w:rPr>
                <w:bCs/>
                <w:b/>
              </w:rPr>
              <w:t xml:space="preserve">Variable</w:t>
            </w:r>
          </w:p>
        </w:tc>
        <w:tc>
          <w:tcPr/>
          <w:p>
            <w:pPr>
              <w:pStyle w:val="Compact"/>
              <w:jc w:val="left"/>
            </w:pPr>
            <w:r>
              <w:rPr>
                <w:bCs/>
                <w:b/>
              </w:rPr>
              <w:t xml:space="preserve">Water deficit</w:t>
            </w:r>
          </w:p>
        </w:tc>
        <w:tc>
          <w:tcPr/>
          <w:p>
            <w:pPr>
              <w:pStyle w:val="Compact"/>
              <w:jc w:val="left"/>
            </w:pPr>
            <w:r>
              <w:rPr>
                <w:bCs/>
                <w:b/>
              </w:rPr>
              <w:t xml:space="preserve">Well-Watered</w:t>
            </w:r>
          </w:p>
        </w:tc>
        <w:tc>
          <w:tcPr/>
          <w:p>
            <w:pPr>
              <w:pStyle w:val="Compact"/>
              <w:jc w:val="left"/>
            </w:pPr>
            <w:r>
              <w:rPr>
                <w:bCs/>
                <w:b/>
              </w:rPr>
              <w:t xml:space="preserve">p-value</w:t>
            </w:r>
          </w:p>
        </w:tc>
      </w:tr>
      <w:tr>
        <w:tc>
          <w:tcPr/>
          <w:p>
            <w:pPr>
              <w:pStyle w:val="Compact"/>
              <w:jc w:val="left"/>
            </w:pPr>
            <w:r>
              <w:t xml:space="preserve">Chlorophyll concentration (SPAD) at 29 dap</w:t>
            </w:r>
          </w:p>
        </w:tc>
        <w:tc>
          <w:tcPr/>
          <w:p>
            <w:pPr>
              <w:pStyle w:val="Compact"/>
              <w:jc w:val="left"/>
            </w:pPr>
            <w:r>
              <w:t xml:space="preserve">56.1 1 4.9</w:t>
            </w:r>
          </w:p>
        </w:tc>
        <w:tc>
          <w:tcPr/>
          <w:p>
            <w:pPr>
              <w:pStyle w:val="Compact"/>
              <w:jc w:val="left"/>
            </w:pPr>
            <w:r>
              <w:t xml:space="preserve">56.7 1 5.0</w:t>
            </w:r>
          </w:p>
        </w:tc>
        <w:tc>
          <w:tcPr/>
          <w:p>
            <w:pPr>
              <w:pStyle w:val="Compact"/>
              <w:jc w:val="left"/>
            </w:pPr>
            <w:r>
              <w:t xml:space="preserve">0.4</w:t>
            </w:r>
          </w:p>
        </w:tc>
      </w:tr>
      <w:tr>
        <w:tc>
          <w:tcPr/>
          <w:p>
            <w:pPr>
              <w:pStyle w:val="Compact"/>
              <w:jc w:val="left"/>
            </w:pPr>
            <w:r>
              <w:t xml:space="preserve">Chlorophyll concentration (SPAD) at 59 dap</w:t>
            </w:r>
          </w:p>
        </w:tc>
        <w:tc>
          <w:tcPr/>
          <w:p>
            <w:pPr>
              <w:pStyle w:val="Compact"/>
              <w:jc w:val="left"/>
            </w:pPr>
            <w:r>
              <w:t xml:space="preserve">47.9 1 4.4</w:t>
            </w:r>
          </w:p>
        </w:tc>
        <w:tc>
          <w:tcPr/>
          <w:p>
            <w:pPr>
              <w:pStyle w:val="Compact"/>
              <w:jc w:val="left"/>
            </w:pPr>
            <w:r>
              <w:t xml:space="preserve">45.8 1 3.7</w:t>
            </w:r>
          </w:p>
        </w:tc>
        <w:tc>
          <w:tcPr/>
          <w:p>
            <w:pPr>
              <w:pStyle w:val="Compact"/>
              <w:jc w:val="left"/>
            </w:pPr>
            <w:r>
              <w:t xml:space="preserve">0.002</w:t>
            </w:r>
          </w:p>
        </w:tc>
      </w:tr>
      <w:tr>
        <w:tc>
          <w:tcPr/>
          <w:p>
            <w:pPr>
              <w:pStyle w:val="Compact"/>
              <w:jc w:val="left"/>
            </w:pPr>
            <w:r>
              <w:t xml:space="preserve">Chlorophyll concentration (SPAD) at 76 dap</w:t>
            </w:r>
          </w:p>
        </w:tc>
        <w:tc>
          <w:tcPr/>
          <w:p>
            <w:pPr>
              <w:pStyle w:val="Compact"/>
              <w:jc w:val="left"/>
            </w:pPr>
            <w:r>
              <w:t xml:space="preserve">46.0 1 5.4</w:t>
            </w:r>
          </w:p>
        </w:tc>
        <w:tc>
          <w:tcPr/>
          <w:p>
            <w:pPr>
              <w:pStyle w:val="Compact"/>
              <w:jc w:val="left"/>
            </w:pPr>
            <w:r>
              <w:t xml:space="preserve">41.7 1 3.6</w:t>
            </w:r>
          </w:p>
        </w:tc>
        <w:tc>
          <w:tcPr/>
          <w:p>
            <w:pPr>
              <w:pStyle w:val="Compact"/>
              <w:jc w:val="left"/>
            </w:pPr>
            <w:r>
              <w:t xml:space="preserve">&lt;0.001</w:t>
            </w:r>
          </w:p>
        </w:tc>
      </w:tr>
      <w:tr>
        <w:tc>
          <w:tcPr/>
          <w:p>
            <w:pPr>
              <w:pStyle w:val="Compact"/>
              <w:jc w:val="left"/>
            </w:pPr>
            <w:r>
              <w:t xml:space="preserve">Chlorophyll concentration (SPAD) at 83 dap</w:t>
            </w:r>
          </w:p>
        </w:tc>
        <w:tc>
          <w:tcPr/>
          <w:p>
            <w:pPr>
              <w:pStyle w:val="Compact"/>
              <w:jc w:val="left"/>
            </w:pPr>
            <w:r>
              <w:t xml:space="preserve">44.1 1 5.9</w:t>
            </w:r>
          </w:p>
        </w:tc>
        <w:tc>
          <w:tcPr/>
          <w:p>
            <w:pPr>
              <w:pStyle w:val="Compact"/>
              <w:jc w:val="left"/>
            </w:pPr>
            <w:r>
              <w:t xml:space="preserve">39.7 1 4.5</w:t>
            </w:r>
          </w:p>
        </w:tc>
        <w:tc>
          <w:tcPr/>
          <w:p>
            <w:pPr>
              <w:pStyle w:val="Compact"/>
              <w:jc w:val="left"/>
            </w:pPr>
            <w:r>
              <w:t xml:space="preserve">&lt;0.001</w:t>
            </w:r>
          </w:p>
        </w:tc>
      </w:tr>
      <w:tr>
        <w:tc>
          <w:tcPr/>
          <w:p>
            <w:pPr>
              <w:pStyle w:val="Compact"/>
              <w:jc w:val="left"/>
            </w:pPr>
            <w:r>
              <w:t xml:space="preserve">Plant height (cm)</w:t>
            </w:r>
          </w:p>
        </w:tc>
        <w:tc>
          <w:tcPr/>
          <w:p>
            <w:pPr>
              <w:pStyle w:val="Compact"/>
              <w:jc w:val="left"/>
            </w:pPr>
            <w:r>
              <w:t xml:space="preserve">132 1 15</w:t>
            </w:r>
          </w:p>
        </w:tc>
        <w:tc>
          <w:tcPr/>
          <w:p>
            <w:pPr>
              <w:pStyle w:val="Compact"/>
              <w:jc w:val="left"/>
            </w:pPr>
            <w:r>
              <w:t xml:space="preserve">150 1 16</w:t>
            </w:r>
          </w:p>
        </w:tc>
        <w:tc>
          <w:tcPr/>
          <w:p>
            <w:pPr>
              <w:pStyle w:val="Compact"/>
              <w:jc w:val="left"/>
            </w:pPr>
            <w:r>
              <w:t xml:space="preserve">&lt;0.001</w:t>
            </w:r>
          </w:p>
        </w:tc>
      </w:tr>
      <w:tr>
        <w:tc>
          <w:tcPr/>
          <w:p>
            <w:pPr>
              <w:pStyle w:val="Compact"/>
              <w:jc w:val="left"/>
            </w:pPr>
            <w:r>
              <w:t xml:space="preserve">Relative water content (%)</w:t>
            </w:r>
          </w:p>
        </w:tc>
        <w:tc>
          <w:tcPr/>
          <w:p>
            <w:pPr>
              <w:pStyle w:val="Compact"/>
              <w:jc w:val="left"/>
            </w:pPr>
            <w:r>
              <w:t xml:space="preserve">58 1 6</w:t>
            </w:r>
          </w:p>
        </w:tc>
        <w:tc>
          <w:tcPr/>
          <w:p>
            <w:pPr>
              <w:pStyle w:val="Compact"/>
              <w:jc w:val="left"/>
            </w:pPr>
            <w:r>
              <w:t xml:space="preserve">69 1 5</w:t>
            </w:r>
          </w:p>
        </w:tc>
        <w:tc>
          <w:tcPr/>
          <w:p>
            <w:pPr>
              <w:pStyle w:val="Compact"/>
              <w:jc w:val="left"/>
            </w:pPr>
            <w:r>
              <w:t xml:space="preserve">&lt;0.001</w:t>
            </w:r>
          </w:p>
        </w:tc>
      </w:tr>
      <w:tr>
        <w:tc>
          <w:tcPr/>
          <w:p>
            <w:pPr>
              <w:pStyle w:val="Compact"/>
              <w:jc w:val="left"/>
            </w:pPr>
            <w:r>
              <w:t xml:space="preserve">Leaf osmotic potential (MPa)</w:t>
            </w:r>
          </w:p>
        </w:tc>
        <w:tc>
          <w:tcPr/>
          <w:p>
            <w:pPr>
              <w:pStyle w:val="Compact"/>
              <w:jc w:val="left"/>
            </w:pPr>
            <w:r>
              <w:t xml:space="preserve">-2.84 1 0.30</w:t>
            </w:r>
          </w:p>
        </w:tc>
        <w:tc>
          <w:tcPr/>
          <w:p>
            <w:pPr>
              <w:pStyle w:val="Compact"/>
              <w:jc w:val="left"/>
            </w:pPr>
            <w:r>
              <w:t xml:space="preserve">-2.25 1 0.29</w:t>
            </w:r>
          </w:p>
        </w:tc>
        <w:tc>
          <w:tcPr/>
          <w:p>
            <w:pPr>
              <w:pStyle w:val="Compact"/>
              <w:jc w:val="left"/>
            </w:pPr>
            <w:r>
              <w:t xml:space="preserve">&lt;0.001</w:t>
            </w:r>
          </w:p>
        </w:tc>
      </w:tr>
      <w:tr>
        <w:tc>
          <w:tcPr/>
          <w:p>
            <w:pPr>
              <w:pStyle w:val="Compact"/>
              <w:jc w:val="left"/>
            </w:pPr>
            <w:r>
              <w:t xml:space="preserve">Leaf dry weight (g)</w:t>
            </w:r>
          </w:p>
        </w:tc>
        <w:tc>
          <w:tcPr/>
          <w:p>
            <w:pPr>
              <w:pStyle w:val="Compact"/>
              <w:jc w:val="left"/>
            </w:pPr>
            <w:r>
              <w:t xml:space="preserve">12.0 1 3.7</w:t>
            </w:r>
          </w:p>
        </w:tc>
        <w:tc>
          <w:tcPr/>
          <w:p>
            <w:pPr>
              <w:pStyle w:val="Compact"/>
              <w:jc w:val="left"/>
            </w:pPr>
            <w:r>
              <w:t xml:space="preserve">17.3 1 5.5</w:t>
            </w:r>
          </w:p>
        </w:tc>
        <w:tc>
          <w:tcPr/>
          <w:p>
            <w:pPr>
              <w:pStyle w:val="Compact"/>
              <w:jc w:val="left"/>
            </w:pPr>
            <w:r>
              <w:t xml:space="preserve">&lt;0.001</w:t>
            </w:r>
          </w:p>
        </w:tc>
      </w:tr>
      <w:tr>
        <w:tc>
          <w:tcPr/>
          <w:p>
            <w:pPr>
              <w:pStyle w:val="Compact"/>
              <w:jc w:val="left"/>
            </w:pPr>
            <w:r>
              <w:t xml:space="preserve">Stem dry weight (g)</w:t>
            </w:r>
          </w:p>
        </w:tc>
        <w:tc>
          <w:tcPr/>
          <w:p>
            <w:pPr>
              <w:pStyle w:val="Compact"/>
              <w:jc w:val="left"/>
            </w:pPr>
            <w:r>
              <w:t xml:space="preserve">11.6 1 9.1</w:t>
            </w:r>
          </w:p>
        </w:tc>
        <w:tc>
          <w:tcPr/>
          <w:p>
            <w:pPr>
              <w:pStyle w:val="Compact"/>
              <w:jc w:val="left"/>
            </w:pPr>
            <w:r>
              <w:t xml:space="preserve">14.5 1 6.1</w:t>
            </w:r>
          </w:p>
        </w:tc>
        <w:tc>
          <w:tcPr/>
          <w:p>
            <w:pPr>
              <w:pStyle w:val="Compact"/>
              <w:jc w:val="left"/>
            </w:pPr>
            <w:r>
              <w:t xml:space="preserve">&lt;0.001</w:t>
            </w:r>
          </w:p>
        </w:tc>
      </w:tr>
      <w:tr>
        <w:tc>
          <w:tcPr/>
          <w:p>
            <w:pPr>
              <w:pStyle w:val="Compact"/>
              <w:jc w:val="left"/>
            </w:pPr>
            <w:r>
              <w:t xml:space="preserve">Root dry weight (g)</w:t>
            </w:r>
          </w:p>
        </w:tc>
        <w:tc>
          <w:tcPr/>
          <w:p>
            <w:pPr>
              <w:pStyle w:val="Compact"/>
              <w:jc w:val="left"/>
            </w:pPr>
            <w:r>
              <w:t xml:space="preserve">3.67 1 1.94</w:t>
            </w:r>
          </w:p>
        </w:tc>
        <w:tc>
          <w:tcPr/>
          <w:p>
            <w:pPr>
              <w:pStyle w:val="Compact"/>
              <w:jc w:val="left"/>
            </w:pPr>
            <w:r>
              <w:t xml:space="preserve">3.50 1 1.96</w:t>
            </w:r>
          </w:p>
        </w:tc>
        <w:tc>
          <w:tcPr/>
          <w:p>
            <w:pPr>
              <w:pStyle w:val="Compact"/>
              <w:jc w:val="left"/>
            </w:pPr>
            <w:r>
              <w:t xml:space="preserve">0.6</w:t>
            </w:r>
          </w:p>
        </w:tc>
      </w:tr>
      <w:tr>
        <w:tc>
          <w:tcPr/>
          <w:p>
            <w:pPr>
              <w:pStyle w:val="Compact"/>
              <w:jc w:val="left"/>
            </w:pPr>
            <w:r>
              <w:t xml:space="preserve">Tuber dry weight (g)</w:t>
            </w:r>
          </w:p>
        </w:tc>
        <w:tc>
          <w:tcPr/>
          <w:p>
            <w:pPr>
              <w:pStyle w:val="Compact"/>
              <w:jc w:val="left"/>
            </w:pPr>
            <w:r>
              <w:t xml:space="preserve">24 1 11</w:t>
            </w:r>
          </w:p>
        </w:tc>
        <w:tc>
          <w:tcPr/>
          <w:p>
            <w:pPr>
              <w:pStyle w:val="Compact"/>
              <w:jc w:val="left"/>
            </w:pPr>
            <w:r>
              <w:t xml:space="preserve">40 1 19</w:t>
            </w:r>
          </w:p>
        </w:tc>
        <w:tc>
          <w:tcPr/>
          <w:p>
            <w:pPr>
              <w:pStyle w:val="Compact"/>
              <w:jc w:val="left"/>
            </w:pPr>
            <w:r>
              <w:t xml:space="preserve">&lt;0.001</w:t>
            </w:r>
          </w:p>
        </w:tc>
      </w:tr>
      <w:tr>
        <w:tc>
          <w:tcPr/>
          <w:p>
            <w:pPr>
              <w:pStyle w:val="Compact"/>
              <w:jc w:val="left"/>
            </w:pPr>
            <w:r>
              <w:t xml:space="preserve">Tuber number (N°)</w:t>
            </w:r>
          </w:p>
        </w:tc>
        <w:tc>
          <w:tcPr/>
          <w:p>
            <w:pPr>
              <w:pStyle w:val="Compact"/>
              <w:jc w:val="left"/>
            </w:pPr>
            <w:r>
              <w:t xml:space="preserve">12.0 1 6.2</w:t>
            </w:r>
          </w:p>
        </w:tc>
        <w:tc>
          <w:tcPr/>
          <w:p>
            <w:pPr>
              <w:pStyle w:val="Compact"/>
              <w:jc w:val="left"/>
            </w:pPr>
            <w:r>
              <w:t xml:space="preserve">12.0 1 4.9</w:t>
            </w:r>
          </w:p>
        </w:tc>
        <w:tc>
          <w:tcPr/>
          <w:p>
            <w:pPr>
              <w:pStyle w:val="Compact"/>
              <w:jc w:val="left"/>
            </w:pPr>
            <w:r>
              <w:t xml:space="preserve">0.8</w:t>
            </w:r>
          </w:p>
        </w:tc>
      </w:tr>
      <w:tr>
        <w:tc>
          <w:tcPr/>
          <w:p>
            <w:pPr>
              <w:pStyle w:val="Compact"/>
              <w:jc w:val="left"/>
            </w:pPr>
            <w:r>
              <w:t xml:space="preserve">Total transpiration (mL)</w:t>
            </w:r>
          </w:p>
        </w:tc>
        <w:tc>
          <w:tcPr/>
          <w:p>
            <w:pPr>
              <w:pStyle w:val="Compact"/>
              <w:jc w:val="left"/>
            </w:pPr>
            <w:r>
              <w:t xml:space="preserve">4.52 1 1.22</w:t>
            </w:r>
          </w:p>
        </w:tc>
        <w:tc>
          <w:tcPr/>
          <w:p>
            <w:pPr>
              <w:pStyle w:val="Compact"/>
              <w:jc w:val="left"/>
            </w:pPr>
            <w:r>
              <w:t xml:space="preserve">7.85 1 2.20</w:t>
            </w:r>
          </w:p>
        </w:tc>
        <w:tc>
          <w:tcPr/>
          <w:p>
            <w:pPr>
              <w:pStyle w:val="Compact"/>
              <w:jc w:val="left"/>
            </w:pPr>
            <w:r>
              <w:t xml:space="preserve">&lt;0.001</w:t>
            </w:r>
          </w:p>
        </w:tc>
      </w:tr>
      <w:tr>
        <w:tc>
          <w:tcPr/>
          <w:p>
            <w:pPr>
              <w:pStyle w:val="Compact"/>
              <w:jc w:val="left"/>
            </w:pPr>
            <w:r>
              <w:t xml:space="preserve">Leaf area (cm</w:t>
            </w:r>
            <w:r>
              <w:rPr>
                <w:vertAlign w:val="superscript"/>
              </w:rPr>
              <w:t xml:space="preserve">2</w:t>
            </w:r>
            <w:r>
              <w:t xml:space="preserve">)</w:t>
            </w:r>
          </w:p>
        </w:tc>
        <w:tc>
          <w:tcPr/>
          <w:p>
            <w:pPr>
              <w:pStyle w:val="Compact"/>
              <w:jc w:val="left"/>
            </w:pPr>
            <w:r>
              <w:t xml:space="preserve">2,488 1 797</w:t>
            </w:r>
          </w:p>
        </w:tc>
        <w:tc>
          <w:tcPr/>
          <w:p>
            <w:pPr>
              <w:pStyle w:val="Compact"/>
              <w:jc w:val="left"/>
            </w:pPr>
            <w:r>
              <w:t xml:space="preserve">7,100 1 2,380</w:t>
            </w:r>
          </w:p>
        </w:tc>
        <w:tc>
          <w:tcPr/>
          <w:p>
            <w:pPr>
              <w:pStyle w:val="Compact"/>
              <w:jc w:val="left"/>
            </w:pPr>
            <w:r>
              <w:t xml:space="preserve">&lt;0.001</w:t>
            </w:r>
          </w:p>
        </w:tc>
      </w:tr>
      <w:tr>
        <w:tc>
          <w:tcPr/>
          <w:p>
            <w:pPr>
              <w:pStyle w:val="Compact"/>
              <w:jc w:val="left"/>
            </w:pPr>
            <w:r>
              <w:t xml:space="preserve">Root length (cm)</w:t>
            </w:r>
          </w:p>
        </w:tc>
        <w:tc>
          <w:tcPr/>
          <w:p>
            <w:pPr>
              <w:pStyle w:val="Compact"/>
              <w:jc w:val="left"/>
            </w:pPr>
            <w:r>
              <w:t xml:space="preserve">33.1 1 6.5</w:t>
            </w:r>
          </w:p>
        </w:tc>
        <w:tc>
          <w:tcPr/>
          <w:p>
            <w:pPr>
              <w:pStyle w:val="Compact"/>
              <w:jc w:val="left"/>
            </w:pPr>
            <w:r>
              <w:t xml:space="preserve">32.5 1 5.8</w:t>
            </w:r>
          </w:p>
        </w:tc>
        <w:tc>
          <w:tcPr/>
          <w:p>
            <w:pPr>
              <w:pStyle w:val="Compact"/>
              <w:jc w:val="left"/>
            </w:pPr>
            <w:r>
              <w:t xml:space="preserve">0.4</w:t>
            </w:r>
          </w:p>
        </w:tc>
      </w:tr>
      <w:tr>
        <w:tc>
          <w:tcPr/>
          <w:p>
            <w:pPr>
              <w:pStyle w:val="Compact"/>
              <w:jc w:val="left"/>
            </w:pPr>
            <w:r>
              <w:t xml:space="preserve">Total dry biomass (g)</w:t>
            </w:r>
          </w:p>
        </w:tc>
        <w:tc>
          <w:tcPr/>
          <w:p>
            <w:pPr>
              <w:pStyle w:val="Compact"/>
              <w:jc w:val="left"/>
            </w:pPr>
            <w:r>
              <w:t xml:space="preserve">51 1 16</w:t>
            </w:r>
          </w:p>
        </w:tc>
        <w:tc>
          <w:tcPr/>
          <w:p>
            <w:pPr>
              <w:pStyle w:val="Compact"/>
              <w:jc w:val="left"/>
            </w:pPr>
            <w:r>
              <w:t xml:space="preserve">75 1 24</w:t>
            </w:r>
          </w:p>
        </w:tc>
        <w:tc>
          <w:tcPr/>
          <w:p>
            <w:pPr>
              <w:pStyle w:val="Compact"/>
              <w:jc w:val="left"/>
            </w:pPr>
            <w:r>
              <w:t xml:space="preserve">&lt;0.001</w:t>
            </w:r>
          </w:p>
        </w:tc>
      </w:tr>
      <w:tr>
        <w:tc>
          <w:tcPr/>
          <w:p>
            <w:pPr>
              <w:pStyle w:val="Compact"/>
              <w:jc w:val="left"/>
            </w:pPr>
            <w:r>
              <w:t xml:space="preserve">Harvest index (HI)</w:t>
            </w:r>
          </w:p>
        </w:tc>
        <w:tc>
          <w:tcPr/>
          <w:p>
            <w:pPr>
              <w:pStyle w:val="Compact"/>
              <w:jc w:val="left"/>
            </w:pPr>
            <w:r>
              <w:t xml:space="preserve">0.47 1 0.16</w:t>
            </w:r>
          </w:p>
        </w:tc>
        <w:tc>
          <w:tcPr/>
          <w:p>
            <w:pPr>
              <w:pStyle w:val="Compact"/>
              <w:jc w:val="left"/>
            </w:pPr>
            <w:r>
              <w:t xml:space="preserve">0.53 1 0.14</w:t>
            </w:r>
          </w:p>
        </w:tc>
        <w:tc>
          <w:tcPr/>
          <w:p>
            <w:pPr>
              <w:pStyle w:val="Compact"/>
              <w:jc w:val="left"/>
            </w:pPr>
            <w:r>
              <w:t xml:space="preserve">0.020</w:t>
            </w:r>
          </w:p>
        </w:tc>
      </w:tr>
      <w:tr>
        <w:tc>
          <w:tcPr/>
          <w:p>
            <w:pPr>
              <w:pStyle w:val="Compact"/>
              <w:jc w:val="left"/>
            </w:pPr>
            <w:r>
              <w:t xml:space="preserve">Specific leaf area (cm</w:t>
            </w:r>
            <w:r>
              <w:rPr>
                <w:vertAlign w:val="superscript"/>
              </w:rPr>
              <w:t xml:space="preserve">2</w:t>
            </w:r>
            <w:r>
              <w:t xml:space="preserve">/g)</w:t>
            </w:r>
          </w:p>
        </w:tc>
        <w:tc>
          <w:tcPr/>
          <w:p>
            <w:pPr>
              <w:pStyle w:val="Compact"/>
              <w:jc w:val="left"/>
            </w:pPr>
            <w:r>
              <w:t xml:space="preserve">218 1 62</w:t>
            </w:r>
          </w:p>
        </w:tc>
        <w:tc>
          <w:tcPr/>
          <w:p>
            <w:pPr>
              <w:pStyle w:val="Compact"/>
              <w:jc w:val="left"/>
            </w:pPr>
            <w:r>
              <w:t xml:space="preserve">415 1 82</w:t>
            </w:r>
          </w:p>
        </w:tc>
        <w:tc>
          <w:tcPr/>
          <w:p>
            <w:pPr>
              <w:pStyle w:val="Compact"/>
              <w:jc w:val="left"/>
            </w:pPr>
            <w:r>
              <w:t xml:space="preserve">&lt;0.001</w:t>
            </w:r>
          </w:p>
        </w:tc>
      </w:tr>
      <w:tr>
        <w:tc>
          <w:tcPr/>
          <w:p>
            <w:pPr>
              <w:pStyle w:val="Compact"/>
              <w:jc w:val="left"/>
            </w:pPr>
            <w:r>
              <w:t xml:space="preserve">Relative chlorophyll content (RCC)</w:t>
            </w:r>
          </w:p>
        </w:tc>
        <w:tc>
          <w:tcPr/>
          <w:p>
            <w:pPr>
              <w:pStyle w:val="Compact"/>
              <w:jc w:val="left"/>
            </w:pPr>
            <w:r>
              <w:t xml:space="preserve">0.021 1 0.015</w:t>
            </w:r>
          </w:p>
        </w:tc>
        <w:tc>
          <w:tcPr/>
          <w:p>
            <w:pPr>
              <w:pStyle w:val="Compact"/>
              <w:jc w:val="left"/>
            </w:pPr>
            <w:r>
              <w:t xml:space="preserve">0.008 1 0.007</w:t>
            </w:r>
          </w:p>
        </w:tc>
        <w:tc>
          <w:tcPr/>
          <w:p>
            <w:pPr>
              <w:pStyle w:val="Compact"/>
              <w:jc w:val="left"/>
            </w:pPr>
            <w:r>
              <w:t xml:space="preserve">&lt;0.001</w:t>
            </w:r>
          </w:p>
        </w:tc>
      </w:tr>
      <w:tr>
        <w:tc>
          <w:tcPr/>
          <w:p>
            <w:pPr>
              <w:pStyle w:val="Compact"/>
              <w:jc w:val="left"/>
            </w:pPr>
            <w:r>
              <w:t xml:space="preserve">Biomass water use efficiency (g/L)</w:t>
            </w:r>
          </w:p>
        </w:tc>
        <w:tc>
          <w:tcPr/>
          <w:p>
            <w:pPr>
              <w:pStyle w:val="Compact"/>
              <w:jc w:val="left"/>
            </w:pPr>
            <w:r>
              <w:t xml:space="preserve">11.32 1 2.15</w:t>
            </w:r>
          </w:p>
        </w:tc>
        <w:tc>
          <w:tcPr/>
          <w:p>
            <w:pPr>
              <w:pStyle w:val="Compact"/>
              <w:jc w:val="left"/>
            </w:pPr>
            <w:r>
              <w:t xml:space="preserve">9.53 1 1.26</w:t>
            </w:r>
          </w:p>
        </w:tc>
        <w:tc>
          <w:tcPr/>
          <w:p>
            <w:pPr>
              <w:pStyle w:val="Compact"/>
              <w:jc w:val="left"/>
            </w:pPr>
            <w:r>
              <w:t xml:space="preserve">&lt;0.001</w:t>
            </w:r>
          </w:p>
        </w:tc>
      </w:tr>
      <w:tr>
        <w:tc>
          <w:tcPr/>
          <w:p>
            <w:pPr>
              <w:pStyle w:val="Compact"/>
              <w:jc w:val="left"/>
            </w:pPr>
            <w:r>
              <w:t xml:space="preserve">Tuber water use efficiency (g/L)</w:t>
            </w:r>
          </w:p>
        </w:tc>
        <w:tc>
          <w:tcPr/>
          <w:p>
            <w:pPr>
              <w:pStyle w:val="Compact"/>
              <w:jc w:val="left"/>
            </w:pPr>
            <w:r>
              <w:t xml:space="preserve">5.31 1 2.03</w:t>
            </w:r>
          </w:p>
        </w:tc>
        <w:tc>
          <w:tcPr/>
          <w:p>
            <w:pPr>
              <w:pStyle w:val="Compact"/>
              <w:jc w:val="left"/>
            </w:pPr>
            <w:r>
              <w:t xml:space="preserve">5.09 1 1.75</w:t>
            </w:r>
          </w:p>
        </w:tc>
        <w:tc>
          <w:tcPr/>
          <w:p>
            <w:pPr>
              <w:pStyle w:val="Compact"/>
              <w:jc w:val="left"/>
            </w:pPr>
            <w:r>
              <w:t xml:space="preserve">0.5</w:t>
            </w:r>
          </w:p>
        </w:tc>
      </w:tr>
    </w:tbl>
    <w:bookmarkEnd w:id="59"/>
    <w:bookmarkEnd w:id="60"/>
    <w:bookmarkStart w:id="65" w:name="yield-components"/>
    <w:p>
      <w:pPr>
        <w:pStyle w:val="Heading2"/>
      </w:pPr>
      <w:r>
        <w:t xml:space="preserve">Yield components</w:t>
      </w:r>
    </w:p>
    <w:p>
      <w:pPr>
        <w:pStyle w:val="FirstParagraph"/>
      </w:pPr>
      <w:r>
        <w:t xml:space="preserve">Large differences existed in TDB among the genotypes and treatments (Table 2, Table S1). TDB under WD had a significant effect (p&lt;0.001)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at around 53% under WW conditions and water deficit reduced by 11% (Table 2). WUEB was generally higher for genotypes under WD treatment than WW treatment (p&lt;0.001) (Table 2). Under WD treatment, CIP397077.16, CIP398208.620, CIP392797.22, and CIP398190.89 showed the highest WUEB with 13.06, 12.03, and 11.59 g/L, respectively. The lowest WUEB with 8.50 and 9.24 g/L were presented by CIP398180.612 and CIP398203.5, respectively (Tables S1). For WUET there is no significant difference between treatments (Table 2). The genotypes with higher WUET under WD treatment were CIP397077.16, CIP392797.22 (UNICA), CIP720088, and CIP398208.620 (Figure 1F, Tables S1).</w:t>
      </w:r>
    </w:p>
    <w:p>
      <w:pPr>
        <w:pStyle w:val="CaptionedFigure"/>
      </w:pPr>
      <w:bookmarkStart w:id="64" w:name="fig-id.o1x99csldt39"/>
      <w:r>
        <w:drawing>
          <wp:inline>
            <wp:extent cx="5943600" cy="5305127"/>
            <wp:effectExtent b="0" l="0" r="0" t="0"/>
            <wp:docPr descr="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 title="" id="62" name="Picture"/>
            <a:graphic>
              <a:graphicData uri="http://schemas.openxmlformats.org/drawingml/2006/picture">
                <pic:pic>
                  <pic:nvPicPr>
                    <pic:cNvPr descr="docs/img_1.png" id="63" name="Picture"/>
                    <pic:cNvPicPr>
                      <a:picLocks noChangeArrowheads="1" noChangeAspect="1"/>
                    </pic:cNvPicPr>
                  </pic:nvPicPr>
                  <pic:blipFill>
                    <a:blip r:embed="rId61"/>
                    <a:stretch>
                      <a:fillRect/>
                    </a:stretch>
                  </pic:blipFill>
                  <pic:spPr bwMode="auto">
                    <a:xfrm>
                      <a:off x="0" y="0"/>
                      <a:ext cx="5943600" cy="5305127"/>
                    </a:xfrm>
                    <a:prstGeom prst="rect">
                      <a:avLst/>
                    </a:prstGeom>
                    <a:noFill/>
                    <a:ln w="9525">
                      <a:noFill/>
                      <a:headEnd/>
                      <a:tailEnd/>
                    </a:ln>
                  </pic:spPr>
                </pic:pic>
              </a:graphicData>
            </a:graphic>
          </wp:inline>
        </w:drawing>
      </w:r>
      <w:bookmarkEnd w:id="64"/>
    </w:p>
    <w:p>
      <w:pPr>
        <w:pStyle w:val="ImageCaption"/>
      </w:pPr>
      <w:r>
        <w:t xml:space="preserve">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bookmarkEnd w:id="65"/>
    <w:bookmarkStart w:id="70" w:name="correlation-similarity-and-heritability"/>
    <w:p>
      <w:pPr>
        <w:pStyle w:val="Heading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TRS (r = 0.93) and LDW (r = 0.85) while presenting a negative correlation with RCC (r = -0.76). The HI presents negative correlation with SPAD at 83 dap (r = -0.7), RDW (r = -0.73) and RTL (r = -0.75). While, the variable WUET 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is based on the Euclidean distance presented a large dissimilarity (ED = 4.96; Figure 2). SPAD measures are sensitive to detect drought stress even in the early stages of the stress in potatoes (Table 2). The case of HI and WUET present a high similarity (ED = 0.68; Figure 3). The RCC presented more similarities with WUEB 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p>
      <w:pPr>
        <w:pStyle w:val="CaptionedFigure"/>
      </w:pPr>
      <w:bookmarkStart w:id="69" w:name="fig-id.lyc5pu5rw21f"/>
      <w:r>
        <w:drawing>
          <wp:inline>
            <wp:extent cx="5943600" cy="3729260"/>
            <wp:effectExtent b="0" l="0" r="0" t="0"/>
            <wp:docPr descr="Figure 3: Relationships among agro-morphological traits evaluated in well-watered (WW) and water deficit (WD) treatments based on Pearson correlation and Euclidean distance measured in 15 potato genotypes." title="" id="67" name="Picture"/>
            <a:graphic>
              <a:graphicData uri="http://schemas.openxmlformats.org/drawingml/2006/picture">
                <pic:pic>
                  <pic:nvPicPr>
                    <pic:cNvPr descr="docs/img_2.png" id="68" name="Picture"/>
                    <pic:cNvPicPr>
                      <a:picLocks noChangeArrowheads="1" noChangeAspect="1"/>
                    </pic:cNvPicPr>
                  </pic:nvPicPr>
                  <pic:blipFill>
                    <a:blip r:embed="rId66"/>
                    <a:stretch>
                      <a:fillRect/>
                    </a:stretch>
                  </pic:blipFill>
                  <pic:spPr bwMode="auto">
                    <a:xfrm>
                      <a:off x="0" y="0"/>
                      <a:ext cx="5943600" cy="3729260"/>
                    </a:xfrm>
                    <a:prstGeom prst="rect">
                      <a:avLst/>
                    </a:prstGeom>
                    <a:noFill/>
                    <a:ln w="9525">
                      <a:noFill/>
                      <a:headEnd/>
                      <a:tailEnd/>
                    </a:ln>
                  </pic:spPr>
                </pic:pic>
              </a:graphicData>
            </a:graphic>
          </wp:inline>
        </w:drawing>
      </w:r>
      <w:bookmarkEnd w:id="69"/>
    </w:p>
    <w:p>
      <w:pPr>
        <w:pStyle w:val="ImageCaption"/>
      </w:pPr>
      <w:r>
        <w:t xml:space="preserve">Figure 3: Relationships among agro-morphological traits evaluated in well-watered (WW) and water deficit (WD) treatments based on Pearson correlation and Euclidean distance measured in 15 potato genotypes.</w:t>
      </w:r>
    </w:p>
    <w:bookmarkEnd w:id="70"/>
    <w:bookmarkStart w:id="75" w:name="multivariate-analysis"/>
    <w:p>
      <w:pPr>
        <w:pStyle w:val="Heading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WUET, RTL, RDW, and SPAD 83 dap (Figure S2C). In the first dimension, there is a positive correlation between LDW, LFA, and TRS with a negative correlation with RCC and WUEB (Figure 3, Figure S2D). The genotypes with high LFA presented more TRS and LDW but they have low RCC and WUEB (Figure 3, Figure S2D). In the second dimension, RTL and RWD were correlated and presented negative correlations while HI and WUET (Figure 3, Figure S2D).</w:t>
      </w:r>
    </w:p>
    <w:p>
      <w:pPr>
        <w:pStyle w:val="BodyText"/>
      </w:pPr>
      <w:r>
        <w:t xml:space="preserve">The PCA for the individuals grouped the genotypes in five clusters (Figure 3B). Cluster 1 was associated with the genotype CIP720088 (Achirana-INTA) with early maturity (Table 1). Clusters 2 and 3 are associated with the genotypes under WD conditions. While clusters 4 and 5 are related to the genotypes under WW conditions. In the distribution between the individuals and variables, the genotypes CIP392797.22 (UNICA), CIP397077.16, CIP398190.89, and CIP398208.620 located in the clusters 3 and 5 presented better performance under WD conditions with high WUET, HI and RCC (Figure 3 A-B). The genotypes CIP398203.244, CIP398180.612, CIP398201.510, and CIP398192.592 located in clusters 2 and 4 presented low performance under both treatments (Figure 3B, Figure S3).</w:t>
      </w:r>
    </w:p>
    <w:p>
      <w:pPr>
        <w:pStyle w:val="CaptionedFigure"/>
      </w:pPr>
      <w:bookmarkStart w:id="74" w:name="fig-id.jdkmq1zbztrg"/>
      <w:r>
        <w:drawing>
          <wp:inline>
            <wp:extent cx="5943600" cy="3267819"/>
            <wp:effectExtent b="0" l="0" r="0" t="0"/>
            <wp:docPr descr="Figure 4: Principal Component Analysis (PCA) from variables measured in 15 potato genotypes under well-watered (WW) and water deficit (WD) conditions. (A) PCA for the variables. (B) PCA for the genotypes under WW and WD." title="" id="72" name="Picture"/>
            <a:graphic>
              <a:graphicData uri="http://schemas.openxmlformats.org/drawingml/2006/picture">
                <pic:pic>
                  <pic:nvPicPr>
                    <pic:cNvPr descr="docs/img_3.png" id="73" name="Picture"/>
                    <pic:cNvPicPr>
                      <a:picLocks noChangeArrowheads="1" noChangeAspect="1"/>
                    </pic:cNvPicPr>
                  </pic:nvPicPr>
                  <pic:blipFill>
                    <a:blip r:embed="rId71"/>
                    <a:stretch>
                      <a:fillRect/>
                    </a:stretch>
                  </pic:blipFill>
                  <pic:spPr bwMode="auto">
                    <a:xfrm>
                      <a:off x="0" y="0"/>
                      <a:ext cx="5943600" cy="3267819"/>
                    </a:xfrm>
                    <a:prstGeom prst="rect">
                      <a:avLst/>
                    </a:prstGeom>
                    <a:noFill/>
                    <a:ln w="9525">
                      <a:noFill/>
                      <a:headEnd/>
                      <a:tailEnd/>
                    </a:ln>
                  </pic:spPr>
                </pic:pic>
              </a:graphicData>
            </a:graphic>
          </wp:inline>
        </w:drawing>
      </w:r>
      <w:bookmarkEnd w:id="74"/>
    </w:p>
    <w:p>
      <w:pPr>
        <w:pStyle w:val="ImageCaption"/>
      </w:pPr>
      <w:r>
        <w:t xml:space="preserve">Figure 4: Principal Component Analysis (PCA) from variables measured in 15 potato genotypes under well-watered (WW) and water deficit (WD) conditions. (A) PCA for the variables. (B) PCA for the genotypes under WW and WD.</w:t>
      </w:r>
    </w:p>
    <w:bookmarkEnd w:id="75"/>
    <w:bookmarkEnd w:id="76"/>
    <w:bookmarkStart w:id="88" w:name="discussion"/>
    <w:p>
      <w:pPr>
        <w:pStyle w:val="Heading1"/>
      </w:pPr>
      <w:r>
        <w:t xml:space="preserve">Discussion</w:t>
      </w:r>
    </w:p>
    <w:p>
      <w:pPr>
        <w:pStyle w:val="FirstParagraph"/>
      </w:pPr>
      <w:r>
        <w:t xml:space="preserve">Drought stress triggered a range of physiological and morphological mechanisms, leading to different survival strategies in 15 potato genotypes in an experiment under controlled greenhouse conditions. We found SPAD, HI (Harvest Index), RTL (Root Length), and RDW (Root Dry Weight) to be key indicators for WUET (tuber water use efficiency). Evaluating the WUE under field conditions can be tedious due to the difficulty in accurately measuring water consumption in the plants. Therefore, traits that are easier to evaluate in a large number of genotypes under field conditions, such as SPAD and HI, will be more useful in selecting drought-tolerant genotypes with high yield.</w:t>
      </w:r>
    </w:p>
    <w:p>
      <w:pPr>
        <w:pStyle w:val="BodyText"/>
      </w:pPr>
      <w:r>
        <w:t xml:space="preserve">Agronomically, maintaining yield levels during drought stress is a crucial mechanism in potatoes</w:t>
      </w:r>
      <w:r>
        <w:t xml:space="preserve"> </w:t>
      </w:r>
      <w:hyperlink r:id="rId77">
        <w:r>
          <w:rPr>
            <w:rStyle w:val="Hyperlink"/>
          </w:rPr>
          <w:t xml:space="preserve">(Boguszewska‐Mańkowska et al., 2018)</w:t>
        </w:r>
      </w:hyperlink>
      <w:r>
        <w:t xml:space="preserve">. Under water deficit conditions, mineralization and supply of nutrients, especially N, is reduced, forcing the plant to find the most efficient way to use their resources so as to not compromise yield</w:t>
      </w:r>
      <w:r>
        <w:t xml:space="preserve"> </w:t>
      </w:r>
      <w:hyperlink r:id="rId78">
        <w:r>
          <w:rPr>
            <w:rStyle w:val="Hyperlink"/>
          </w:rPr>
          <w:t xml:space="preserve">(Motalebifard et al., 2013)</w:t>
        </w:r>
      </w:hyperlink>
      <w:r>
        <w:t xml:space="preserve">. We found minimal yield loss in some genotypes like CIP397077.16, CIP392797.22 (UNICA), CIP720088, and CIP398208.620 under water stress (and .89, and this one is not mentioned. Why?).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soil to root surface decreases and cannot satisfy the demand for transpiration</w:t>
      </w:r>
      <w:r>
        <w:t xml:space="preserve"> </w:t>
      </w:r>
      <w:hyperlink r:id="rId79">
        <w:r>
          <w:rPr>
            <w:rStyle w:val="Hyperlink"/>
          </w:rPr>
          <w:t xml:space="preserve">(Aliche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w:t>
      </w:r>
      <w:r>
        <w:t xml:space="preserve"> </w:t>
      </w:r>
      <w:hyperlink r:id="rId80">
        <w:r>
          <w:rPr>
            <w:rStyle w:val="Hyperlink"/>
          </w:rPr>
          <w:t xml:space="preserve">(Zarzyńska et al., 2017)</w:t>
        </w:r>
      </w:hyperlink>
      <w:r>
        <w:t xml:space="preserve"> </w:t>
      </w:r>
      <w:r>
        <w:t xml:space="preserve">under greenhouse conditions showing a strong correlation between root length and yield decrease in five potato cultivars. However, in peanuts under greenhouse conditions,</w:t>
      </w:r>
      <w:r>
        <w:t xml:space="preserve"> </w:t>
      </w:r>
      <w:hyperlink r:id="rId81">
        <w:r>
          <w:rPr>
            <w:rStyle w:val="Hyperlink"/>
          </w:rPr>
          <w:t xml:space="preserve">(Songsri et al., 2009)</w:t>
        </w:r>
      </w:hyperlink>
      <w:r>
        <w:t xml:space="preserve"> </w:t>
      </w:r>
      <w:r>
        <w:t xml:space="preserve">found that a large root system with high WUE is a drought-resistance mechanism due to enhanced uptake of water and maintenance of high photosynthetic capacity.</w:t>
      </w:r>
    </w:p>
    <w:p>
      <w:pPr>
        <w:pStyle w:val="BodyText"/>
      </w:pPr>
      <w:r>
        <w:t xml:space="preserve">Another drought-resistance mechanism in potatoes is the reduction of transpiration due to the reduction of leaf area. Thick leaves often have greater photosynthetic capacity than thin leaves, due to an increase of chlorophyll content per leaf area</w:t>
      </w:r>
      <w:r>
        <w:t xml:space="preserve"> </w:t>
      </w:r>
      <w:hyperlink r:id="rId82">
        <w:r>
          <w:rPr>
            <w:rStyle w:val="Hyperlink"/>
          </w:rPr>
          <w:t xml:space="preserve">(Aliche et al., 2020; Rolando et al., 2015; Songsri et al., 2009)</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w:t>
      </w:r>
      <w:r>
        <w:t xml:space="preserve"> </w:t>
      </w:r>
      <w:hyperlink r:id="rId83">
        <w:r>
          <w:rPr>
            <w:rStyle w:val="Hyperlink"/>
          </w:rPr>
          <w:t xml:space="preserve">(Rodríguez-Pérez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w:t>
      </w:r>
      <w:r>
        <w:t xml:space="preserve"> </w:t>
      </w:r>
      <w:hyperlink r:id="rId84">
        <w:r>
          <w:rPr>
            <w:rStyle w:val="Hyperlink"/>
          </w:rPr>
          <w:t xml:space="preserve">(Saravia et al., 2016)</w:t>
        </w:r>
      </w:hyperlink>
      <w:r>
        <w:t xml:space="preserve">. These results also suggest that SPAD can be a good parameter to efficiently evaluate the drought stress tolerance of a large number of genotypes in field experiments.</w:t>
      </w:r>
    </w:p>
    <w:p>
      <w:pPr>
        <w:pStyle w:val="BodyText"/>
      </w:pPr>
      <w:r>
        <w:t xml:space="preserve">Plant biomass accumulation and yield are inextricably linked to transpiration</w:t>
      </w:r>
      <w:r>
        <w:t xml:space="preserve"> </w:t>
      </w:r>
      <w:hyperlink r:id="rId85">
        <w:r>
          <w:rPr>
            <w:rStyle w:val="Hyperlink"/>
          </w:rPr>
          <w:t xml:space="preserve">(T. R. Sinclair et al., 1984)</w:t>
        </w:r>
      </w:hyperlink>
      <w:r>
        <w:t xml:space="preserve">. As another mechanism to cope with stress, some genotypes also have the ability to increase their biomass translocation efficiency to maintain high tuber yield under water shortage conditions</w:t>
      </w:r>
      <w:r>
        <w:t xml:space="preserve"> </w:t>
      </w:r>
      <w:hyperlink r:id="rId86">
        <w:r>
          <w:rPr>
            <w:rStyle w:val="Hyperlink"/>
          </w:rPr>
          <w:t xml:space="preserve">(Kaminski et al., 2015; Reddy et al., 2020)</w:t>
        </w:r>
      </w:hyperlink>
      <w:r>
        <w:t xml:space="preserve">. We found a significant positive correlation (r = 0.92) between HI and WUET, indicating a direct association between these two traits. This suggests the relationship between biomass production and WUET when limited soil water is available. HI is stable for particular cultivars over a wide range of conditions (Donald and Hamblin, 1976; Khan et al., 2015). Therefore, selecting genotypes with high HI under water-limited conditions is especially important to obtain individuals with high WUET with high yield performance. Fourteen traits out of the total 17 traits evaluated showed high broad-sense heritability under controlled conditions. Broad-sense heritability explains the proportion of phenotypic variance that is attributable to an overall genetic variance for the genotypes</w:t>
      </w:r>
      <w:r>
        <w:t xml:space="preserve"> </w:t>
      </w:r>
      <w:hyperlink r:id="rId87">
        <w:r>
          <w:rPr>
            <w:rStyle w:val="Hyperlink"/>
          </w:rPr>
          <w:t xml:space="preserve">(Schmidt et al., 2019)</w:t>
        </w:r>
      </w:hyperlink>
      <w:r>
        <w:t xml:space="preserve">. The high broad-sense heritability of HI (0.98) and SPAD (0.86) suggests that these two traits can be used to select drought-tolerant genotypes under field conditions.</w:t>
      </w:r>
    </w:p>
    <w:p>
      <w:pPr>
        <w:pStyle w:val="BodyText"/>
      </w:pPr>
      <w:r>
        <w:t xml:space="preserve">In conclusion, based on our results, the genotypes CIP398201.510 and CIP398203.244 presented high transpiration and long RTL with low WUET. Meanwhile, tolerant genotypes like CIP397077.16, CIP392797.22 (UNICA), CIP720088, and CIP398208.620 preferentially use available water-increasing photosynthetic efficiency to increase their tuber production rather than above-ground biomass. Traits such as HI, RTL, RDW, and SPAD are important traits related to WUET. The evaluation of these traits under water-limited conditions can be useful as selection criteria in the breeding programs where it is required to evaluate a large number of genotypes under field conditions.</w:t>
      </w:r>
    </w:p>
    <w:bookmarkEnd w:id="88"/>
    <w:bookmarkStart w:id="89" w:name="acknowledgments"/>
    <w:p>
      <w:pPr>
        <w:pStyle w:val="Heading1"/>
      </w:pPr>
      <w:r>
        <w:t xml:space="preserve">Acknowledgments</w:t>
      </w:r>
    </w:p>
    <w:p>
      <w:pPr>
        <w:pStyle w:val="FirstParagraph"/>
      </w:pPr>
      <w:r>
        <w:t xml:space="preserve">The 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89"/>
    <w:bookmarkStart w:id="99" w:name="references"/>
    <w:p>
      <w:pPr>
        <w:pStyle w:val="Heading1"/>
      </w:pPr>
      <w:r>
        <w:t xml:space="preserve">References</w:t>
      </w:r>
    </w:p>
    <w:p>
      <w:pPr>
        <w:numPr>
          <w:ilvl w:val="0"/>
          <w:numId w:val="1003"/>
        </w:numPr>
        <w:pStyle w:val="Compact"/>
      </w:pPr>
      <w:r>
        <w:t xml:space="preserve">Update references</w:t>
      </w:r>
    </w:p>
    <w:p>
      <w:pPr>
        <w:pStyle w:val="FirstParagraph"/>
      </w:pPr>
      <w:hyperlink r:id="rId90">
        <w:r>
          <w:rPr>
            <w:rStyle w:val="Hyperlink"/>
          </w:rPr>
          <w:t xml:space="preserve">Aliche, E. B., Theeuwen, T. P. J. M., Oortwijn, M., Visser, R. G. F., &amp; van der Linden, C. G. (2020). Carbon partitioning mechanisms in POTATO under drought stress.</w:t>
        </w:r>
        <w:r>
          <w:rPr>
            <w:rStyle w:val="Hyperlink"/>
          </w:rPr>
          <w:t xml:space="preserve"> </w:t>
        </w:r>
        <w:r>
          <w:rPr>
            <w:rStyle w:val="Hyperlink"/>
            <w:iCs/>
            <w:i/>
          </w:rPr>
          <w:t xml:space="preserve">Plant Physiology and Biochemistry</w:t>
        </w:r>
        <w:r>
          <w:rPr>
            <w:rStyle w:val="Hyperlink"/>
          </w:rPr>
          <w:t xml:space="preserve">,</w:t>
        </w:r>
        <w:r>
          <w:rPr>
            <w:rStyle w:val="Hyperlink"/>
          </w:rPr>
          <w:t xml:space="preserve"> </w:t>
        </w:r>
        <w:r>
          <w:rPr>
            <w:rStyle w:val="Hyperlink"/>
            <w:iCs/>
            <w:i/>
          </w:rPr>
          <w:t xml:space="preserve">146</w:t>
        </w:r>
        <w:r>
          <w:rPr>
            <w:rStyle w:val="Hyperlink"/>
          </w:rPr>
          <w:t xml:space="preserve">, 211–219. https://doi.org/10.1016/j.plaphy.2019.11.019</w:t>
        </w:r>
      </w:hyperlink>
    </w:p>
    <w:p>
      <w:pPr>
        <w:pStyle w:val="BodyText"/>
      </w:pPr>
      <w:hyperlink r:id="rId90">
        <w:r>
          <w:rPr>
            <w:rStyle w:val="Hyperlink"/>
          </w:rPr>
          <w:t xml:space="preserve">Bhatnagar-Mathur, P., Devi, M. J., Reddy, D. S., Lavanya, M., Vadez, V., Serraj, R., Yamaguchi-Shinozaki, K., &amp; Sharma, K. K. (2007). Stress-inducible expression of At DREB1A in transgenic peanut (</w:t>
        </w:r>
        <w:r>
          <w:rPr>
            <w:rStyle w:val="Hyperlink"/>
            <w:iCs/>
            <w:i/>
          </w:rPr>
          <w:t xml:space="preserve">Arachis hypogaea</w:t>
        </w:r>
        <w:r>
          <w:rPr>
            <w:rStyle w:val="Hyperlink"/>
          </w:rPr>
          <w:t xml:space="preserve"> </w:t>
        </w:r>
        <w:r>
          <w:rPr>
            <w:rStyle w:val="Hyperlink"/>
          </w:rPr>
          <w:t xml:space="preserve">L.) increases transpiration efficiency under water-limiting conditions.</w:t>
        </w:r>
        <w:r>
          <w:rPr>
            <w:rStyle w:val="Hyperlink"/>
          </w:rPr>
          <w:t xml:space="preserve"> </w:t>
        </w:r>
        <w:r>
          <w:rPr>
            <w:rStyle w:val="Hyperlink"/>
            <w:iCs/>
            <w:i/>
          </w:rPr>
          <w:t xml:space="preserve">Plant Cell Reports</w:t>
        </w:r>
        <w:r>
          <w:rPr>
            <w:rStyle w:val="Hyperlink"/>
          </w:rPr>
          <w:t xml:space="preserve">,</w:t>
        </w:r>
        <w:r>
          <w:rPr>
            <w:rStyle w:val="Hyperlink"/>
          </w:rPr>
          <w:t xml:space="preserve"> </w:t>
        </w:r>
        <w:r>
          <w:rPr>
            <w:rStyle w:val="Hyperlink"/>
            <w:iCs/>
            <w:i/>
          </w:rPr>
          <w:t xml:space="preserve">26</w:t>
        </w:r>
        <w:r>
          <w:rPr>
            <w:rStyle w:val="Hyperlink"/>
          </w:rPr>
          <w:t xml:space="preserve">(12), 2071–2082. https://doi.org/10.1007/s00299-007-0406-8</w:t>
        </w:r>
      </w:hyperlink>
    </w:p>
    <w:p>
      <w:pPr>
        <w:pStyle w:val="BodyText"/>
      </w:pPr>
      <w:hyperlink r:id="rId90">
        <w:r>
          <w:rPr>
            <w:rStyle w:val="Hyperlink"/>
          </w:rPr>
          <w:t xml:space="preserve">Blum, A. (2005). Drought resistance, water-use efficiency, and yield potential—Are they compatible, dissonant, or mutually exclusive?</w:t>
        </w:r>
        <w:r>
          <w:rPr>
            <w:rStyle w:val="Hyperlink"/>
          </w:rPr>
          <w:t xml:space="preserve"> </w:t>
        </w:r>
        <w:r>
          <w:rPr>
            <w:rStyle w:val="Hyperlink"/>
            <w:iCs/>
            <w:i/>
          </w:rPr>
          <w:t xml:space="preserve">Australian Journal of Agricultural Research</w:t>
        </w:r>
        <w:r>
          <w:rPr>
            <w:rStyle w:val="Hyperlink"/>
          </w:rPr>
          <w:t xml:space="preserve">,</w:t>
        </w:r>
        <w:r>
          <w:rPr>
            <w:rStyle w:val="Hyperlink"/>
          </w:rPr>
          <w:t xml:space="preserve"> </w:t>
        </w:r>
        <w:r>
          <w:rPr>
            <w:rStyle w:val="Hyperlink"/>
            <w:iCs/>
            <w:i/>
          </w:rPr>
          <w:t xml:space="preserve">56</w:t>
        </w:r>
        <w:r>
          <w:rPr>
            <w:rStyle w:val="Hyperlink"/>
          </w:rPr>
          <w:t xml:space="preserve">(11), 1159. https://doi.org/10.1071/AR05069</w:t>
        </w:r>
      </w:hyperlink>
    </w:p>
    <w:p>
      <w:pPr>
        <w:pStyle w:val="BodyText"/>
      </w:pPr>
      <w:hyperlink r:id="rId90">
        <w:r>
          <w:rPr>
            <w:rStyle w:val="Hyperlink"/>
          </w:rPr>
          <w:t xml:space="preserve">Boguszewska‐Mańkowska, D., Pieczyński, M., Wyrzykowska, A., Kalaji, H. M., Sieczko, L., Szweykowska‐Kulińska, Z., &amp; Zagdańska, B. (2018). Divergent strategies displayed by potato (</w:t>
        </w:r>
        <w:r>
          <w:rPr>
            <w:rStyle w:val="Hyperlink"/>
            <w:iCs/>
            <w:i/>
          </w:rPr>
          <w:t xml:space="preserve">Solanum tuberosum</w:t>
        </w:r>
        <w:r>
          <w:rPr>
            <w:rStyle w:val="Hyperlink"/>
          </w:rPr>
          <w:t xml:space="preserve"> </w:t>
        </w:r>
        <w:r>
          <w:rPr>
            <w:rStyle w:val="Hyperlink"/>
          </w:rPr>
          <w:t xml:space="preserve">L.) cultivars to cope with soil drought.</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204</w:t>
        </w:r>
        <w:r>
          <w:rPr>
            <w:rStyle w:val="Hyperlink"/>
          </w:rPr>
          <w:t xml:space="preserve">(1), 13–30. https://doi.org/10.1111/jac.12245</w:t>
        </w:r>
      </w:hyperlink>
    </w:p>
    <w:p>
      <w:pPr>
        <w:pStyle w:val="BodyText"/>
      </w:pPr>
      <w:hyperlink r:id="rId90">
        <w:r>
          <w:rPr>
            <w:rStyle w:val="Hyperlink"/>
          </w:rPr>
          <w:t xml:space="preserve">Carli, C., Yuldashev, F., Khalikov, D., Condori, B., Mares, V., &amp; Monneveux, P. (2014). Effect of different irrigation regimes on yield, water use efficiency and quality of potato (</w:t>
        </w:r>
        <w:r>
          <w:rPr>
            <w:rStyle w:val="Hyperlink"/>
            <w:iCs/>
            <w:i/>
          </w:rPr>
          <w:t xml:space="preserve">Solanum tuberosum</w:t>
        </w:r>
        <w:r>
          <w:rPr>
            <w:rStyle w:val="Hyperlink"/>
          </w:rPr>
          <w:t xml:space="preserve"> </w:t>
        </w:r>
        <w:r>
          <w:rPr>
            <w:rStyle w:val="Hyperlink"/>
          </w:rPr>
          <w:t xml:space="preserve">L.) in the lowlands of Tashkent, Uzbekistan: A field and modeling perspective.</w:t>
        </w:r>
        <w:r>
          <w:rPr>
            <w:rStyle w:val="Hyperlink"/>
          </w:rPr>
          <w:t xml:space="preserve"> </w:t>
        </w:r>
        <w:r>
          <w:rPr>
            <w:rStyle w:val="Hyperlink"/>
            <w:iCs/>
            <w:i/>
          </w:rPr>
          <w:t xml:space="preserve">Field Crops Research</w:t>
        </w:r>
        <w:r>
          <w:rPr>
            <w:rStyle w:val="Hyperlink"/>
          </w:rPr>
          <w:t xml:space="preserve">,</w:t>
        </w:r>
        <w:r>
          <w:rPr>
            <w:rStyle w:val="Hyperlink"/>
          </w:rPr>
          <w:t xml:space="preserve"> </w:t>
        </w:r>
        <w:r>
          <w:rPr>
            <w:rStyle w:val="Hyperlink"/>
            <w:iCs/>
            <w:i/>
          </w:rPr>
          <w:t xml:space="preserve">163</w:t>
        </w:r>
        <w:r>
          <w:rPr>
            <w:rStyle w:val="Hyperlink"/>
          </w:rPr>
          <w:t xml:space="preserve">, 90–99. https://doi.org/10.1016/j.fcr.2014.03.021</w:t>
        </w:r>
      </w:hyperlink>
    </w:p>
    <w:p>
      <w:pPr>
        <w:pStyle w:val="BodyText"/>
      </w:pPr>
      <w:hyperlink r:id="rId90">
        <w:r>
          <w:rPr>
            <w:rStyle w:val="Hyperlink"/>
          </w:rPr>
          <w:t xml:space="preserve">Chen, Y., Li, C., Yi, J., Yang, Y., Lei, C., &amp; Gong, M. (2020). Transcriptome Response to Drought, Rehydration and Re-Dehydration in Potato.</w:t>
        </w:r>
        <w:r>
          <w:rPr>
            <w:rStyle w:val="Hyperlink"/>
          </w:rPr>
          <w:t xml:space="preserve"> </w:t>
        </w:r>
        <w:r>
          <w:rPr>
            <w:rStyle w:val="Hyperlink"/>
            <w:iCs/>
            <w:i/>
          </w:rPr>
          <w:t xml:space="preserve">International Journal of Molecular Sciences</w:t>
        </w:r>
        <w:r>
          <w:rPr>
            <w:rStyle w:val="Hyperlink"/>
          </w:rPr>
          <w:t xml:space="preserve">,</w:t>
        </w:r>
        <w:r>
          <w:rPr>
            <w:rStyle w:val="Hyperlink"/>
          </w:rPr>
          <w:t xml:space="preserve"> </w:t>
        </w:r>
        <w:r>
          <w:rPr>
            <w:rStyle w:val="Hyperlink"/>
            <w:iCs/>
            <w:i/>
          </w:rPr>
          <w:t xml:space="preserve">21</w:t>
        </w:r>
        <w:r>
          <w:rPr>
            <w:rStyle w:val="Hyperlink"/>
          </w:rPr>
          <w:t xml:space="preserve">(1), 159. https://doi.org/10.3390/ijms21010159</w:t>
        </w:r>
      </w:hyperlink>
    </w:p>
    <w:p>
      <w:pPr>
        <w:pStyle w:val="BodyText"/>
      </w:pPr>
      <w:hyperlink r:id="rId90">
        <w:r>
          <w:rPr>
            <w:rStyle w:val="Hyperlink"/>
          </w:rPr>
          <w:t xml:space="preserve">Condon, A. G., Richards, R. A., Rebetzke, G. J., &amp; Farquhar, G. D. (2004). Breeding for high water-use efficiency.</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55</w:t>
        </w:r>
        <w:r>
          <w:rPr>
            <w:rStyle w:val="Hyperlink"/>
          </w:rPr>
          <w:t xml:space="preserve">(407), 2447–2460.</w:t>
        </w:r>
      </w:hyperlink>
    </w:p>
    <w:p>
      <w:pPr>
        <w:pStyle w:val="BodyText"/>
      </w:pPr>
      <w:hyperlink r:id="rId90">
        <w:r>
          <w:rPr>
            <w:rStyle w:val="Hyperlink"/>
          </w:rPr>
          <w:t xml:space="preserve">Deblonde, P. M. K., &amp; Ledent, J. F. (2001). Effects of moderate drought conditions on green leaf number, stem height, leaf length and tuber yield of potato cultivars.</w:t>
        </w:r>
        <w:r>
          <w:rPr>
            <w:rStyle w:val="Hyperlink"/>
          </w:rPr>
          <w:t xml:space="preserve"> </w:t>
        </w:r>
        <w:r>
          <w:rPr>
            <w:rStyle w:val="Hyperlink"/>
            <w:iCs/>
            <w:i/>
          </w:rPr>
          <w:t xml:space="preserve">European Journal of Agronomy</w:t>
        </w:r>
        <w:r>
          <w:rPr>
            <w:rStyle w:val="Hyperlink"/>
          </w:rPr>
          <w:t xml:space="preserve">,</w:t>
        </w:r>
        <w:r>
          <w:rPr>
            <w:rStyle w:val="Hyperlink"/>
          </w:rPr>
          <w:t xml:space="preserve"> </w:t>
        </w:r>
        <w:r>
          <w:rPr>
            <w:rStyle w:val="Hyperlink"/>
            <w:iCs/>
            <w:i/>
          </w:rPr>
          <w:t xml:space="preserve">14</w:t>
        </w:r>
        <w:r>
          <w:rPr>
            <w:rStyle w:val="Hyperlink"/>
          </w:rPr>
          <w:t xml:space="preserve">(1), 31–41. https://doi.org/10.1016/S1161-0301(00)00081-2</w:t>
        </w:r>
      </w:hyperlink>
    </w:p>
    <w:p>
      <w:pPr>
        <w:pStyle w:val="BodyText"/>
      </w:pPr>
      <w:hyperlink r:id="rId90">
        <w:r>
          <w:rPr>
            <w:rStyle w:val="Hyperlink"/>
          </w:rP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11</w:t>
        </w:r>
        <w:r>
          <w:rPr>
            <w:rStyle w:val="Hyperlink"/>
          </w:rPr>
          <w:t xml:space="preserve">. https://doi.org/10.3389/fpls.2020.00169</w:t>
        </w:r>
      </w:hyperlink>
    </w:p>
    <w:p>
      <w:pPr>
        <w:pStyle w:val="BodyText"/>
      </w:pPr>
      <w:hyperlink r:id="rId90">
        <w:r>
          <w:rPr>
            <w:rStyle w:val="Hyperlink"/>
          </w:rPr>
          <w:t xml:space="preserve">Galili, T., O’Callaghan, A., Sidi, J., &amp; Sievert, C. (2018). heatmaply: An R package for creating interactive cluster heatmaps for online publishing.</w:t>
        </w:r>
        <w:r>
          <w:rPr>
            <w:rStyle w:val="Hyperlink"/>
          </w:rPr>
          <w:t xml:space="preserve"> </w:t>
        </w:r>
        <w:r>
          <w:rPr>
            <w:rStyle w:val="Hyperlink"/>
            <w:iCs/>
            <w:i/>
          </w:rPr>
          <w:t xml:space="preserve">Bioinformatics</w:t>
        </w:r>
        <w:r>
          <w:rPr>
            <w:rStyle w:val="Hyperlink"/>
          </w:rPr>
          <w:t xml:space="preserve">,</w:t>
        </w:r>
        <w:r>
          <w:rPr>
            <w:rStyle w:val="Hyperlink"/>
          </w:rPr>
          <w:t xml:space="preserve"> </w:t>
        </w:r>
        <w:r>
          <w:rPr>
            <w:rStyle w:val="Hyperlink"/>
            <w:iCs/>
            <w:i/>
          </w:rPr>
          <w:t xml:space="preserve">34</w:t>
        </w:r>
        <w:r>
          <w:rPr>
            <w:rStyle w:val="Hyperlink"/>
          </w:rPr>
          <w:t xml:space="preserve">(9), 1600–1602. https://doi.org/10.1093/bioinformatics/btx657</w:t>
        </w:r>
      </w:hyperlink>
    </w:p>
    <w:p>
      <w:pPr>
        <w:pStyle w:val="BodyText"/>
      </w:pPr>
      <w:hyperlink r:id="rId90">
        <w:r>
          <w:rPr>
            <w:rStyle w:val="Hyperlink"/>
          </w:rPr>
          <w:t xml:space="preserve">Gutiérrez-Rosales, R. O., Espinoza-Trelles, J. A., &amp; Bonierbale, M. (2007). UNICA: Variedad Peruana para mercado fresco y papa frita con tolerancia y resistencia para condiciones climáticas adversas.</w:t>
        </w:r>
        <w:r>
          <w:rPr>
            <w:rStyle w:val="Hyperlink"/>
          </w:rPr>
          <w:t xml:space="preserve"> </w:t>
        </w:r>
        <w:r>
          <w:rPr>
            <w:rStyle w:val="Hyperlink"/>
            <w:iCs/>
            <w:i/>
          </w:rPr>
          <w:t xml:space="preserve">Revista Latinoamericana de la Papa</w:t>
        </w:r>
        <w:r>
          <w:rPr>
            <w:rStyle w:val="Hyperlink"/>
          </w:rPr>
          <w:t xml:space="preserve">,</w:t>
        </w:r>
        <w:r>
          <w:rPr>
            <w:rStyle w:val="Hyperlink"/>
          </w:rPr>
          <w:t xml:space="preserve"> </w:t>
        </w:r>
        <w:r>
          <w:rPr>
            <w:rStyle w:val="Hyperlink"/>
            <w:iCs/>
            <w:i/>
          </w:rPr>
          <w:t xml:space="preserve">14</w:t>
        </w:r>
        <w:r>
          <w:rPr>
            <w:rStyle w:val="Hyperlink"/>
          </w:rPr>
          <w:t xml:space="preserve">(1), 41–50.</w:t>
        </w:r>
      </w:hyperlink>
    </w:p>
    <w:p>
      <w:pPr>
        <w:pStyle w:val="BodyText"/>
      </w:pPr>
      <w:hyperlink r:id="rId90">
        <w:r>
          <w:rPr>
            <w:rStyle w:val="Hyperlink"/>
          </w:rPr>
          <w:t xml:space="preserve">Hochman, Z., Holzworth, D., &amp; Hunt, J. R. (2009). Potential to improve on-farm wheat yield and WUE in Australia.</w:t>
        </w:r>
        <w:r>
          <w:rPr>
            <w:rStyle w:val="Hyperlink"/>
          </w:rPr>
          <w:t xml:space="preserve"> </w:t>
        </w:r>
        <w:r>
          <w:rPr>
            <w:rStyle w:val="Hyperlink"/>
            <w:iCs/>
            <w:i/>
          </w:rPr>
          <w:t xml:space="preserve">Crop and Pasture Science</w:t>
        </w:r>
        <w:r>
          <w:rPr>
            <w:rStyle w:val="Hyperlink"/>
          </w:rPr>
          <w:t xml:space="preserve">,</w:t>
        </w:r>
        <w:r>
          <w:rPr>
            <w:rStyle w:val="Hyperlink"/>
          </w:rPr>
          <w:t xml:space="preserve"> </w:t>
        </w:r>
        <w:r>
          <w:rPr>
            <w:rStyle w:val="Hyperlink"/>
            <w:iCs/>
            <w:i/>
          </w:rPr>
          <w:t xml:space="preserve">60</w:t>
        </w:r>
        <w:r>
          <w:rPr>
            <w:rStyle w:val="Hyperlink"/>
          </w:rPr>
          <w:t xml:space="preserve">(8), 708. https://doi.org/10.1071/CP09064</w:t>
        </w:r>
      </w:hyperlink>
    </w:p>
    <w:p>
      <w:pPr>
        <w:pStyle w:val="BodyText"/>
      </w:pPr>
      <w:hyperlink r:id="rId90">
        <w:r>
          <w:rPr>
            <w:rStyle w:val="Hyperlink"/>
          </w:rPr>
          <w:t xml:space="preserve">Joshi, M., Fogelman, E., Belausov, E., &amp; Ginzberg, I. (2016). Potato root system development and factors that determine its architecture.</w:t>
        </w:r>
        <w:r>
          <w:rPr>
            <w:rStyle w:val="Hyperlink"/>
          </w:rPr>
          <w:t xml:space="preserve"> </w:t>
        </w:r>
        <w:r>
          <w:rPr>
            <w:rStyle w:val="Hyperlink"/>
            <w:iCs/>
            <w:i/>
          </w:rPr>
          <w:t xml:space="preserve">Journal of Plant Physiology</w:t>
        </w:r>
        <w:r>
          <w:rPr>
            <w:rStyle w:val="Hyperlink"/>
          </w:rPr>
          <w:t xml:space="preserve">,</w:t>
        </w:r>
        <w:r>
          <w:rPr>
            <w:rStyle w:val="Hyperlink"/>
          </w:rPr>
          <w:t xml:space="preserve"> </w:t>
        </w:r>
        <w:r>
          <w:rPr>
            <w:rStyle w:val="Hyperlink"/>
            <w:iCs/>
            <w:i/>
          </w:rPr>
          <w:t xml:space="preserve">205</w:t>
        </w:r>
        <w:r>
          <w:rPr>
            <w:rStyle w:val="Hyperlink"/>
          </w:rPr>
          <w:t xml:space="preserve">, 113–123. https://doi.org/10.1016/j.jplph.2016.08.014</w:t>
        </w:r>
      </w:hyperlink>
    </w:p>
    <w:p>
      <w:pPr>
        <w:pStyle w:val="BodyText"/>
      </w:pPr>
      <w:hyperlink r:id="rId90">
        <w:r>
          <w:rPr>
            <w:rStyle w:val="Hyperlink"/>
          </w:rP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201</w:t>
        </w:r>
        <w:r>
          <w:rPr>
            <w:rStyle w:val="Hyperlink"/>
          </w:rPr>
          <w:t xml:space="preserve">(2), 81–94. https://doi.org/10.1111/jac.12091</w:t>
        </w:r>
      </w:hyperlink>
    </w:p>
    <w:p>
      <w:pPr>
        <w:pStyle w:val="BodyText"/>
      </w:pPr>
      <w:hyperlink r:id="rId90">
        <w:r>
          <w:rPr>
            <w:rStyle w:val="Hyperlink"/>
          </w:rPr>
          <w:t xml:space="preserve">Khan, M. A., Saravia, D., Munive, S., Lozano-Isla, F., Farfan, E., Eyzaguirre, R., &amp; Bonierbale, M. (2015). Multiple QTLs Linked to Agro-Morphological and Physiological Traits Related to Drought Tolerance in Potato.</w:t>
        </w:r>
        <w:r>
          <w:rPr>
            <w:rStyle w:val="Hyperlink"/>
          </w:rPr>
          <w:t xml:space="preserve"> </w:t>
        </w:r>
        <w:r>
          <w:rPr>
            <w:rStyle w:val="Hyperlink"/>
            <w:iCs/>
            <w:i/>
          </w:rPr>
          <w:t xml:space="preserve">Plant Molecular Biology Reporter</w:t>
        </w:r>
        <w:r>
          <w:rPr>
            <w:rStyle w:val="Hyperlink"/>
          </w:rPr>
          <w:t xml:space="preserve">,</w:t>
        </w:r>
        <w:r>
          <w:rPr>
            <w:rStyle w:val="Hyperlink"/>
          </w:rPr>
          <w:t xml:space="preserve"> </w:t>
        </w:r>
        <w:r>
          <w:rPr>
            <w:rStyle w:val="Hyperlink"/>
            <w:iCs/>
            <w:i/>
          </w:rPr>
          <w:t xml:space="preserve">33</w:t>
        </w:r>
        <w:r>
          <w:rPr>
            <w:rStyle w:val="Hyperlink"/>
          </w:rPr>
          <w:t xml:space="preserve">(5), 1286–1298. https://doi.org/10.1007/s11105-014-0824-z</w:t>
        </w:r>
      </w:hyperlink>
    </w:p>
    <w:p>
      <w:pPr>
        <w:pStyle w:val="BodyText"/>
      </w:pPr>
      <w:hyperlink r:id="rId90">
        <w:r>
          <w:rPr>
            <w:rStyle w:val="Hyperlink"/>
          </w:rPr>
          <w:t xml:space="preserve">Lê, S., Josse, J., &amp; Husson, F. (2008). FactoMineR: An R Package for Multivariate Analysis.</w:t>
        </w:r>
        <w:r>
          <w:rPr>
            <w:rStyle w:val="Hyperlink"/>
          </w:rPr>
          <w:t xml:space="preserve"> </w:t>
        </w:r>
        <w:r>
          <w:rPr>
            <w:rStyle w:val="Hyperlink"/>
            <w:iCs/>
            <w:i/>
          </w:rPr>
          <w:t xml:space="preserve">Journal of Statistical Software</w:t>
        </w:r>
        <w:r>
          <w:rPr>
            <w:rStyle w:val="Hyperlink"/>
          </w:rPr>
          <w:t xml:space="preserve">,</w:t>
        </w:r>
        <w:r>
          <w:rPr>
            <w:rStyle w:val="Hyperlink"/>
          </w:rPr>
          <w:t xml:space="preserve"> </w:t>
        </w:r>
        <w:r>
          <w:rPr>
            <w:rStyle w:val="Hyperlink"/>
            <w:iCs/>
            <w:i/>
          </w:rPr>
          <w:t xml:space="preserve">25</w:t>
        </w:r>
        <w:r>
          <w:rPr>
            <w:rStyle w:val="Hyperlink"/>
          </w:rPr>
          <w:t xml:space="preserve">(1), 1–18. https://doi.org/10.18637/jss.v025.i01</w:t>
        </w:r>
      </w:hyperlink>
    </w:p>
    <w:p>
      <w:pPr>
        <w:pStyle w:val="BodyText"/>
      </w:pPr>
      <w:hyperlink r:id="rId90">
        <w:r>
          <w:rPr>
            <w:rStyle w:val="Hyperlink"/>
          </w:rPr>
          <w:t xml:space="preserve">Liu, F., Shahnazari, A., Andersen, M. N., Jacobsen, S.-E., &amp; Jensen, C. R. (2006). Effects of deficit irrigation (DI) and partial root drying (PRD) on gas exchange, biomass partitioning, and water use efficiency in potato.</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109</w:t>
        </w:r>
        <w:r>
          <w:rPr>
            <w:rStyle w:val="Hyperlink"/>
          </w:rPr>
          <w:t xml:space="preserve">(2), 113–117. https://doi.org/10.1016/j.scienta.2006.04.004</w:t>
        </w:r>
      </w:hyperlink>
    </w:p>
    <w:p>
      <w:pPr>
        <w:pStyle w:val="BodyText"/>
      </w:pPr>
      <w:hyperlink r:id="rId90">
        <w:r>
          <w:rPr>
            <w:rStyle w:val="Hyperlink"/>
          </w:rPr>
          <w:t xml:space="preserve">Lozano-Isla, F. (2020).</w:t>
        </w:r>
        <w:r>
          <w:rPr>
            <w:rStyle w:val="Hyperlink"/>
          </w:rPr>
          <w:t xml:space="preserve"> </w:t>
        </w:r>
        <w:r>
          <w:rPr>
            <w:rStyle w:val="Hyperlink"/>
            <w:iCs/>
            <w:i/>
          </w:rPr>
          <w:t xml:space="preserve">inti: Tools and Statistical Procedures in Plant Science</w:t>
        </w:r>
        <w:r>
          <w:rPr>
            <w:rStyle w:val="Hyperlink"/>
          </w:rPr>
          <w:t xml:space="preserve">. https://CRAN.R-project.org/package=inti</w:t>
        </w:r>
      </w:hyperlink>
    </w:p>
    <w:p>
      <w:pPr>
        <w:pStyle w:val="BodyText"/>
      </w:pPr>
      <w:hyperlink r:id="rId90">
        <w:r>
          <w:rPr>
            <w:rStyle w:val="Hyperlink"/>
          </w:rPr>
          <w:t xml:space="preserve">Lozano-Isla, F., Benites-Alfaro, O. E., &amp; Pompelli, M. F. (2019). GerminaR: An R package for germination analysis with the interactive web application</w:t>
        </w:r>
        <w:r>
          <w:rPr>
            <w:rStyle w:val="Hyperlink"/>
          </w:rPr>
          <w:t xml:space="preserve"> </w:t>
        </w:r>
        <w:r>
          <w:rPr>
            <w:rStyle w:val="Hyperlink"/>
          </w:rPr>
          <w:t xml:space="preserve">“</w:t>
        </w:r>
        <w:r>
          <w:rPr>
            <w:rStyle w:val="Hyperlink"/>
          </w:rPr>
          <w:t xml:space="preserve">GerminaQuant for R.</w:t>
        </w:r>
        <w:r>
          <w:rPr>
            <w:rStyle w:val="Hyperlink"/>
          </w:rPr>
          <w:t xml:space="preserve">”</w:t>
        </w:r>
        <w:r>
          <w:rPr>
            <w:rStyle w:val="Hyperlink"/>
          </w:rPr>
          <w:t xml:space="preserve"> </w:t>
        </w:r>
        <w:r>
          <w:rPr>
            <w:rStyle w:val="Hyperlink"/>
            <w:iCs/>
            <w:i/>
          </w:rPr>
          <w:t xml:space="preserve">Ecological Research</w:t>
        </w:r>
        <w:r>
          <w:rPr>
            <w:rStyle w:val="Hyperlink"/>
          </w:rPr>
          <w:t xml:space="preserve">,</w:t>
        </w:r>
        <w:r>
          <w:rPr>
            <w:rStyle w:val="Hyperlink"/>
          </w:rPr>
          <w:t xml:space="preserve"> </w:t>
        </w:r>
        <w:r>
          <w:rPr>
            <w:rStyle w:val="Hyperlink"/>
            <w:iCs/>
            <w:i/>
          </w:rPr>
          <w:t xml:space="preserve">34</w:t>
        </w:r>
        <w:r>
          <w:rPr>
            <w:rStyle w:val="Hyperlink"/>
          </w:rPr>
          <w:t xml:space="preserve">(2), 339–346. https://doi.org/10.1111/1440-1703.1275</w:t>
        </w:r>
      </w:hyperlink>
    </w:p>
    <w:p>
      <w:pPr>
        <w:pStyle w:val="BodyText"/>
      </w:pPr>
      <w:hyperlink r:id="rId90">
        <w:r>
          <w:rPr>
            <w:rStyle w:val="Hyperlink"/>
          </w:rPr>
          <w:t xml:space="preserve">Monneveux, P., Ramírez, D. A., Khan, M. A., Raymundo, R. M., Loayza, H., &amp; Quiroz, R. (2014). Drought and Heat Tolerance Evaluation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57</w:t>
        </w:r>
        <w:r>
          <w:rPr>
            <w:rStyle w:val="Hyperlink"/>
          </w:rPr>
          <w:t xml:space="preserve">(3), 225–247. https://doi.org/10.1007/s11540-014-9263-3</w:t>
        </w:r>
      </w:hyperlink>
    </w:p>
    <w:p>
      <w:pPr>
        <w:pStyle w:val="BodyText"/>
      </w:pPr>
      <w:hyperlink r:id="rId90">
        <w:r>
          <w:rPr>
            <w:rStyle w:val="Hyperlink"/>
          </w:rPr>
          <w:t xml:space="preserve">Monneveux, P., Ramírez, D. A., &amp; Pino, M.-T. (2013). Drought tolerance in potato (</w:t>
        </w:r>
        <w:r>
          <w:rPr>
            <w:rStyle w:val="Hyperlink"/>
            <w:iCs/>
            <w:i/>
          </w:rPr>
          <w:t xml:space="preserve">Solanum tuberosum</w:t>
        </w:r>
        <w:r>
          <w:rPr>
            <w:rStyle w:val="Hyperlink"/>
          </w:rPr>
          <w:t xml:space="preserve"> </w:t>
        </w:r>
        <w:r>
          <w:rPr>
            <w:rStyle w:val="Hyperlink"/>
          </w:rPr>
          <w:t xml:space="preserve">L.): Can we learn from drought tolerance research in cereals?</w:t>
        </w:r>
        <w:r>
          <w:rPr>
            <w:rStyle w:val="Hyperlink"/>
          </w:rPr>
          <w:t xml:space="preserve"> </w:t>
        </w:r>
        <w:r>
          <w:rPr>
            <w:rStyle w:val="Hyperlink"/>
            <w:iCs/>
            <w:i/>
          </w:rPr>
          <w:t xml:space="preserve">Plant Science</w:t>
        </w:r>
        <w:r>
          <w:rPr>
            <w:rStyle w:val="Hyperlink"/>
          </w:rPr>
          <w:t xml:space="preserve">,</w:t>
        </w:r>
        <w:r>
          <w:rPr>
            <w:rStyle w:val="Hyperlink"/>
          </w:rPr>
          <w:t xml:space="preserve"> </w:t>
        </w:r>
        <w:r>
          <w:rPr>
            <w:rStyle w:val="Hyperlink"/>
            <w:iCs/>
            <w:i/>
          </w:rPr>
          <w:t xml:space="preserve">205–207</w:t>
        </w:r>
        <w:r>
          <w:rPr>
            <w:rStyle w:val="Hyperlink"/>
          </w:rPr>
          <w:t xml:space="preserve">, 76–86. https://doi.org/10.1016/j.plantsci.2013.01.011</w:t>
        </w:r>
      </w:hyperlink>
    </w:p>
    <w:p>
      <w:pPr>
        <w:pStyle w:val="BodyText"/>
      </w:pPr>
      <w:hyperlink r:id="rId90">
        <w:r>
          <w:rPr>
            <w:rStyle w:val="Hyperlink"/>
          </w:rPr>
          <w:t xml:space="preserve">Motalebifard, R., Najafi, N., Oustan, S., Nyshabouri, M. R., &amp; Valizadeh, M. (2013). The combined effects of phosphorus and zinc on evapotranspiration, leaf water potential, water use efficiency and tuber attributes of potato under water deficit conditions.</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162</w:t>
        </w:r>
        <w:r>
          <w:rPr>
            <w:rStyle w:val="Hyperlink"/>
          </w:rPr>
          <w:t xml:space="preserve">, 31–38. https://doi.org/10.1016/j.scienta.2013.07.043</w:t>
        </w:r>
      </w:hyperlink>
    </w:p>
    <w:p>
      <w:pPr>
        <w:pStyle w:val="BodyText"/>
      </w:pPr>
      <w:hyperlink r:id="rId90">
        <w:r>
          <w:rPr>
            <w:rStyle w:val="Hyperlink"/>
          </w:rPr>
          <w:t xml:space="preserve">Obidiegwu, J. E., Bryan, G. J., Jones, H. G., &amp; Prashar, A. (2015). Coping with drought: Stress and adaptive responses in potato and perspectives for improvement.</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6</w:t>
        </w:r>
        <w:r>
          <w:rPr>
            <w:rStyle w:val="Hyperlink"/>
          </w:rPr>
          <w:t xml:space="preserve">. https://doi.org/10.3389/fpls.2015.00542</w:t>
        </w:r>
      </w:hyperlink>
    </w:p>
    <w:p>
      <w:pPr>
        <w:pStyle w:val="BodyText"/>
      </w:pPr>
      <w:hyperlink r:id="rId90">
        <w:r>
          <w:rPr>
            <w:rStyle w:val="Hyperlink"/>
          </w:rPr>
          <w:t xml:space="preserve">Ogaya, R., &amp; Peñuelas, J. (2003). Comparative field study of</w:t>
        </w:r>
        <w:r>
          <w:rPr>
            <w:rStyle w:val="Hyperlink"/>
          </w:rPr>
          <w:t xml:space="preserve"> </w:t>
        </w:r>
        <w:r>
          <w:rPr>
            <w:rStyle w:val="Hyperlink"/>
            <w:iCs/>
            <w:i/>
          </w:rPr>
          <w:t xml:space="preserve">Quercus ilex</w:t>
        </w:r>
        <w:r>
          <w:rPr>
            <w:rStyle w:val="Hyperlink"/>
          </w:rPr>
          <w:t xml:space="preserve"> </w:t>
        </w:r>
        <w:r>
          <w:rPr>
            <w:rStyle w:val="Hyperlink"/>
          </w:rPr>
          <w:t xml:space="preserve">and</w:t>
        </w:r>
        <w:r>
          <w:rPr>
            <w:rStyle w:val="Hyperlink"/>
          </w:rPr>
          <w:t xml:space="preserve"> </w:t>
        </w:r>
        <w:r>
          <w:rPr>
            <w:rStyle w:val="Hyperlink"/>
            <w:iCs/>
            <w:i/>
          </w:rPr>
          <w:t xml:space="preserve">Phillyrea latifolia</w:t>
        </w:r>
        <w:r>
          <w:rPr>
            <w:rStyle w:val="Hyperlink"/>
          </w:rPr>
          <w:t xml:space="preserve">: Photosynthetic response to experimental drought conditions.</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50</w:t>
        </w:r>
        <w:r>
          <w:rPr>
            <w:rStyle w:val="Hyperlink"/>
          </w:rPr>
          <w:t xml:space="preserve">(2), 137–148. https://doi.org/10.1016/S0098-8472(03)00019-4</w:t>
        </w:r>
      </w:hyperlink>
    </w:p>
    <w:p>
      <w:pPr>
        <w:pStyle w:val="BodyText"/>
      </w:pPr>
      <w:hyperlink r:id="rId90">
        <w:r>
          <w:rPr>
            <w:rStyle w:val="Hyperlink"/>
          </w:rPr>
          <w:t xml:space="preserve">Ray, J. D., &amp; Sinclair, T. R. (1998). The effect of pot size on growth and transpiration of maize and soybean during water deficit stress.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49</w:t>
        </w:r>
        <w:r>
          <w:rPr>
            <w:rStyle w:val="Hyperlink"/>
          </w:rPr>
          <w:t xml:space="preserve">(325), 1381–1386. https://doi.org/10.1093/jxb/49.325.1381</w:t>
        </w:r>
      </w:hyperlink>
    </w:p>
    <w:p>
      <w:pPr>
        <w:pStyle w:val="BodyText"/>
      </w:pPr>
      <w:hyperlink r:id="rId90">
        <w:r>
          <w:rPr>
            <w:rStyle w:val="Hyperlink"/>
          </w:rP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rPr>
            <w:rStyle w:val="Hyperlink"/>
          </w:rPr>
          <w:t xml:space="preserve"> </w:t>
        </w:r>
        <w:r>
          <w:rPr>
            <w:rStyle w:val="Hyperlink"/>
            <w:iCs/>
            <w:i/>
          </w:rPr>
          <w:t xml:space="preserve">Physiologia Plantarum</w:t>
        </w:r>
        <w:r>
          <w:rPr>
            <w:rStyle w:val="Hyperlink"/>
          </w:rPr>
          <w:t xml:space="preserve">,</w:t>
        </w:r>
        <w:r>
          <w:rPr>
            <w:rStyle w:val="Hyperlink"/>
          </w:rPr>
          <w:t xml:space="preserve"> </w:t>
        </w:r>
        <w:r>
          <w:rPr>
            <w:rStyle w:val="Hyperlink"/>
            <w:iCs/>
            <w:i/>
          </w:rPr>
          <w:t xml:space="preserve">n/a</w:t>
        </w:r>
        <w:r>
          <w:rPr>
            <w:rStyle w:val="Hyperlink"/>
          </w:rPr>
          <w:t xml:space="preserve">(n/a). https://doi.org/10.1111/ppl.13062</w:t>
        </w:r>
      </w:hyperlink>
    </w:p>
    <w:p>
      <w:pPr>
        <w:pStyle w:val="BodyText"/>
      </w:pPr>
      <w:hyperlink r:id="rId90">
        <w:r>
          <w:rPr>
            <w:rStyle w:val="Hyperlink"/>
          </w:rPr>
          <w:t xml:space="preserve">Rodríguez-Pérez, L., Ñústez L, C. E., Moreno F, L. P., Rodríguez-Pérez, L., Ñústez L, C. E., &amp; Moreno F, L. P. (2017). Drought stress affects physiological parameters but not tuber yield in three Andean potato (</w:t>
        </w:r>
        <w:r>
          <w:rPr>
            <w:rStyle w:val="Hyperlink"/>
            <w:iCs/>
            <w:i/>
          </w:rPr>
          <w:t xml:space="preserve">Solanum tuberosum</w:t>
        </w:r>
        <w:r>
          <w:rPr>
            <w:rStyle w:val="Hyperlink"/>
          </w:rPr>
          <w:t xml:space="preserve"> </w:t>
        </w:r>
        <w:r>
          <w:rPr>
            <w:rStyle w:val="Hyperlink"/>
          </w:rPr>
          <w:t xml:space="preserve">L.) cultivars.</w:t>
        </w:r>
        <w:r>
          <w:rPr>
            <w:rStyle w:val="Hyperlink"/>
          </w:rPr>
          <w:t xml:space="preserve"> </w:t>
        </w:r>
        <w:r>
          <w:rPr>
            <w:rStyle w:val="Hyperlink"/>
            <w:iCs/>
            <w:i/>
          </w:rPr>
          <w:t xml:space="preserve">Agronomía Colombiana</w:t>
        </w:r>
        <w:r>
          <w:rPr>
            <w:rStyle w:val="Hyperlink"/>
          </w:rPr>
          <w:t xml:space="preserve">,</w:t>
        </w:r>
        <w:r>
          <w:rPr>
            <w:rStyle w:val="Hyperlink"/>
          </w:rPr>
          <w:t xml:space="preserve"> </w:t>
        </w:r>
        <w:r>
          <w:rPr>
            <w:rStyle w:val="Hyperlink"/>
            <w:iCs/>
            <w:i/>
          </w:rPr>
          <w:t xml:space="preserve">35</w:t>
        </w:r>
        <w:r>
          <w:rPr>
            <w:rStyle w:val="Hyperlink"/>
          </w:rPr>
          <w:t xml:space="preserve">(2), 158–170. https://doi.org/10.15446/agron.colomb.v35n2.65901</w:t>
        </w:r>
      </w:hyperlink>
    </w:p>
    <w:p>
      <w:pPr>
        <w:pStyle w:val="BodyText"/>
      </w:pPr>
      <w:hyperlink r:id="rId90">
        <w:r>
          <w:rPr>
            <w:rStyle w:val="Hyperlink"/>
          </w:rPr>
          <w:t xml:space="preserve">Rolando, J. L., Ramírez, D. A., Yactayo, W., Monneveux, P., &amp; Quiroz, R. (2015). Leaf greenness as a drought tolerance related trait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110</w:t>
        </w:r>
        <w:r>
          <w:rPr>
            <w:rStyle w:val="Hyperlink"/>
          </w:rPr>
          <w:t xml:space="preserve">, 27–35. https://doi.org/10.1016/j.envexpbot.2014.09.006</w:t>
        </w:r>
      </w:hyperlink>
    </w:p>
    <w:p>
      <w:pPr>
        <w:pStyle w:val="BodyText"/>
      </w:pPr>
      <w:hyperlink r:id="rId90">
        <w:r>
          <w:rPr>
            <w:rStyle w:val="Hyperlink"/>
          </w:rPr>
          <w:t xml:space="preserve">Saravia, D., Farfán-Vignolo, E. R., Gutiérrez, R., De Mendiburu, F., Schafleitner, R., Bonierbale, M., &amp; Khan, M. A. (2016). Yield and Physiological Response of Potatoes Indicate Different Strategies to Cope with Drought Stress and Nitrogen Fertilization.</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93</w:t>
        </w:r>
        <w:r>
          <w:rPr>
            <w:rStyle w:val="Hyperlink"/>
          </w:rPr>
          <w:t xml:space="preserve">(3), 288–295. https://doi.org/10.1007/s12230-016-9505-9</w:t>
        </w:r>
      </w:hyperlink>
    </w:p>
    <w:p>
      <w:pPr>
        <w:pStyle w:val="BodyText"/>
      </w:pPr>
      <w:hyperlink r:id="rId90">
        <w:r>
          <w:rPr>
            <w:rStyle w:val="Hyperlink"/>
          </w:rPr>
          <w:t xml:space="preserve">Schafleitner, R., Gutierrez, R., Espino, R., Gaudin, A., Pérez, J., Martínez, M., Domínguez, A., Tincopa, L., Alvarado, C., Numberto, G., &amp; Bonierbale, M. (2007). Field Screening for Variation of Drought Tolerance in</w:t>
        </w:r>
        <w:r>
          <w:rPr>
            <w:rStyle w:val="Hyperlink"/>
          </w:rPr>
          <w:t xml:space="preserve"> </w:t>
        </w:r>
        <w:r>
          <w:rPr>
            <w:rStyle w:val="Hyperlink"/>
            <w:iCs/>
            <w:i/>
          </w:rPr>
          <w:t xml:space="preserve">Solanum tuberosum</w:t>
        </w:r>
        <w:r>
          <w:rPr>
            <w:rStyle w:val="Hyperlink"/>
          </w:rPr>
          <w:t xml:space="preserve"> </w:t>
        </w:r>
        <w:r>
          <w:rPr>
            <w:rStyle w:val="Hyperlink"/>
          </w:rPr>
          <w:t xml:space="preserve">L. by Agronomical, Physiological and Genetic Analysis.</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50</w:t>
        </w:r>
        <w:r>
          <w:rPr>
            <w:rStyle w:val="Hyperlink"/>
          </w:rPr>
          <w:t xml:space="preserve">(1), 71–85. https://doi.org/10.1007/s11540-007-9030-9</w:t>
        </w:r>
      </w:hyperlink>
    </w:p>
    <w:p>
      <w:pPr>
        <w:pStyle w:val="BodyText"/>
      </w:pPr>
      <w:hyperlink r:id="rId90">
        <w:r>
          <w:rPr>
            <w:rStyle w:val="Hyperlink"/>
          </w:rPr>
          <w:t xml:space="preserve">Schmidt, P., Hartung, J., Bennewitz, J., &amp; Piepho, H.-P. (2019). Heritability in Plant Breeding on a Genotype-Difference Basis.</w:t>
        </w:r>
        <w:r>
          <w:rPr>
            <w:rStyle w:val="Hyperlink"/>
          </w:rPr>
          <w:t xml:space="preserve"> </w:t>
        </w:r>
        <w:r>
          <w:rPr>
            <w:rStyle w:val="Hyperlink"/>
            <w:iCs/>
            <w:i/>
          </w:rPr>
          <w:t xml:space="preserve">Genetics</w:t>
        </w:r>
        <w:r>
          <w:rPr>
            <w:rStyle w:val="Hyperlink"/>
          </w:rPr>
          <w:t xml:space="preserve">,</w:t>
        </w:r>
        <w:r>
          <w:rPr>
            <w:rStyle w:val="Hyperlink"/>
          </w:rPr>
          <w:t xml:space="preserve"> </w:t>
        </w:r>
        <w:r>
          <w:rPr>
            <w:rStyle w:val="Hyperlink"/>
            <w:iCs/>
            <w:i/>
          </w:rPr>
          <w:t xml:space="preserve">212</w:t>
        </w:r>
        <w:r>
          <w:rPr>
            <w:rStyle w:val="Hyperlink"/>
          </w:rPr>
          <w:t xml:space="preserve">(4), 991–1008. https://doi.org/10.1534/genetics.119.302134</w:t>
        </w:r>
      </w:hyperlink>
    </w:p>
    <w:p>
      <w:pPr>
        <w:pStyle w:val="BodyText"/>
      </w:pPr>
      <w:hyperlink r:id="rId90">
        <w:r>
          <w:rPr>
            <w:rStyle w:val="Hyperlink"/>
          </w:rPr>
          <w:t xml:space="preserve">Sinclair, T., &amp; Ludlow, M. (1986). Influence of Soil Water Supply on the Plant Water Balance of Four Tropical Grain Legumes.</w:t>
        </w:r>
        <w:r>
          <w:rPr>
            <w:rStyle w:val="Hyperlink"/>
          </w:rPr>
          <w:t xml:space="preserve"> </w:t>
        </w:r>
        <w:r>
          <w:rPr>
            <w:rStyle w:val="Hyperlink"/>
            <w:iCs/>
            <w:i/>
          </w:rPr>
          <w:t xml:space="preserve">Australian Journal of Plant Physiology</w:t>
        </w:r>
        <w:r>
          <w:rPr>
            <w:rStyle w:val="Hyperlink"/>
          </w:rPr>
          <w:t xml:space="preserve">,</w:t>
        </w:r>
        <w:r>
          <w:rPr>
            <w:rStyle w:val="Hyperlink"/>
          </w:rPr>
          <w:t xml:space="preserve"> </w:t>
        </w:r>
        <w:r>
          <w:rPr>
            <w:rStyle w:val="Hyperlink"/>
            <w:iCs/>
            <w:i/>
          </w:rPr>
          <w:t xml:space="preserve">13</w:t>
        </w:r>
        <w:r>
          <w:rPr>
            <w:rStyle w:val="Hyperlink"/>
          </w:rPr>
          <w:t xml:space="preserve">(3), 329. https://doi.org/10.1071/PP9860329</w:t>
        </w:r>
      </w:hyperlink>
    </w:p>
    <w:p>
      <w:pPr>
        <w:pStyle w:val="BodyText"/>
      </w:pPr>
      <w:hyperlink r:id="rId90">
        <w:r>
          <w:rPr>
            <w:rStyle w:val="Hyperlink"/>
          </w:rPr>
          <w:t xml:space="preserve">Sinclair, T. R., Tanner, C. B., &amp; Bennett, J. M. (1984). Water-Use Efficiency in Crop Production.</w:t>
        </w:r>
        <w:r>
          <w:rPr>
            <w:rStyle w:val="Hyperlink"/>
          </w:rPr>
          <w:t xml:space="preserve"> </w:t>
        </w:r>
        <w:r>
          <w:rPr>
            <w:rStyle w:val="Hyperlink"/>
            <w:iCs/>
            <w:i/>
          </w:rPr>
          <w:t xml:space="preserve">BioScience</w:t>
        </w:r>
        <w:r>
          <w:rPr>
            <w:rStyle w:val="Hyperlink"/>
          </w:rPr>
          <w:t xml:space="preserve">,</w:t>
        </w:r>
        <w:r>
          <w:rPr>
            <w:rStyle w:val="Hyperlink"/>
          </w:rPr>
          <w:t xml:space="preserve"> </w:t>
        </w:r>
        <w:r>
          <w:rPr>
            <w:rStyle w:val="Hyperlink"/>
            <w:iCs/>
            <w:i/>
          </w:rPr>
          <w:t xml:space="preserve">34</w:t>
        </w:r>
        <w:r>
          <w:rPr>
            <w:rStyle w:val="Hyperlink"/>
          </w:rPr>
          <w:t xml:space="preserve">(1), 36–40. https://doi.org/10.2307/1309424</w:t>
        </w:r>
      </w:hyperlink>
    </w:p>
    <w:p>
      <w:pPr>
        <w:pStyle w:val="BodyText"/>
      </w:pPr>
      <w:hyperlink r:id="rId90">
        <w:r>
          <w:rPr>
            <w:rStyle w:val="Hyperlink"/>
          </w:rPr>
          <w:t xml:space="preserve">Soltys-Kalina, D., Plich, J., Strzelczyk-Żyta, D., Śliwka, J., &amp; Marczewski, W. (2016). The effect of drought stress on the leaf relative water content and tuber yield of a half-sib family of</w:t>
        </w:r>
        <w:r>
          <w:rPr>
            <w:rStyle w:val="Hyperlink"/>
          </w:rPr>
          <w:t xml:space="preserve"> </w:t>
        </w:r>
        <w:r>
          <w:rPr>
            <w:rStyle w:val="Hyperlink"/>
          </w:rPr>
          <w:t xml:space="preserve">‘</w:t>
        </w:r>
        <w:r>
          <w:rPr>
            <w:rStyle w:val="Hyperlink"/>
          </w:rPr>
          <w:t xml:space="preserve">Katahdin</w:t>
        </w:r>
        <w:r>
          <w:rPr>
            <w:rStyle w:val="Hyperlink"/>
          </w:rPr>
          <w:t xml:space="preserve">’</w:t>
        </w:r>
        <w:r>
          <w:rPr>
            <w:rStyle w:val="Hyperlink"/>
          </w:rPr>
          <w:t xml:space="preserve">-derived potato cultivars.</w:t>
        </w:r>
        <w:r>
          <w:rPr>
            <w:rStyle w:val="Hyperlink"/>
          </w:rPr>
          <w:t xml:space="preserve"> </w:t>
        </w:r>
        <w:r>
          <w:rPr>
            <w:rStyle w:val="Hyperlink"/>
            <w:iCs/>
            <w:i/>
          </w:rPr>
          <w:t xml:space="preserve">Breeding Science</w:t>
        </w:r>
        <w:r>
          <w:rPr>
            <w:rStyle w:val="Hyperlink"/>
          </w:rPr>
          <w:t xml:space="preserve">,</w:t>
        </w:r>
        <w:r>
          <w:rPr>
            <w:rStyle w:val="Hyperlink"/>
          </w:rPr>
          <w:t xml:space="preserve"> </w:t>
        </w:r>
        <w:r>
          <w:rPr>
            <w:rStyle w:val="Hyperlink"/>
            <w:iCs/>
            <w:i/>
          </w:rPr>
          <w:t xml:space="preserve">66</w:t>
        </w:r>
        <w:r>
          <w:rPr>
            <w:rStyle w:val="Hyperlink"/>
          </w:rPr>
          <w:t xml:space="preserve">(2), 328–331. https://doi.org/10.1270/jsbbs.66.328</w:t>
        </w:r>
      </w:hyperlink>
    </w:p>
    <w:p>
      <w:pPr>
        <w:pStyle w:val="BodyText"/>
      </w:pPr>
      <w:hyperlink r:id="rId90">
        <w:r>
          <w:rPr>
            <w:rStyle w:val="Hyperlink"/>
          </w:rPr>
          <w:t xml:space="preserve">Songsri, P., Jogloy, S., Holbrook, C. C., Kesmala, T., Vorasoot, N., Akkasaeng, C., &amp; Patanothai, A. (2009). Association of root, specific leaf area and SPAD chlorophyll meter reading to water use efficiency of peanut under different available soil water.</w:t>
        </w:r>
        <w:r>
          <w:rPr>
            <w:rStyle w:val="Hyperlink"/>
          </w:rPr>
          <w:t xml:space="preserve"> </w:t>
        </w:r>
        <w:r>
          <w:rPr>
            <w:rStyle w:val="Hyperlink"/>
            <w:iCs/>
            <w:i/>
          </w:rPr>
          <w:t xml:space="preserve">Agricultural Water Management</w:t>
        </w:r>
        <w:r>
          <w:rPr>
            <w:rStyle w:val="Hyperlink"/>
          </w:rPr>
          <w:t xml:space="preserve">,</w:t>
        </w:r>
        <w:r>
          <w:rPr>
            <w:rStyle w:val="Hyperlink"/>
          </w:rPr>
          <w:t xml:space="preserve"> </w:t>
        </w:r>
        <w:r>
          <w:rPr>
            <w:rStyle w:val="Hyperlink"/>
            <w:iCs/>
            <w:i/>
          </w:rPr>
          <w:t xml:space="preserve">96</w:t>
        </w:r>
        <w:r>
          <w:rPr>
            <w:rStyle w:val="Hyperlink"/>
          </w:rPr>
          <w:t xml:space="preserve">(5), 790–798. https://doi.org/10.1016/j.agwat.2008.10.009</w:t>
        </w:r>
      </w:hyperlink>
    </w:p>
    <w:p>
      <w:pPr>
        <w:pStyle w:val="BodyText"/>
      </w:pPr>
      <w:hyperlink r:id="rId90">
        <w:r>
          <w:rPr>
            <w:rStyle w:val="Hyperlink"/>
          </w:rPr>
          <w:t xml:space="preserve">Sprenger, H., Kurowsky, C., Horn, R., Erban, A., Seddig, S., Rudack, K., Fischer, A., Walther, D., Zuther, E., Köhl, K., Hincha, D. K., &amp; Kopka, J. (2016). The drought response of potato reference cultivars with contrasting tolerance.</w:t>
        </w:r>
        <w:r>
          <w:rPr>
            <w:rStyle w:val="Hyperlink"/>
          </w:rPr>
          <w:t xml:space="preserve"> </w:t>
        </w:r>
        <w:r>
          <w:rPr>
            <w:rStyle w:val="Hyperlink"/>
            <w:iCs/>
            <w:i/>
          </w:rPr>
          <w:t xml:space="preserve">Plant, Cell &amp; Environment</w:t>
        </w:r>
        <w:r>
          <w:rPr>
            <w:rStyle w:val="Hyperlink"/>
          </w:rPr>
          <w:t xml:space="preserve">,</w:t>
        </w:r>
        <w:r>
          <w:rPr>
            <w:rStyle w:val="Hyperlink"/>
          </w:rPr>
          <w:t xml:space="preserve"> </w:t>
        </w:r>
        <w:r>
          <w:rPr>
            <w:rStyle w:val="Hyperlink"/>
            <w:iCs/>
            <w:i/>
          </w:rPr>
          <w:t xml:space="preserve">39</w:t>
        </w:r>
        <w:r>
          <w:rPr>
            <w:rStyle w:val="Hyperlink"/>
          </w:rPr>
          <w:t xml:space="preserve">(11), 2370–2389. https://doi.org/10.1111/pce.12780</w:t>
        </w:r>
      </w:hyperlink>
    </w:p>
    <w:p>
      <w:pPr>
        <w:pStyle w:val="BodyText"/>
      </w:pPr>
      <w:hyperlink r:id="rId90">
        <w:r>
          <w:rPr>
            <w:rStyle w:val="Hyperlink"/>
          </w:rPr>
          <w:t xml:space="preserve">Stark, J. C., Love, S. L., King, B. A., Marshall, J. M., Bohl, W. H., &amp; Salaiz, T. (2013). Potato Cultivar Response to Seasonal Drought Patterns.</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90</w:t>
        </w:r>
        <w:r>
          <w:rPr>
            <w:rStyle w:val="Hyperlink"/>
          </w:rPr>
          <w:t xml:space="preserve">(3), 207–216. https://doi.org/10.1007/s12230-012-9285-9</w:t>
        </w:r>
      </w:hyperlink>
    </w:p>
    <w:p>
      <w:pPr>
        <w:pStyle w:val="BodyText"/>
      </w:pPr>
      <w:hyperlink r:id="rId90">
        <w:r>
          <w:rPr>
            <w:rStyle w:val="Hyperlink"/>
          </w:rPr>
          <w:t xml:space="preserve">Trebejo, I., &amp; Midmore, D. J. (1990). Effect of water stress on potato growth, yield and water use in a hot and a cool tropical climate.</w:t>
        </w:r>
        <w:r>
          <w:rPr>
            <w:rStyle w:val="Hyperlink"/>
          </w:rPr>
          <w:t xml:space="preserve"> </w:t>
        </w:r>
        <w:r>
          <w:rPr>
            <w:rStyle w:val="Hyperlink"/>
            <w:iCs/>
            <w:i/>
          </w:rPr>
          <w:t xml:space="preserve">The Journal of Agricultural Science</w:t>
        </w:r>
        <w:r>
          <w:rPr>
            <w:rStyle w:val="Hyperlink"/>
          </w:rPr>
          <w:t xml:space="preserve">,</w:t>
        </w:r>
        <w:r>
          <w:rPr>
            <w:rStyle w:val="Hyperlink"/>
          </w:rPr>
          <w:t xml:space="preserve"> </w:t>
        </w:r>
        <w:r>
          <w:rPr>
            <w:rStyle w:val="Hyperlink"/>
            <w:iCs/>
            <w:i/>
          </w:rPr>
          <w:t xml:space="preserve">114</w:t>
        </w:r>
        <w:r>
          <w:rPr>
            <w:rStyle w:val="Hyperlink"/>
          </w:rPr>
          <w:t xml:space="preserve">(03), 321. https://doi.org/10.1017/S0021859600072713</w:t>
        </w:r>
      </w:hyperlink>
    </w:p>
    <w:p>
      <w:pPr>
        <w:pStyle w:val="BodyText"/>
      </w:pPr>
      <w:hyperlink r:id="rId90">
        <w:r>
          <w:rPr>
            <w:rStyle w:val="Hyperlink"/>
          </w:rPr>
          <w:t xml:space="preserve">Tuberosa, R. (2012). Phenotyping for drought tolerance of crops in the genomics era.</w:t>
        </w:r>
        <w:r>
          <w:rPr>
            <w:rStyle w:val="Hyperlink"/>
          </w:rPr>
          <w:t xml:space="preserve"> </w:t>
        </w:r>
        <w:r>
          <w:rPr>
            <w:rStyle w:val="Hyperlink"/>
            <w:iCs/>
            <w:i/>
          </w:rPr>
          <w:t xml:space="preserve">Frontiers in Physiology</w:t>
        </w:r>
        <w:r>
          <w:rPr>
            <w:rStyle w:val="Hyperlink"/>
          </w:rPr>
          <w:t xml:space="preserve">,</w:t>
        </w:r>
        <w:r>
          <w:rPr>
            <w:rStyle w:val="Hyperlink"/>
          </w:rPr>
          <w:t xml:space="preserve"> </w:t>
        </w:r>
        <w:r>
          <w:rPr>
            <w:rStyle w:val="Hyperlink"/>
            <w:iCs/>
            <w:i/>
          </w:rPr>
          <w:t xml:space="preserve">3</w:t>
        </w:r>
        <w:r>
          <w:rPr>
            <w:rStyle w:val="Hyperlink"/>
          </w:rPr>
          <w:t xml:space="preserve">. https://doi.org/10.3389/fphys.2012.00347</w:t>
        </w:r>
      </w:hyperlink>
    </w:p>
    <w:p>
      <w:pPr>
        <w:pStyle w:val="BodyText"/>
      </w:pPr>
      <w:hyperlink r:id="rId90">
        <w:r>
          <w:rPr>
            <w:rStyle w:val="Hyperlink"/>
          </w:rPr>
          <w:t xml:space="preserve">Vasquez-Robinet, C., Mane, S. P., Ulanov, A. V., Watkinson, J. I., Stromberg, V. K., De Koeyer, D., Schafleitner, R., Willmot, D. B., Bonierbale, M., Bohnert, H. J., &amp; Grene, R. (2008). Physiological and molecular adaptations to drought in Andean potato genotypes.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59</w:t>
        </w:r>
        <w:r>
          <w:rPr>
            <w:rStyle w:val="Hyperlink"/>
          </w:rPr>
          <w:t xml:space="preserve">(8), 2109–2123. https://doi.org/10.1093/jxb/ern073</w:t>
        </w:r>
      </w:hyperlink>
    </w:p>
    <w:p>
      <w:pPr>
        <w:pStyle w:val="BodyText"/>
      </w:pPr>
      <w:hyperlink r:id="rId90">
        <w:r>
          <w:rPr>
            <w:rStyle w:val="Hyperlink"/>
          </w:rPr>
          <w:t xml:space="preserve">Yang, J., Zhang, N., Zhou, X., Si, H., &amp; Wang, D. (2016). Identification of four novel stu-miR169s and their target genes in</w:t>
        </w:r>
        <w:r>
          <w:rPr>
            <w:rStyle w:val="Hyperlink"/>
          </w:rPr>
          <w:t xml:space="preserve"> </w:t>
        </w:r>
        <w:r>
          <w:rPr>
            <w:rStyle w:val="Hyperlink"/>
            <w:iCs/>
            <w:i/>
          </w:rPr>
          <w:t xml:space="preserve">Solanum tuberosum</w:t>
        </w:r>
        <w:r>
          <w:rPr>
            <w:rStyle w:val="Hyperlink"/>
          </w:rPr>
          <w:t xml:space="preserve"> </w:t>
        </w:r>
        <w:r>
          <w:rPr>
            <w:rStyle w:val="Hyperlink"/>
          </w:rPr>
          <w:t xml:space="preserve">and expression profiles response to drought stress.</w:t>
        </w:r>
        <w:r>
          <w:rPr>
            <w:rStyle w:val="Hyperlink"/>
          </w:rPr>
          <w:t xml:space="preserve"> </w:t>
        </w:r>
        <w:r>
          <w:rPr>
            <w:rStyle w:val="Hyperlink"/>
            <w:iCs/>
            <w:i/>
          </w:rPr>
          <w:t xml:space="preserve">Plant Systematics and Evolution</w:t>
        </w:r>
        <w:r>
          <w:rPr>
            <w:rStyle w:val="Hyperlink"/>
          </w:rPr>
          <w:t xml:space="preserve">,</w:t>
        </w:r>
        <w:r>
          <w:rPr>
            <w:rStyle w:val="Hyperlink"/>
          </w:rPr>
          <w:t xml:space="preserve"> </w:t>
        </w:r>
        <w:r>
          <w:rPr>
            <w:rStyle w:val="Hyperlink"/>
            <w:iCs/>
            <w:i/>
          </w:rPr>
          <w:t xml:space="preserve">302</w:t>
        </w:r>
        <w:r>
          <w:rPr>
            <w:rStyle w:val="Hyperlink"/>
          </w:rPr>
          <w:t xml:space="preserve">(1), 55–66. https://doi.org/10.1007/s00606-015-1242-x</w:t>
        </w:r>
      </w:hyperlink>
    </w:p>
    <w:p>
      <w:pPr>
        <w:pStyle w:val="BodyText"/>
      </w:pPr>
      <w:hyperlink r:id="rId90">
        <w:r>
          <w:rPr>
            <w:rStyle w:val="Hyperlink"/>
          </w:rPr>
          <w:t xml:space="preserve">Zárate-Salazar, J. R., Santos, M. N., Santos, J. N. B., &amp; Lozano-Isla, F. (2018). Comparison of image analysis softwares for the determination of leaf area.</w:t>
        </w:r>
        <w:r>
          <w:rPr>
            <w:rStyle w:val="Hyperlink"/>
          </w:rPr>
          <w:t xml:space="preserve"> </w:t>
        </w:r>
        <w:r>
          <w:rPr>
            <w:rStyle w:val="Hyperlink"/>
            <w:iCs/>
            <w:i/>
          </w:rPr>
          <w:t xml:space="preserve">Revista Brasileira de Meio Ambiente</w:t>
        </w:r>
        <w:r>
          <w:rPr>
            <w:rStyle w:val="Hyperlink"/>
          </w:rPr>
          <w:t xml:space="preserve">,</w:t>
        </w:r>
        <w:r>
          <w:rPr>
            <w:rStyle w:val="Hyperlink"/>
          </w:rPr>
          <w:t xml:space="preserve"> </w:t>
        </w:r>
        <w:r>
          <w:rPr>
            <w:rStyle w:val="Hyperlink"/>
            <w:iCs/>
            <w:i/>
          </w:rPr>
          <w:t xml:space="preserve">3</w:t>
        </w:r>
        <w:r>
          <w:rPr>
            <w:rStyle w:val="Hyperlink"/>
          </w:rPr>
          <w:t xml:space="preserve">(1). https://revistabrasileirademeioambiente.com/index.php/RVBMA/article/view/44</w:t>
        </w:r>
      </w:hyperlink>
    </w:p>
    <w:p>
      <w:pPr>
        <w:pStyle w:val="BodyText"/>
      </w:pPr>
      <w:hyperlink r:id="rId90">
        <w:r>
          <w:rPr>
            <w:rStyle w:val="Hyperlink"/>
          </w:rPr>
          <w:t xml:space="preserve">Zarzyńska, K., Boguszewska-Mańkowska, D., &amp; Nosalewicz, A. (2017). Differences in size and architecture of the potato cultivars root system and their tolerance to drought stress.</w:t>
        </w:r>
        <w:r>
          <w:rPr>
            <w:rStyle w:val="Hyperlink"/>
          </w:rPr>
          <w:t xml:space="preserve"> </w:t>
        </w:r>
        <w:r>
          <w:rPr>
            <w:rStyle w:val="Hyperlink"/>
            <w:iCs/>
            <w:i/>
          </w:rPr>
          <w:t xml:space="preserve">Plant, Soil and Environment</w:t>
        </w:r>
        <w:r>
          <w:rPr>
            <w:rStyle w:val="Hyperlink"/>
          </w:rPr>
          <w:t xml:space="preserve">,</w:t>
        </w:r>
        <w:r>
          <w:rPr>
            <w:rStyle w:val="Hyperlink"/>
          </w:rPr>
          <w:t xml:space="preserve"> </w:t>
        </w:r>
        <w:r>
          <w:rPr>
            <w:rStyle w:val="Hyperlink"/>
            <w:iCs/>
            <w:i/>
          </w:rPr>
          <w:t xml:space="preserve">63</w:t>
        </w:r>
        <w:r>
          <w:rPr>
            <w:rStyle w:val="Hyperlink"/>
          </w:rPr>
          <w:t xml:space="preserve">, 159–164. https://doi.org/10.17221/4/2017-PSE</w:t>
        </w:r>
      </w:hyperlink>
    </w:p>
    <w:p>
      <w:pPr>
        <w:pStyle w:val="CaptionedFigure"/>
      </w:pPr>
      <w:bookmarkStart w:id="94" w:name="fig-id.8zyq1z25gv64"/>
      <w:r>
        <w:drawing>
          <wp:inline>
            <wp:extent cx="5943600" cy="4951065"/>
            <wp:effectExtent b="0" l="0" r="0" t="0"/>
            <wp:docPr descr="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 title="" id="92" name="Picture"/>
            <a:graphic>
              <a:graphicData uri="http://schemas.openxmlformats.org/drawingml/2006/picture">
                <pic:pic>
                  <pic:nvPicPr>
                    <pic:cNvPr descr="docs/img_4.png" id="93" name="Picture"/>
                    <pic:cNvPicPr>
                      <a:picLocks noChangeArrowheads="1" noChangeAspect="1"/>
                    </pic:cNvPicPr>
                  </pic:nvPicPr>
                  <pic:blipFill>
                    <a:blip r:embed="rId91"/>
                    <a:stretch>
                      <a:fillRect/>
                    </a:stretch>
                  </pic:blipFill>
                  <pic:spPr bwMode="auto">
                    <a:xfrm>
                      <a:off x="0" y="0"/>
                      <a:ext cx="5943600" cy="4951065"/>
                    </a:xfrm>
                    <a:prstGeom prst="rect">
                      <a:avLst/>
                    </a:prstGeom>
                    <a:noFill/>
                    <a:ln w="9525">
                      <a:noFill/>
                      <a:headEnd/>
                      <a:tailEnd/>
                    </a:ln>
                  </pic:spPr>
                </pic:pic>
              </a:graphicData>
            </a:graphic>
          </wp:inline>
        </w:drawing>
      </w:r>
      <w:bookmarkEnd w:id="94"/>
    </w:p>
    <w:p>
      <w:pPr>
        <w:pStyle w:val="ImageCaption"/>
      </w:pPr>
      <w:r>
        <w:t xml:space="preserve">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w:t>
      </w:r>
    </w:p>
    <w:p>
      <w:pPr>
        <w:pStyle w:val="CaptionedFigure"/>
      </w:pPr>
      <w:bookmarkStart w:id="98" w:name="fig-id.129y0nf43vu8"/>
      <w:r>
        <w:drawing>
          <wp:inline>
            <wp:extent cx="5943600" cy="5962528"/>
            <wp:effectExtent b="0" l="0" r="0" t="0"/>
            <wp:docPr descr="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 title="" id="96" name="Picture"/>
            <a:graphic>
              <a:graphicData uri="http://schemas.openxmlformats.org/drawingml/2006/picture">
                <pic:pic>
                  <pic:nvPicPr>
                    <pic:cNvPr descr="docs/img_5.png" id="97" name="Picture"/>
                    <pic:cNvPicPr>
                      <a:picLocks noChangeArrowheads="1" noChangeAspect="1"/>
                    </pic:cNvPicPr>
                  </pic:nvPicPr>
                  <pic:blipFill>
                    <a:blip r:embed="rId95"/>
                    <a:stretch>
                      <a:fillRect/>
                    </a:stretch>
                  </pic:blipFill>
                  <pic:spPr bwMode="auto">
                    <a:xfrm>
                      <a:off x="0" y="0"/>
                      <a:ext cx="5943600" cy="5962528"/>
                    </a:xfrm>
                    <a:prstGeom prst="rect">
                      <a:avLst/>
                    </a:prstGeom>
                    <a:noFill/>
                    <a:ln w="9525">
                      <a:noFill/>
                      <a:headEnd/>
                      <a:tailEnd/>
                    </a:ln>
                  </pic:spPr>
                </pic:pic>
              </a:graphicData>
            </a:graphic>
          </wp:inline>
        </w:drawing>
      </w:r>
      <w:bookmarkEnd w:id="98"/>
    </w:p>
    <w:p>
      <w:pPr>
        <w:pStyle w:val="ImageCaption"/>
      </w:pPr>
      <w:r>
        <w:t xml:space="preserve">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w:t>
      </w:r>
    </w:p>
    <w:bookmarkEnd w:id="99"/>
    <w:sectPr w:rsidR="00E26511" w:rsidRPr="00F7413C" w:rsidSect="00995D7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98EC8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40056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93C3F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16462D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54BE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38D8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C62A81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E80C02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B68BD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ADEC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C94CC4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58E5E6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53030969" w:numId="1">
    <w:abstractNumId w:val="10"/>
  </w:num>
  <w:num w16cid:durableId="440878582" w:numId="2">
    <w:abstractNumId w:val="11"/>
  </w:num>
  <w:num w16cid:durableId="755054406" w:numId="3">
    <w:abstractNumId w:val="9"/>
  </w:num>
  <w:num w16cid:durableId="1113597921" w:numId="4">
    <w:abstractNumId w:val="7"/>
  </w:num>
  <w:num w16cid:durableId="1098717589" w:numId="5">
    <w:abstractNumId w:val="6"/>
  </w:num>
  <w:num w16cid:durableId="1218008571" w:numId="6">
    <w:abstractNumId w:val="5"/>
  </w:num>
  <w:num w16cid:durableId="1192259102" w:numId="7">
    <w:abstractNumId w:val="4"/>
  </w:num>
  <w:num w16cid:durableId="869494631" w:numId="8">
    <w:abstractNumId w:val="8"/>
  </w:num>
  <w:num w16cid:durableId="2117360440" w:numId="9">
    <w:abstractNumId w:val="3"/>
  </w:num>
  <w:num w16cid:durableId="1774395827" w:numId="10">
    <w:abstractNumId w:val="2"/>
  </w:num>
  <w:num w16cid:durableId="1949895263" w:numId="11">
    <w:abstractNumId w:val="1"/>
  </w:num>
  <w:num w16cid:durableId="1770613414" w:numId="12">
    <w:abstractNumId w:val="0"/>
  </w:num>
  <w:num w16cid:durableId="2053454411" w:numId="13">
    <w:abstractNumId w:val="10"/>
  </w:num>
  <w:num w16cid:durableId="2090467538" w:numId="14">
    <w:abstractNumId w:val="11"/>
  </w:num>
  <w:num w16cid:durableId="941765476" w:numId="15">
    <w:abstractNumId w:val="10"/>
  </w:num>
  <w:num w16cid:durableId="2137915778" w:numId="16">
    <w:abstractNumId w:val="11"/>
  </w:num>
  <w:num w16cid:durableId="108016464" w:numId="17">
    <w:abstractNumId w:val="10"/>
  </w:num>
  <w:num w16cid:durableId="1226722511" w:numId="18">
    <w:abstractNumId w:val="11"/>
  </w:num>
  <w:num w16cid:durableId="1629552819" w:numId="19">
    <w:abstractNumId w:val="10"/>
  </w:num>
  <w:num w16cid:durableId="1180774502" w:numId="20">
    <w:abstractNumId w:val="11"/>
  </w:num>
  <w:num w16cid:durableId="301426787" w:numId="21">
    <w:abstractNumId w:val="10"/>
  </w:num>
  <w:num w16cid:durableId="993416388" w:numId="22">
    <w:abstractNumId w:val="10"/>
  </w:num>
  <w:num w16cid:durableId="1919556477" w:numId="23">
    <w:abstractNumId w:val="10"/>
  </w:num>
  <w:num w16cid:durableId="237642464" w:numId="24">
    <w:abstractNumId w:val="11"/>
  </w:num>
  <w:num w16cid:durableId="2013993109" w:numId="25">
    <w:abstractNumId w:val="11"/>
  </w:num>
  <w:num w16cid:durableId="1616594968" w:numId="26">
    <w:abstractNumId w:val="11"/>
  </w:num>
  <w:num w16cid:durableId="228345193" w:numId="27">
    <w:abstractNumId w:val="10"/>
  </w:num>
  <w:num w16cid:durableId="1129516335" w:numId="28">
    <w:abstractNumId w:val="11"/>
  </w:num>
  <w:num w16cid:durableId="1234394912" w:numId="29">
    <w:abstractNumId w:val="11"/>
  </w:num>
  <w:num w16cid:durableId="1114786792" w:numId="30">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41775"/>
    <w:pPr>
      <w:keepNext/>
      <w:keepLines/>
      <w:spacing w:after="240" w:before="240" w:line="36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041775"/>
    <w:pPr>
      <w:keepNext/>
      <w:keepLines/>
      <w:spacing w:after="240" w:before="240" w:line="360" w:lineRule="auto"/>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C2928"/>
    <w:pPr>
      <w:spacing w:after="120" w:before="120" w:line="360" w:lineRule="auto"/>
      <w:jc w:val="both"/>
    </w:pPr>
    <w:rPr>
      <w:rFonts w:ascii="Times New Roman" w:hAnsi="Times New Roman"/>
    </w:rPr>
  </w:style>
  <w:style w:customStyle="1" w:styleId="FirstParagraph" w:type="paragraph">
    <w:name w:val="First Paragraph"/>
    <w:basedOn w:val="BodyText"/>
    <w:next w:val="BodyText"/>
    <w:qFormat/>
    <w:rsid w:val="00EC2928"/>
  </w:style>
  <w:style w:customStyle="1" w:styleId="Compact" w:type="paragraph">
    <w:name w:val="Compact"/>
    <w:basedOn w:val="BodyText"/>
    <w:qFormat/>
    <w:pPr>
      <w:spacing w:after="36" w:before="36"/>
    </w:pPr>
  </w:style>
  <w:style w:styleId="Title" w:type="paragraph">
    <w:name w:val="Title"/>
    <w:basedOn w:val="Normal"/>
    <w:next w:val="BodyText"/>
    <w:qFormat/>
    <w:rsid w:val="00DB6D05"/>
    <w:pPr>
      <w:keepNext/>
      <w:keepLines/>
      <w:spacing w:after="360" w:before="360"/>
      <w:jc w:val="center"/>
    </w:pPr>
    <w:rPr>
      <w:rFonts w:ascii="Times New Roman" w:cstheme="majorBidi" w:eastAsiaTheme="majorEastAsia" w:hAnsi="Times New Roman"/>
      <w:b/>
      <w:bCs/>
      <w:caps/>
      <w:color w:themeColor="text1" w:val="000000"/>
      <w:szCs w:val="36"/>
    </w:rPr>
  </w:style>
  <w:style w:styleId="Subtitle" w:type="paragraph">
    <w:name w:val="Subtitle"/>
    <w:basedOn w:val="Title"/>
    <w:next w:val="BodyText"/>
    <w:qFormat/>
    <w:rsid w:val="00411C65"/>
    <w:pPr>
      <w:spacing w:after="240"/>
      <w:jc w:val="left"/>
    </w:pPr>
    <w:rPr>
      <w:b w:val="0"/>
      <w:caps w:val="0"/>
      <w:szCs w:val="30"/>
    </w:rPr>
  </w:style>
  <w:style w:customStyle="1" w:styleId="Author" w:type="paragraph">
    <w:name w:val="Author"/>
    <w:next w:val="BodyText"/>
    <w:qFormat/>
    <w:pPr>
      <w:keepNext/>
      <w:keepLines/>
      <w:jc w:val="center"/>
    </w:pPr>
  </w:style>
  <w:style w:styleId="Date" w:type="paragraph">
    <w:name w:val="Date"/>
    <w:next w:val="BodyText"/>
    <w:qFormat/>
    <w:rsid w:val="00DB6D05"/>
    <w:pPr>
      <w:keepNext/>
      <w:keepLines/>
      <w:spacing w:after="240" w:before="240"/>
      <w:jc w:val="right"/>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0A6931"/>
    <w:rPr>
      <w:rFonts w:ascii="Times New Roman" w:hAnsi="Times New Roman"/>
      <w:sz w:val="22"/>
      <w:szCs w:val="20"/>
    </w:rPr>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0" w:val="single"/>
        </w:tcBorders>
      </w:tcPr>
    </w:tblStylePr>
    <w:tblStylePr w:type="lastRow">
      <w:tblPr/>
      <w:tcPr>
        <w:tcBorders>
          <w:bottom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4006F"/>
    <w:pPr>
      <w:keepNext/>
      <w:jc w:val="both"/>
    </w:pPr>
    <w:rPr>
      <w:rFonts w:ascii="Times New Roman" w:hAnsi="Times New Roman"/>
      <w:i w:val="0"/>
      <w:sz w:val="22"/>
    </w:rPr>
  </w:style>
  <w:style w:customStyle="1" w:styleId="ImageCaption" w:type="paragraph">
    <w:name w:val="Image Caption"/>
    <w:basedOn w:val="Caption"/>
    <w:rsid w:val="0014006F"/>
    <w:pPr>
      <w:jc w:val="both"/>
    </w:pPr>
    <w:rPr>
      <w:rFonts w:ascii="Times New Roman" w:hAnsi="Times New Roman"/>
      <w:i w:val="0"/>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41775"/>
    <w:rPr>
      <w:rFonts w:ascii="Times New Roman" w:hAnsi="Times New Roman"/>
      <w:color w:themeColor="text1" w:val="000000"/>
      <w:sz w:val="22"/>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EC2928"/>
    <w:rPr>
      <w:rFonts w:ascii="Times New Roman" w:hAnsi="Times New Roman"/>
    </w:rPr>
  </w:style>
  <w:style w:styleId="LineNumber" w:type="character">
    <w:name w:val="line number"/>
    <w:basedOn w:val="DefaultParagraphFont"/>
    <w:semiHidden/>
    <w:unhideWhenUsed/>
    <w:rsid w:val="0099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_rels/footnotes.xml.rels><?xml version="1.0" encoding="UTF-8"?><Relationships xmlns="http://schemas.openxmlformats.org/package/2006/relationships"><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2022-05-22T01:20:09Z</dcterms:created>
  <dcterms:modified xsi:type="dcterms:W3CDTF">2022-05-22T01:20:09Z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agetitle">
    <vt:lpwstr>manuscript</vt:lpwstr>
  </property>
  <property fmtid="{D5CDD505-2E9C-101B-9397-08002B2CF9AE}" pid="8" name="section-numbers">
    <vt:lpwstr>True</vt:lpwstr>
  </property>
  <property fmtid="{D5CDD505-2E9C-101B-9397-08002B2CF9AE}" pid="9" name="toc-title">
    <vt:lpwstr>Table of contents</vt:lpwstr>
  </property>
</Properties>
</file>