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6.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2017-06-12</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w:t>
      </w:r>
      <w:r>
        <w:t xml:space="preserve"> </w:t>
      </w:r>
      <w:r>
        <w:t xml:space="preserve">[</w:t>
      </w:r>
      <w:hyperlink w:anchor="ref-apse1999salt">
        <w:r>
          <w:rPr>
            <w:rStyle w:val="Hyperlink"/>
          </w:rPr>
          <w:t xml:space="preserve">14</w:t>
        </w:r>
      </w:hyperlink>
      <w:r>
        <w:t xml:space="preserve">]</w:t>
      </w:r>
      <w:r>
        <w:t xml:space="preserve">. In addition, NaCl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w:t>
      </w:r>
      <w:hyperlink w:anchor="ref-contran2013state">
        <w:r>
          <w:rPr>
            <w:rStyle w:val="Hyperlink"/>
          </w:rPr>
          <w:t xml:space="preserve">18</w:t>
        </w:r>
      </w:hyperlink>
      <w:r>
        <w:t xml:space="preserve">,</w:t>
      </w:r>
      <w:hyperlink w:anchor="ref-yang2010selection">
        <w:r>
          <w:rPr>
            <w:rStyle w:val="Hyperlink"/>
          </w:rPr>
          <w:t xml:space="preserve">19</w:t>
        </w:r>
      </w:hyperlink>
      <w:r>
        <w:t xml:space="preserve">]</w:t>
      </w:r>
      <w:r>
        <w:t xml:space="preserve">. In this sense, it is also salutary to remember that in times of harvest market prices usually fall a lot</w:t>
      </w:r>
      <w:r>
        <w:t xml:space="preserve"> </w:t>
      </w:r>
      <w:r>
        <w:t xml:space="preserve">[</w:t>
      </w:r>
      <w:hyperlink w:anchor="ref-sumner1989harvest">
        <w:r>
          <w:rPr>
            <w:rStyle w:val="Hyperlink"/>
          </w:rPr>
          <w:t xml:space="preserve">20</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w:t>
      </w:r>
      <w:hyperlink w:anchor="ref-marcos1984testes">
        <w:r>
          <w:rPr>
            <w:rStyle w:val="Hyperlink"/>
          </w:rPr>
          <w:t xml:space="preserve">21</w:t>
        </w:r>
      </w:hyperlink>
      <w:r>
        <w:t xml:space="preserve">,</w:t>
      </w:r>
      <w:hyperlink w:anchor="ref-marcos1998new">
        <w:r>
          <w:rPr>
            <w:rStyle w:val="Hyperlink"/>
          </w:rPr>
          <w:t xml:space="preserve">22</w:t>
        </w:r>
      </w:hyperlink>
      <w:r>
        <w:t xml:space="preserve">]</w:t>
      </w:r>
      <w:r>
        <w:t xml:space="preserve">. Marcos-Filho</w:t>
      </w:r>
      <w:r>
        <w:t xml:space="preserve"> </w:t>
      </w:r>
      <w:r>
        <w:t xml:space="preserve">[</w:t>
      </w:r>
      <w:hyperlink w:anchor="ref-marcos1998new">
        <w:r>
          <w:rPr>
            <w:rStyle w:val="Hyperlink"/>
          </w:rPr>
          <w:t xml:space="preserve">22</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23</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25</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w:t>
      </w:r>
      <w:hyperlink w:anchor="ref-hay2012evaluation">
        <w:r>
          <w:rPr>
            <w:rStyle w:val="Hyperlink"/>
          </w:rPr>
          <w:t xml:space="preserve">26</w:t>
        </w:r>
      </w:hyperlink>
      <w:r>
        <w:t xml:space="preserve">–</w:t>
      </w:r>
      <w:hyperlink w:anchor="ref-rao2006storability">
        <w:r>
          <w:rPr>
            <w:rStyle w:val="Hyperlink"/>
          </w:rPr>
          <w:t xml:space="preserve">28</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29</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30</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31</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32</w:t>
        </w:r>
      </w:hyperlink>
      <w:r>
        <w:t xml:space="preserve">,</w:t>
      </w:r>
      <w:hyperlink w:anchor="ref-khan2003light">
        <w:r>
          <w:rPr>
            <w:rStyle w:val="Hyperlink"/>
          </w:rPr>
          <w:t xml:space="preserve">33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34</w:t>
        </w:r>
      </w:hyperlink>
      <w:r>
        <w:t xml:space="preserve">–</w:t>
      </w:r>
      <w:hyperlink w:anchor="ref-rajaona2012effect">
        <w:r>
          <w:rPr>
            <w:rStyle w:val="Hyperlink"/>
          </w:rPr>
          <w:t xml:space="preserve">37</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germinated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w:t>
      </w:r>
      <w:hyperlink w:anchor="ref-trethewey1998combined">
        <w:r>
          <w:rPr>
            <w:rStyle w:val="Hyperlink"/>
          </w:rPr>
          <w:t xml:space="preserve">38</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39</w:t>
        </w:r>
      </w:hyperlink>
      <w:r>
        <w:t xml:space="preserve">]</w:t>
      </w:r>
      <w:r>
        <w:t xml:space="preserve">. The measures of soluble carbohydrates and start, soluble proteins and soluble amino acids the methodologies described by Dubois</w:t>
      </w:r>
      <w:r>
        <w:t xml:space="preserve"> </w:t>
      </w:r>
      <w:r>
        <w:t xml:space="preserve">[</w:t>
      </w:r>
      <w:hyperlink w:anchor="ref-dubois1956colorimetric">
        <w:r>
          <w:rPr>
            <w:rStyle w:val="Hyperlink"/>
          </w:rPr>
          <w:t xml:space="preserve">40</w:t>
        </w:r>
      </w:hyperlink>
      <w:r>
        <w:t xml:space="preserve">]</w:t>
      </w:r>
      <w:r>
        <w:t xml:space="preserve">, Bradford</w:t>
      </w:r>
      <w:r>
        <w:t xml:space="preserve"> </w:t>
      </w:r>
      <w:r>
        <w:t xml:space="preserve">[</w:t>
      </w:r>
      <w:hyperlink w:anchor="ref-bradford1976rapid">
        <w:r>
          <w:rPr>
            <w:rStyle w:val="Hyperlink"/>
          </w:rPr>
          <w:t xml:space="preserve">41</w:t>
        </w:r>
      </w:hyperlink>
      <w:r>
        <w:t xml:space="preserve">]</w:t>
      </w:r>
      <w:r>
        <w:t xml:space="preserve"> </w:t>
      </w:r>
      <w:r>
        <w:t xml:space="preserve">and Moore and Stein</w:t>
      </w:r>
      <w:r>
        <w:t xml:space="preserve"> </w:t>
      </w:r>
      <w:r>
        <w:t xml:space="preserve">[</w:t>
      </w:r>
      <w:hyperlink w:anchor="ref-moore1954modified">
        <w:r>
          <w:rPr>
            <w:rStyle w:val="Hyperlink"/>
          </w:rPr>
          <w:t xml:space="preserve">42</w:t>
        </w:r>
      </w:hyperlink>
      <w:r>
        <w:t xml:space="preserve">]</w:t>
      </w:r>
      <w:r>
        <w:t xml:space="preserve"> </w:t>
      </w:r>
      <w:r>
        <w:t xml:space="preserve">were used, respectively. For the quantification of the oil content (OIL) the methodology described in detail by Ahmad</w:t>
      </w:r>
      <w:r>
        <w:t xml:space="preserve"> </w:t>
      </w:r>
      <w:r>
        <w:t xml:space="preserve">[</w:t>
      </w:r>
      <w:hyperlink w:anchor="ref-ahmad1981ricinoleic">
        <w:r>
          <w:rPr>
            <w:rStyle w:val="Hyperlink"/>
          </w:rPr>
          <w:t xml:space="preserve">43</w:t>
        </w:r>
      </w:hyperlink>
      <w:r>
        <w:t xml:space="preserve">]</w:t>
      </w:r>
      <w:r>
        <w:t xml:space="preserve">. To quantification of glucose (GLC), fructose (FTS) and sucrose (SCR)</w:t>
      </w:r>
      <w:r>
        <w:t xml:space="preserve"> </w:t>
      </w:r>
      <w:r>
        <w:t xml:space="preserve">[</w:t>
      </w:r>
      <w:hyperlink w:anchor="ref-stitt198932">
        <w:r>
          <w:rPr>
            <w:rStyle w:val="Hyperlink"/>
          </w:rPr>
          <w:t xml:space="preserve">44</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w:t>
      </w:r>
      <w:hyperlink w:anchor="ref-stitt198932">
        <w:r>
          <w:rPr>
            <w:rStyle w:val="Hyperlink"/>
          </w:rPr>
          <w:t xml:space="preserve">44</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Moncaleano-Escandon</w:t>
      </w:r>
      <w:r>
        <w:t xml:space="preserve"> </w:t>
      </w:r>
      <w:r>
        <w:t xml:space="preserve">[</w:t>
      </w:r>
      <w:hyperlink w:anchor="ref-moncaleano2013germination">
        <w:r>
          <w:rPr>
            <w:rStyle w:val="Hyperlink"/>
          </w:rPr>
          <w:t xml:space="preserve">25</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 Thus, the seeds were germinated in polypropylene boxes (20 x 20 x 5 cm) containing 2,500 g of river washed sand, air-dried. Each boxes containing 25 seeds were considered as an experimental unit. The boxes were irrigated daily with 300 mL of water containing Hoagland nutrient solution</w:t>
      </w:r>
      <w:r>
        <w:t xml:space="preserve"> </w:t>
      </w:r>
      <w:r>
        <w:t xml:space="preserve">[</w:t>
      </w:r>
      <w:hyperlink w:anchor="ref-epstein1972mineral">
        <w:r>
          <w:rPr>
            <w:rStyle w:val="Hyperlink"/>
          </w:rPr>
          <w:t xml:space="preserve">45</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w:t>
      </w:r>
      <w:hyperlink w:anchor="ref-R-GerminaR">
        <w:r>
          <w:rPr>
            <w:rStyle w:val="Hyperlink"/>
          </w:rPr>
          <w:t xml:space="preserve">46</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25</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47</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48</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49</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49</w:t>
        </w:r>
      </w:hyperlink>
      <w:r>
        <w:t xml:space="preserve">,</w:t>
      </w:r>
      <w:hyperlink w:anchor="ref-R-corrplot">
        <w:r>
          <w:rPr>
            <w:rStyle w:val="Hyperlink"/>
          </w:rPr>
          <w:t xml:space="preserve">50</w:t>
        </w:r>
      </w:hyperlink>
      <w:r>
        <w:t xml:space="preserve">]</w:t>
      </w:r>
      <w:r>
        <w:t xml:space="preserve"> </w:t>
      </w:r>
      <w:r>
        <w:t xml:space="preserve">and principal components analysis were made</w:t>
      </w:r>
      <w:r>
        <w:t xml:space="preserve"> </w:t>
      </w:r>
      <w:r>
        <w:t xml:space="preserve">[</w:t>
      </w:r>
      <w:hyperlink w:anchor="ref-R-FactoMineR">
        <w:r>
          <w:rPr>
            <w:rStyle w:val="Hyperlink"/>
          </w:rPr>
          <w:t xml:space="preserve">51</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(Figure 1E).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7"/>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9"/>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Seed germination treated with NaCl.</w:t>
      </w:r>
      <w:r>
        <w:t xml:space="preserve"> </w:t>
      </w:r>
      <w:r>
        <w:t xml:space="preserve">These experiments were conducted in greenhouse condition. The temperature was 30.6 ± 1.1°C and relative humidity of 70.4 ± 5.8%. The enviromental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The leaf area (LFA) was only possible to be evaluated until the concentration of 75 mM NaCl, since these was the parameters most affected by the increase of NaCl in the irrigation solution. The genotypes 218, 171 and 133 presented the highest values in the control concentration, while for 50 mM the genotypes with the highest performance were 133, 114 and 183. The genotypes 133, 114, 171 and 183 presented the highest value in the 0 mM treatment, followed by genotype 183 and 171 that did not show significant differences between them. At the concentration of 50 mM, genotype 114 present larger leaf area, followed by genotype 133, while at the 75 mM concentration there was no difference between the genotypes. There was a tendency of plant height (HGT) reduction with increasing salts. The HGT reached approximately 13 cm in the control, but was strongly reduced until values smaller than 3 cm to 100 Mm of NaCl, fact clearly recorded in genotype 183 (Figure</w:t>
      </w:r>
      <w:r>
        <w:t xml:space="preserve"> </w:t>
      </w:r>
      <w:r>
        <w:t xml:space="preserve">7</w:t>
      </w:r>
      <w:r>
        <w:t xml:space="preserve">A). The stem diameter (STD) presented reduction with the increase of the concentration of NaCl, even without statistical differences. At concentrations of 50 mM and 75 mM, the genotypes 183 and 114 obtained the highest values of stem diameter, while at the concentration of 100 mM they had the lowest values (Figure</w:t>
      </w:r>
      <w:r>
        <w:t xml:space="preserve"> </w:t>
      </w:r>
      <w:r>
        <w:t xml:space="preserve">7</w:t>
      </w:r>
      <w:r>
        <w:t xml:space="preserve">C). For the leaf dry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in the irrigation water (Figure</w:t>
      </w:r>
      <w:r>
        <w:t xml:space="preserve"> </w:t>
      </w:r>
      <w:r>
        <w:t xml:space="preserve">7</w:t>
      </w:r>
      <w:r>
        <w:t xml:space="preserve">F).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7</w:t>
      </w:r>
      <w:r>
        <w:t xml:space="preserve">D). The root dry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7</w:t>
      </w:r>
      <w:r>
        <w:t xml:space="preserve">B).</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NaCl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8</w:t>
      </w:r>
      <w:r>
        <w:t xml:space="preserve">).</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27</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25</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we observed that the reduction of the relative humidity in the interstice of the seeds reduced the water content of the seeds and consequently the water potential .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for this, could be that structural proteins were mobilized to generate carbon skeleton to respiration or amino acids as a compatible solutes that allows maintain the respiration even with reduction of seed moisture. Similarly to that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germination, even 12 months after storage, a fact that diverges of Moncaleano-Escandon et al. (2013)</w:t>
      </w:r>
      <w:r>
        <w:t xml:space="preserve"> </w:t>
      </w:r>
      <w:r>
        <w:t xml:space="preserve">[</w:t>
      </w:r>
      <w:hyperlink w:anchor="ref-moncaleano2013germination">
        <w:r>
          <w:rPr>
            <w:rStyle w:val="Hyperlink"/>
          </w:rPr>
          <w:t xml:space="preserve">25</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seeds stored in low temperature drop 27%, while in this experiment the germination remained stable during all storage time. It should be noted that Moncaleano-Escandon et al. (2013)</w:t>
      </w:r>
      <w:r>
        <w:t xml:space="preserve"> </w:t>
      </w:r>
      <w:r>
        <w:t xml:space="preserve">[</w:t>
      </w:r>
      <w:hyperlink w:anchor="ref-moncaleano2013germination">
        <w:r>
          <w:rPr>
            <w:rStyle w:val="Hyperlink"/>
          </w:rPr>
          <w:t xml:space="preserve">25</w:t>
        </w:r>
      </w:hyperlink>
      <w:r>
        <w:t xml:space="preserve">]</w:t>
      </w:r>
      <w:r>
        <w:t xml:space="preserve">, stored its seeds without any type of desiccant and, in this study, seeds were stored at 4ºC as recommended by Moncaleano-Escandon et al. (2013)</w:t>
      </w:r>
      <w:r>
        <w:t xml:space="preserve"> </w:t>
      </w:r>
      <w:r>
        <w:t xml:space="preserve">[</w:t>
      </w:r>
      <w:hyperlink w:anchor="ref-moncaleano2013germination">
        <w:r>
          <w:rPr>
            <w:rStyle w:val="Hyperlink"/>
          </w:rPr>
          <w:t xml:space="preserve">25</w:t>
        </w:r>
      </w:hyperlink>
      <w:r>
        <w:t xml:space="preserve">]</w:t>
      </w:r>
      <w:r>
        <w:t xml:space="preserve">, but in boxes with very low RH, promoted by the use of desiccant.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52</w:t>
        </w:r>
      </w:hyperlink>
      <w:r>
        <w:t xml:space="preserve">,</w:t>
      </w:r>
      <w:hyperlink w:anchor="ref-worang2008quality">
        <w:r>
          <w:rPr>
            <w:rStyle w:val="Hyperlink"/>
          </w:rPr>
          <w:t xml:space="preserve">53</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in the irrigation water, which is confirmed by the significant reduction in germination rate. Same patter was previously reported in</w:t>
      </w:r>
      <w:r>
        <w:t xml:space="preserve"> </w:t>
      </w:r>
      <w:r>
        <w:rPr>
          <w:i/>
        </w:rPr>
        <w:t xml:space="preserve">J. curcas</w:t>
      </w:r>
      <w:r>
        <w:t xml:space="preserve"> </w:t>
      </w:r>
      <w:r>
        <w:t xml:space="preserve">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which describes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w:t>
      </w:r>
      <w:hyperlink w:anchor="ref-pompelli2010environmental">
        <w:r>
          <w:rPr>
            <w:rStyle w:val="Hyperlink"/>
          </w:rPr>
          <w:t xml:space="preserve">5</w:t>
        </w:r>
      </w:hyperlink>
      <w:r>
        <w:t xml:space="preserve">,</w:t>
      </w:r>
      <w:hyperlink w:anchor="ref-alencar2015ultrastructural">
        <w:r>
          <w:rPr>
            <w:rStyle w:val="Hyperlink"/>
          </w:rPr>
          <w:t xml:space="preserve">16</w:t>
        </w:r>
      </w:hyperlink>
      <w:r>
        <w:t xml:space="preserve">,</w:t>
      </w:r>
      <w:hyperlink w:anchor="ref-moncaleano2013germination">
        <w:r>
          <w:rPr>
            <w:rStyle w:val="Hyperlink"/>
          </w:rPr>
          <w:t xml:space="preserve">25</w:t>
        </w:r>
      </w:hyperlink>
      <w:r>
        <w:t xml:space="preserve">,</w:t>
      </w:r>
      <w:hyperlink w:anchor="ref-islam2009effect">
        <w:r>
          <w:rPr>
            <w:rStyle w:val="Hyperlink"/>
          </w:rPr>
          <w:t xml:space="preserve">54</w:t>
        </w:r>
      </w:hyperlink>
      <w:r>
        <w:t xml:space="preserve">,</w:t>
      </w:r>
      <w:hyperlink w:anchor="ref-silva2012relationship">
        <w:r>
          <w:rPr>
            <w:rStyle w:val="Hyperlink"/>
          </w:rPr>
          <w:t xml:space="preserve">55</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56</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57</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58</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w:t>
      </w:r>
      <w:hyperlink w:anchor="ref-liu2010seed">
        <w:r>
          <w:rPr>
            <w:rStyle w:val="Hyperlink"/>
          </w:rPr>
          <w:t xml:space="preserve">59</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60</w:t>
        </w:r>
      </w:hyperlink>
      <w:r>
        <w:t xml:space="preserve">]</w:t>
      </w:r>
      <w:r>
        <w:t xml:space="preserve">.</w:t>
      </w:r>
    </w:p>
    <w:p>
      <w:pPr>
        <w:pStyle w:val="BodyText"/>
      </w:pPr>
      <w:r>
        <w:t xml:space="preserve">It is common for plants to increase their stem biomass to the detriment of other organs when subjected to salinity</w:t>
      </w:r>
      <w:r>
        <w:t xml:space="preserve"> </w:t>
      </w:r>
      <w:r>
        <w:t xml:space="preserve">[</w:t>
      </w:r>
      <w:hyperlink w:anchor="ref-dantas2007germination">
        <w:r>
          <w:rPr>
            <w:rStyle w:val="Hyperlink"/>
          </w:rPr>
          <w:t xml:space="preserve">61</w:t>
        </w:r>
      </w:hyperlink>
      <w:r>
        <w:t xml:space="preserve">–</w:t>
      </w:r>
      <w:hyperlink w:anchor="ref-praxedes2010salt">
        <w:r>
          <w:rPr>
            <w:rStyle w:val="Hyperlink"/>
          </w:rPr>
          <w:t xml:space="preserve">63</w:t>
        </w:r>
      </w:hyperlink>
      <w:r>
        <w:t xml:space="preserve">]</w:t>
      </w:r>
      <w:r>
        <w:t xml:space="preserve">. Munns</w:t>
      </w:r>
      <w:r>
        <w:t xml:space="preserve"> </w:t>
      </w:r>
      <w:r>
        <w:t xml:space="preserve">[</w:t>
      </w:r>
      <w:hyperlink w:anchor="ref-munns1986whole">
        <w:r>
          <w:rPr>
            <w:rStyle w:val="Hyperlink"/>
          </w:rPr>
          <w:t xml:space="preserve">62</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63</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64</w:t>
        </w:r>
      </w:hyperlink>
      <w:r>
        <w:t xml:space="preserve">]</w:t>
      </w:r>
      <w:r>
        <w:t xml:space="preserve"> </w:t>
      </w:r>
      <w:r>
        <w:t xml:space="preserve">and Debez</w:t>
      </w:r>
      <w:r>
        <w:t xml:space="preserve"> </w:t>
      </w:r>
      <w:r>
        <w:t xml:space="preserve">[</w:t>
      </w:r>
      <w:hyperlink w:anchor="ref-debez2004salinity">
        <w:r>
          <w:rPr>
            <w:rStyle w:val="Hyperlink"/>
          </w:rPr>
          <w:t xml:space="preserve">65</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64</w:t>
        </w:r>
      </w:hyperlink>
      <w:r>
        <w:t xml:space="preserve">]</w:t>
      </w:r>
      <w:r>
        <w:t xml:space="preserve"> </w:t>
      </w:r>
      <w:r>
        <w:t xml:space="preserve">or a halophyte</w:t>
      </w:r>
      <w:r>
        <w:t xml:space="preserve"> </w:t>
      </w:r>
      <w:r>
        <w:t xml:space="preserve">[</w:t>
      </w:r>
      <w:hyperlink w:anchor="ref-debez2004salinity">
        <w:r>
          <w:rPr>
            <w:rStyle w:val="Hyperlink"/>
          </w:rPr>
          <w:t xml:space="preserve">65</w:t>
        </w:r>
      </w:hyperlink>
      <w:r>
        <w:t xml:space="preserve">]</w:t>
      </w:r>
      <w:r>
        <w:t xml:space="preserve">. In addition, Hasewaga</w:t>
      </w:r>
      <w:r>
        <w:t xml:space="preserve"> </w:t>
      </w:r>
      <w:r>
        <w:t xml:space="preserve">[</w:t>
      </w:r>
      <w:hyperlink w:anchor="ref-hasegawa2000plant">
        <w:r>
          <w:rPr>
            <w:rStyle w:val="Hyperlink"/>
          </w:rPr>
          <w:t xml:space="preserve">66</w:t>
        </w:r>
      </w:hyperlink>
      <w:r>
        <w:t xml:space="preserve">]</w:t>
      </w:r>
      <w:r>
        <w:t xml:space="preserve"> </w:t>
      </w:r>
      <w:r>
        <w:t xml:space="preserve">attributed this reduction and/or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BodyText"/>
      </w:pPr>
      <w:r>
        <w:t xml:space="preserve">In conclusion 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and from the evaluated genotypes, 114, 171 and 183 present as potential candidates for future breeding programs.</w:t>
      </w:r>
    </w:p>
    <w:p>
      <w:pPr>
        <w:pStyle w:val="Heading1"/>
      </w:pPr>
      <w:bookmarkStart w:id="35" w:name="acknowledgments"/>
      <w:bookmarkEnd w:id="35"/>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w:t>
      </w:r>
    </w:p>
    <w:p>
      <w:pPr>
        <w:pStyle w:val="Heading1"/>
      </w:pPr>
      <w:bookmarkStart w:id="36" w:name="references"/>
      <w:bookmarkEnd w:id="36"/>
      <w:r>
        <w:t xml:space="preserve">References</w:t>
      </w:r>
    </w:p>
    <w:p>
      <w:pPr>
        <w:pStyle w:val="Bibliography"/>
      </w:pPr>
      <w:r>
        <w:t xml:space="preserve">[1] J. Heller, Physic nut,</w:t>
      </w:r>
      <w:r>
        <w:t xml:space="preserve"> </w:t>
      </w:r>
      <w:r>
        <w:rPr>
          <w:i/>
        </w:rPr>
        <w:t xml:space="preserve">jatropha curcas</w:t>
      </w:r>
      <w:r>
        <w:t xml:space="preserve"> </w:t>
      </w:r>
      <w:r>
        <w:t xml:space="preserve">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7">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N. Contran, L. Chessa, M. Lubino, D. Bellavite, P.P. Roggero, G. Enne, State-of-the-art of the jatropha curcas productive chain: From sowing to biodiesel and by-products, Industrial Crops and Products. 42 (2013) 202–215.</w:t>
      </w:r>
    </w:p>
    <w:p>
      <w:pPr>
        <w:pStyle w:val="Bibliography"/>
      </w:pPr>
      <w:r>
        <w:t xml:space="preserve">[19] C.-y. Yang, X. Deng, Z. Fang, D.-P. Peng, Selection of high-oil-yield seed sources of jatropha curcas l. for biodiesel production, Biofuels. 1 (2010) 705–717.</w:t>
      </w:r>
    </w:p>
    <w:p>
      <w:pPr>
        <w:pStyle w:val="Bibliography"/>
      </w:pPr>
      <w:r>
        <w:t xml:space="preserve">[20] D.A. Sumner, R.A. Mueller, Are harvest forecasts news? USDA announcements and futures market reactions, American Journal of Agricultural Economics. (1989) 1–8.</w:t>
      </w:r>
    </w:p>
    <w:p>
      <w:pPr>
        <w:pStyle w:val="Bibliography"/>
      </w:pPr>
      <w:r>
        <w:t xml:space="preserve">[21]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[22] J. Marcos-Filho, New approaches to seed vigor testing, Scientia Agricola. 55 (1998) 27–33.</w:t>
      </w:r>
    </w:p>
    <w:p>
      <w:pPr>
        <w:pStyle w:val="Bibliography"/>
      </w:pPr>
      <w:r>
        <w:t xml:space="preserve">[23] D.M. TeKrony, Seeds, Crop Science. 46 (2006) 2263–2269.</w:t>
      </w:r>
    </w:p>
    <w:p>
      <w:pPr>
        <w:pStyle w:val="Bibliography"/>
      </w:pPr>
      <w:r>
        <w:t xml:space="preserve">[24] D. Bilia, A. Fancelli, J. Marcos Filho, J. Machado, Comportamento de sementes de milho híbrido durante o armazenamento sob condições variáveis de temperatura e umidade relativa do ar, Scientia Agrícola. 51 (1994).</w:t>
      </w:r>
    </w:p>
    <w:p>
      <w:pPr>
        <w:pStyle w:val="Bibliography"/>
      </w:pPr>
      <w:r>
        <w:t xml:space="preserve">[25] J. Moncaleano-Escandon, B.C. Silva, S.R. Silva, J.A. Granja, M.C.J. Alves, M.F. Pompelli, Germination responses of jatropha curcas l. seeds to storage and aging, Industrial Crops and Products. 44 (2013) 684–690.</w:t>
      </w:r>
    </w:p>
    <w:p>
      <w:pPr>
        <w:pStyle w:val="Bibliography"/>
      </w:pPr>
      <w:r>
        <w:t xml:space="preserve">[26] F. Hay, P. Thavong, P. Taridno, S. Timple, Evaluation of zeolite seed’Drying beads’for drying rice seeds to low moisture content prior to long-term storage, Seed Science and Technology. 40 (2012) 374–395.</w:t>
      </w:r>
    </w:p>
    <w:p>
      <w:pPr>
        <w:pStyle w:val="Bibliography"/>
      </w:pPr>
      <w:r>
        <w:t xml:space="preserve">[27] F.R. Hay, R.J. Probert, Advances in seed conservation of wild plant species: A review of recent research, Conservation Physiology. 1 (2013) cot030.</w:t>
      </w:r>
    </w:p>
    <w:p>
      <w:pPr>
        <w:pStyle w:val="Bibliography"/>
      </w:pPr>
      <w:r>
        <w:t xml:space="preserve">[28] R. Rao, P. Singh, M. Rai, Storability of onion seeds and effects of packaging and storage conditions on viability and vigour, Scientia Horticulturae. 110 (2006) 1–6.</w:t>
      </w:r>
    </w:p>
    <w:p>
      <w:pPr>
        <w:pStyle w:val="Bibliography"/>
      </w:pPr>
      <w:r>
        <w:t xml:space="preserve">[29] N. Kumar, S. Pamidimarri, M. Kaur, G. Boricha, M. Reddy, Effects of nacl on growth, ion accumulation, protein, proline contents and antioxidant enzymes activity in callus cultures of jatropha curcas, Biologia. 63 (2008) 378–382.</w:t>
      </w:r>
    </w:p>
    <w:p>
      <w:pPr>
        <w:pStyle w:val="Bibliography"/>
      </w:pPr>
      <w:r>
        <w:t xml:space="preserve">[30]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[31] R. Munns, M. Tester, Mechanisms of salinity tolerance, Annu. Rev. Plant Biol. 59 (2008) 651–681.</w:t>
      </w:r>
    </w:p>
    <w:p>
      <w:pPr>
        <w:pStyle w:val="Bibliography"/>
      </w:pPr>
      <w:r>
        <w:t xml:space="preserve">[32] M. Khajeh-Hosseini, A. Powell, I. Bingham, The interaction between salinity stress and seed vigour during germination of soyabean seeds, Seed Science and Technology. 31 (2003) 715–725.</w:t>
      </w:r>
    </w:p>
    <w:p>
      <w:pPr>
        <w:pStyle w:val="Bibliography"/>
      </w:pPr>
      <w:r>
        <w:t xml:space="preserve">[33] M.A. Khan, S. Gulzar, Light, salinity, and temperature effects on the seed germination of perennial grasses, American Journal of Botany. 90 (2003) 131–134.</w:t>
      </w:r>
    </w:p>
    <w:p>
      <w:pPr>
        <w:pStyle w:val="Bibliography"/>
      </w:pPr>
      <w:r>
        <w:t xml:space="preserve">[34] L. Díaz-López, V. Gimeno, V. Lidón, I. Simón, V. Martínez, F. García-Sánchez, The tolerance of jatropha curcas seedlings to nacl: An ecophysiological analysis, Plant Physiology and Biochemistry. 54 (2012) 34–42.</w:t>
      </w:r>
    </w:p>
    <w:p>
      <w:pPr>
        <w:pStyle w:val="Bibliography"/>
      </w:pPr>
      <w:r>
        <w:t xml:space="preserve">[35] A.Z. Elhag, M.O. Gafar, Effect of sodium chloride on growth of jatropha (jatropha curcas l.) young transplants, Universal Journal of Plant Science. 2 (2014) 19–22.</w:t>
      </w:r>
    </w:p>
    <w:p>
      <w:pPr>
        <w:pStyle w:val="Bibliography"/>
      </w:pPr>
      <w:r>
        <w:t xml:space="preserve">[36]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[37] A.M. Rajaona, H. Brueck, C. Seckinger, F. Asch, Effect of salinity on canopy water vapor conductance of young and 3-year old jatropha curcas l., Journal of Arid Environments. 87 (2012) 35–41.</w:t>
      </w:r>
    </w:p>
    <w:p>
      <w:pPr>
        <w:pStyle w:val="Bibliography"/>
      </w:pPr>
      <w:r>
        <w:t xml:space="preserve">[38]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[39]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[40] M. DuBois, K.A. Gilles, J.K. Hamilton, P. t Rebers, F. Smith, Colorimetric method for determination of sugars and related substances, Analytical Chemistry. 28 (1956) 350–356.</w:t>
      </w:r>
    </w:p>
    <w:p>
      <w:pPr>
        <w:pStyle w:val="Bibliography"/>
      </w:pPr>
      <w:r>
        <w:t xml:space="preserve">[41] M.M. Bradford, A rapid and sensitive method for the quantitation of microgram quantities of protein utilizing the principle of protein-dye binding, Analytical Biochemistry. 72 (1976) 248–254.</w:t>
      </w:r>
    </w:p>
    <w:p>
      <w:pPr>
        <w:pStyle w:val="Bibliography"/>
      </w:pPr>
      <w:r>
        <w:t xml:space="preserve">[42] S. Moore, W.H. Stein, others, A modified ninhydrin reagent for the photometric determination of amino acids and related compounds., Journal of Biological Chemistry. 211 (1954) 907–913.</w:t>
      </w:r>
    </w:p>
    <w:p>
      <w:pPr>
        <w:pStyle w:val="Bibliography"/>
      </w:pPr>
      <w:r>
        <w:t xml:space="preserve">[43] M. Ahmad, S. Husain, S. Osman, Ricinoleic acid in phyllanthus niruri seed oil, Journal of the American Oil Chemists’ Society. 58 (1981) 673–674.</w:t>
      </w:r>
    </w:p>
    <w:p>
      <w:pPr>
        <w:pStyle w:val="Bibliography"/>
      </w:pPr>
      <w:r>
        <w:t xml:space="preserve">[44] M. Stitt, R.M. Lilley, R. Gerhardt, H.W. Heldt, [32] metabolite levels in specific cells and subcellular compartments of plant leaves, Methods in Enzymology. 174 (1989) 518–552.</w:t>
      </w:r>
    </w:p>
    <w:p>
      <w:pPr>
        <w:pStyle w:val="Bibliography"/>
      </w:pPr>
      <w:r>
        <w:t xml:space="preserve">[45] E. Epstein, others, Mineral nutrition of plants: Principles and perspectives., 1972.</w:t>
      </w:r>
    </w:p>
    <w:p>
      <w:pPr>
        <w:pStyle w:val="Bibliography"/>
      </w:pPr>
      <w:r>
        <w:t xml:space="preserve">[46] F. Lozano Isla, O. Benites Alfaro, M.F. Pompelli, GerminaR: Germination indexes for seed germination variables for ecophysiological studies, 2017.</w:t>
      </w:r>
      <w:r>
        <w:t xml:space="preserve"> </w:t>
      </w:r>
      <w:hyperlink r:id="rId38">
        <w:r>
          <w:rPr>
            <w:rStyle w:val="Hyperlink"/>
          </w:rPr>
          <w:t xml:space="preserve">https://CRAN.R-project.org/package=GerminaR</w:t>
        </w:r>
      </w:hyperlink>
      <w:r>
        <w:t xml:space="preserve">.</w:t>
      </w:r>
    </w:p>
    <w:p>
      <w:pPr>
        <w:pStyle w:val="Bibliography"/>
      </w:pPr>
      <w:r>
        <w:t xml:space="preserve">[47] M. Pompelli, W. Antunes, D. Ferreira, P. Cavalcante, H. Wanderley-Filho, L. Endres, Allometric models for non-destructive leaf area estimation of jatropha curcas, Biomass and Bioenergy. 36 (2012) 77–85.</w:t>
      </w:r>
    </w:p>
    <w:p>
      <w:pPr>
        <w:pStyle w:val="Bibliography"/>
      </w:pPr>
      <w:r>
        <w:t xml:space="preserve">[48] R Core Team, R: A language and environment for statistical computing, R Foundation for Statistical Computing, Vienna, Austria, 2017.</w:t>
      </w:r>
      <w:r>
        <w:t xml:space="preserve"> </w:t>
      </w:r>
      <w:hyperlink r:id="rId39">
        <w:r>
          <w:rPr>
            <w:rStyle w:val="Hyperlink"/>
          </w:rPr>
          <w:t xml:space="preserve">https://www.R-project.org/</w:t>
        </w:r>
      </w:hyperlink>
      <w:r>
        <w:t xml:space="preserve">.</w:t>
      </w:r>
    </w:p>
    <w:p>
      <w:pPr>
        <w:pStyle w:val="Bibliography"/>
      </w:pPr>
      <w:r>
        <w:t xml:space="preserve">[49] F. de Mendiburu, Agricolae: Statistical procedures for agricultural research, 2016.</w:t>
      </w:r>
      <w:r>
        <w:t xml:space="preserve"> </w:t>
      </w:r>
      <w:hyperlink r:id="rId40">
        <w:r>
          <w:rPr>
            <w:rStyle w:val="Hyperlink"/>
          </w:rPr>
          <w:t xml:space="preserve">https://CRAN.R-project.org/package=agricolae</w:t>
        </w:r>
      </w:hyperlink>
      <w:r>
        <w:t xml:space="preserve">.</w:t>
      </w:r>
    </w:p>
    <w:p>
      <w:pPr>
        <w:pStyle w:val="Bibliography"/>
      </w:pPr>
      <w:r>
        <w:t xml:space="preserve">[50] T. Wei, V. Simko, Corrplot: Visualization of a correlation matrix, 2016.</w:t>
      </w:r>
      <w:r>
        <w:t xml:space="preserve"> </w:t>
      </w:r>
      <w:hyperlink r:id="rId41">
        <w:r>
          <w:rPr>
            <w:rStyle w:val="Hyperlink"/>
          </w:rPr>
          <w:t xml:space="preserve">https://CRAN.R-project.org/package=corrplot</w:t>
        </w:r>
      </w:hyperlink>
      <w:r>
        <w:t xml:space="preserve">.</w:t>
      </w:r>
    </w:p>
    <w:p>
      <w:pPr>
        <w:pStyle w:val="Bibliography"/>
      </w:pPr>
      <w:r>
        <w:t xml:space="preserve">[51] F. Husson, J. Josse, S. Le, J. Mazet, FactoMineR: Multivariate exploratory data analysis and data mining, 2017.</w:t>
      </w:r>
      <w:r>
        <w:t xml:space="preserve"> </w:t>
      </w:r>
      <w:hyperlink r:id="rId42">
        <w:r>
          <w:rPr>
            <w:rStyle w:val="Hyperlink"/>
          </w:rPr>
          <w:t xml:space="preserve">https://CRAN.R-project.org/package=FactoMineR</w:t>
        </w:r>
      </w:hyperlink>
      <w:r>
        <w:t xml:space="preserve">.</w:t>
      </w:r>
    </w:p>
    <w:p>
      <w:pPr>
        <w:pStyle w:val="Bibliography"/>
      </w:pPr>
      <w:r>
        <w:t xml:space="preserve">[52] J. Akowuah, A. Addo, F. Kemausuor, others, Influence of storage duration of jatropha curcas seed on oil yield and free fatty acid content, ARPN J Agric Biol Sci. 7 (2012) 41–45.</w:t>
      </w:r>
    </w:p>
    <w:p>
      <w:pPr>
        <w:pStyle w:val="Bibliography"/>
      </w:pPr>
      <w:r>
        <w:t xml:space="preserve">[53] R.L. Worang, O.S. Dharmaputra, R. Syarief, others, The quality of physic nut (jatropha curcas l.) seeds packed in plastic material during storage, BIOTROPIA-The Southeast Asian Journal of Tropical Biology. 15 (2008) 25–36.</w:t>
      </w:r>
    </w:p>
    <w:p>
      <w:pPr>
        <w:pStyle w:val="Bibliography"/>
      </w:pPr>
      <w:r>
        <w:t xml:space="preserve">[54] A. Islam, N. Anuar, Z. Yaakob, others, Effect of genotypes and pre-sowing treatments on seed germination behavior of *jatropha*, Asian Journal of Plant Sciences. 8 (2009) 433.</w:t>
      </w:r>
    </w:p>
    <w:p>
      <w:pPr>
        <w:pStyle w:val="Bibliography"/>
      </w:pPr>
      <w:r>
        <w:t xml:space="preserve">[55] L.J. da Silva, D.C.F. dos S. Dias, C. do C. Milagres, L.A. dos S. Dias, Relationship between fruit maturation stage and physiological quality of physic nut (</w:t>
      </w:r>
      <w:r>
        <w:rPr>
          <w:i/>
        </w:rPr>
        <w:t xml:space="preserve">jatropha curcas</w:t>
      </w:r>
      <w:r>
        <w:t xml:space="preserve"> </w:t>
      </w:r>
      <w:r>
        <w:t xml:space="preserve">l.) seeds, Ciência E Agrotecnologia. 36 (2012) 39–44.</w:t>
      </w:r>
    </w:p>
    <w:p>
      <w:pPr>
        <w:pStyle w:val="Bibliography"/>
      </w:pPr>
      <w:r>
        <w:t xml:space="preserve">[56] W.M. Achten, L.R. Nielsen, R. Aerts, A.G. Lengkeek, E.D. Kjær, A. Trabucco, J.K. Hansen, W.H. Maes, L. Graudal, F.K. Akinnifesi, others, Towards domestication of jatropha curcas, Biofuels. 1 (2010) 91–107.</w:t>
      </w:r>
    </w:p>
    <w:p>
      <w:pPr>
        <w:pStyle w:val="Bibliography"/>
      </w:pPr>
      <w:r>
        <w:t xml:space="preserve">[57] M.A. Ranal, D.G. de Santana, How and why to measure the germination process?, Brazilian Journal of Botany. 29 (2006) 1–11.</w:t>
      </w:r>
    </w:p>
    <w:p>
      <w:pPr>
        <w:pStyle w:val="Bibliography"/>
      </w:pPr>
      <w:r>
        <w:t xml:space="preserve">[58] W. Maes, A. Trabucco, W.M. Achten, B. Muys, Climatic growing conditions of jatropha curcas l., Biomass and Bioenergy. 33 (2009) 1481–1485.</w:t>
      </w:r>
    </w:p>
    <w:p>
      <w:pPr>
        <w:pStyle w:val="Bibliography"/>
      </w:pPr>
      <w:r>
        <w:t xml:space="preserve">[59] J. Liu, W. Guo, D. Shi, Seed germination, seedling survival, and physiological response of sunflowers under saline and alkaline conditions, Photosynthetica. 48 (2010) 278–286.</w:t>
      </w:r>
    </w:p>
    <w:p>
      <w:pPr>
        <w:pStyle w:val="Bibliography"/>
      </w:pPr>
      <w:r>
        <w:t xml:space="preserve">[60]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[61] B.F. Dantas, L. de S. Ribeiro, C.A. Aragão, Germination, initial growth and cotyledon protein content of bean cultivars under salinity stress, Revista Brasileira de Sementes. 29 (2007) 106–110.</w:t>
      </w:r>
    </w:p>
    <w:p>
      <w:pPr>
        <w:pStyle w:val="Bibliography"/>
      </w:pPr>
      <w:r>
        <w:t xml:space="preserve">[62] R. Munns, A. Termaat, Whole-plant responses to salinity, Functional Plant Biology. 13 (1986) 143–160.</w:t>
      </w:r>
    </w:p>
    <w:p>
      <w:pPr>
        <w:pStyle w:val="Bibliography"/>
      </w:pPr>
      <w:r>
        <w:t xml:space="preserve">[63]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[64] J.S. Bayuelo-Jimenez, R. Craig, J.P. Lynch, Salinity tolerance of species during germination and early seedling growth, Crop Science. 42 (2002) 1584–1594.</w:t>
      </w:r>
    </w:p>
    <w:p>
      <w:pPr>
        <w:pStyle w:val="Bibliography"/>
      </w:pPr>
      <w:r>
        <w:t xml:space="preserve">[65] A. Debez, K. Ben Hamed, C. Grignon, C. Abdelly, Salinity effects on germination, growth, and seed production of the halophyte cakile maritima, Plant and Soil. 262 (2004) 179–189.</w:t>
      </w:r>
    </w:p>
    <w:p>
      <w:pPr>
        <w:pStyle w:val="Bibliography"/>
      </w:pPr>
      <w:r>
        <w:t xml:space="preserve">[66]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281c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4e8c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2017-06-12T16:32:44Z</dcterms:created>
  <dcterms:modified xsi:type="dcterms:W3CDTF">2017-06-12T16:32:44Z</dcterms:modified>
</cp:coreProperties>
</file>