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6.png" ContentType="image/png"/>
  <Override PartName="/word/media/rId30.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and</w:t>
      </w:r>
      <w:r>
        <w:t xml:space="preserve"> </w:t>
      </w:r>
      <w:r>
        <w:t xml:space="preserve">growth</w:t>
      </w:r>
      <w:r>
        <w:t xml:space="preserve"> </w:t>
      </w:r>
      <w:r>
        <w:rPr>
          <w:i/>
        </w:rPr>
        <w:t xml:space="preserve">Jatropha</w:t>
      </w:r>
      <w:r>
        <w:rPr>
          <w:i/>
        </w:rPr>
        <w:t xml:space="preserve"> </w:t>
      </w:r>
      <w:r>
        <w:rPr>
          <w:i/>
        </w:rPr>
        <w:t xml:space="preserve">curcas</w:t>
      </w:r>
      <w:r>
        <w:t xml:space="preserve"> </w:t>
      </w:r>
      <w:r>
        <w:t xml:space="preserve">after</w:t>
      </w:r>
      <w:r>
        <w:t xml:space="preserve"> </w:t>
      </w:r>
      <w:r>
        <w:t xml:space="preserve">storage</w:t>
      </w:r>
      <w:r>
        <w:t xml:space="preserve"> </w:t>
      </w:r>
      <w:r>
        <w:t xml:space="preserve">and</w:t>
      </w:r>
      <w:r>
        <w:t xml:space="preserve"> </w:t>
      </w:r>
      <w:r>
        <w:t xml:space="preserve">salt</w:t>
      </w:r>
      <w:r>
        <w:t xml:space="preserve"> </w:t>
      </w:r>
      <w:r>
        <w:t xml:space="preserve">stress</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2017-06-12</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 2. Plant Physiology Laboratory, Federal University of Alagoas, Center of Agronomy, Maceió, AL, Brazil; 3. Department of Chemistry, Federal Rural University of Pernambuco, Recife, PE, Brazil.</w:t>
      </w:r>
    </w:p>
    <w:p>
      <w:pPr>
        <w:pStyle w:val="Heading1"/>
      </w:pPr>
      <w:bookmarkStart w:id="22" w:name="abstract"/>
      <w:bookmarkEnd w:id="22"/>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under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The biometric and biomass componets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3" w:name="introduction"/>
      <w:bookmarkEnd w:id="23"/>
      <w:r>
        <w:t xml:space="preserve">Introduction</w:t>
      </w:r>
    </w:p>
    <w:p>
      <w:pPr>
        <w:pStyle w:val="FirstParagraph"/>
      </w:pPr>
      <w:r>
        <w:rPr>
          <w:i/>
        </w:rPr>
        <w:t xml:space="preserve">Jatropha curcas</w:t>
      </w:r>
      <w:r>
        <w:t xml:space="preserve"> </w:t>
      </w:r>
      <w:r>
        <w:t xml:space="preserve">(purgint nut)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soil surface.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w:t>
      </w:r>
      <w:r>
        <w:t xml:space="preserve"> </w:t>
      </w:r>
      <w:r>
        <w:t xml:space="preserve">[</w:t>
      </w:r>
      <w:hyperlink w:anchor="ref-apse1999salt">
        <w:r>
          <w:rPr>
            <w:rStyle w:val="Hyperlink"/>
          </w:rPr>
          <w:t xml:space="preserve">14</w:t>
        </w:r>
      </w:hyperlink>
      <w:r>
        <w:t xml:space="preserve">]</w:t>
      </w:r>
      <w:r>
        <w:t xml:space="preserve">. In addition, NaCl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If we take into account that</w:t>
      </w:r>
      <w:r>
        <w:t xml:space="preserve"> </w:t>
      </w:r>
      <w:r>
        <w:rPr>
          <w:i/>
        </w:rPr>
        <w:t xml:space="preserve">J. curcas</w:t>
      </w:r>
      <w:r>
        <w:t xml:space="preserve"> </w:t>
      </w:r>
      <w:r>
        <w:t xml:space="preserve">is a potential species for the large-scale generation of biodiesel, it is easy to think that it will be necessary to plant hundreds or thousands of hectares of trees to produce a satisfactory amount for commercial exploitation</w:t>
      </w:r>
      <w:r>
        <w:t xml:space="preserve"> </w:t>
      </w:r>
      <w:r>
        <w:t xml:space="preserve">[</w:t>
      </w:r>
      <w:hyperlink w:anchor="ref-contran2013state">
        <w:r>
          <w:rPr>
            <w:rStyle w:val="Hyperlink"/>
          </w:rPr>
          <w:t xml:space="preserve">18</w:t>
        </w:r>
      </w:hyperlink>
      <w:r>
        <w:t xml:space="preserve">,</w:t>
      </w:r>
      <w:hyperlink w:anchor="ref-yang2010selection">
        <w:r>
          <w:rPr>
            <w:rStyle w:val="Hyperlink"/>
          </w:rPr>
          <w:t xml:space="preserve">19</w:t>
        </w:r>
      </w:hyperlink>
      <w:r>
        <w:t xml:space="preserve">]</w:t>
      </w:r>
      <w:r>
        <w:t xml:space="preserve">. In this sense, it is also salutary to remember that in times of harvest market prices usually fall a lot</w:t>
      </w:r>
      <w:r>
        <w:t xml:space="preserve"> </w:t>
      </w:r>
      <w:r>
        <w:t xml:space="preserve">[</w:t>
      </w:r>
      <w:hyperlink w:anchor="ref-sumner1989harvest">
        <w:r>
          <w:rPr>
            <w:rStyle w:val="Hyperlink"/>
          </w:rPr>
          <w:t xml:space="preserve">20</w:t>
        </w:r>
      </w:hyperlink>
      <w:r>
        <w:t xml:space="preserve">]</w:t>
      </w:r>
      <w:r>
        <w:t xml:space="preserve"> </w:t>
      </w:r>
      <w:r>
        <w:t xml:space="preserve">and that is where the storage of seeds comes in. However, seed storage is the most factor that negatively affects seed viability, which includes the time elapsed between harvesting and utilization</w:t>
      </w:r>
      <w:r>
        <w:t xml:space="preserve"> </w:t>
      </w:r>
      <w:r>
        <w:t xml:space="preserve">[</w:t>
      </w:r>
      <w:hyperlink w:anchor="ref-marcos1984testes">
        <w:r>
          <w:rPr>
            <w:rStyle w:val="Hyperlink"/>
          </w:rPr>
          <w:t xml:space="preserve">21</w:t>
        </w:r>
      </w:hyperlink>
      <w:r>
        <w:t xml:space="preserve">,</w:t>
      </w:r>
      <w:hyperlink w:anchor="ref-marcos1998new">
        <w:r>
          <w:rPr>
            <w:rStyle w:val="Hyperlink"/>
          </w:rPr>
          <w:t xml:space="preserve">22</w:t>
        </w:r>
      </w:hyperlink>
      <w:r>
        <w:t xml:space="preserve">]</w:t>
      </w:r>
      <w:r>
        <w:t xml:space="preserve">. Marcos-Filho</w:t>
      </w:r>
      <w:r>
        <w:t xml:space="preserve"> </w:t>
      </w:r>
      <w:r>
        <w:t xml:space="preserve">[</w:t>
      </w:r>
      <w:hyperlink w:anchor="ref-marcos1998new">
        <w:r>
          <w:rPr>
            <w:rStyle w:val="Hyperlink"/>
          </w:rPr>
          <w:t xml:space="preserve">22</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23</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24</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25</w:t>
        </w:r>
      </w:hyperlink>
      <w:r>
        <w:t xml:space="preserve">]</w:t>
      </w:r>
      <w:r>
        <w:t xml:space="preserve">. Although deterioration is irreversible and unavoidable, the speed of the process can be controlled by appropriate harvesting, drying and storage techniques [20]. In this sense, the use of drier atmosphere environments could protect seeds</w:t>
      </w:r>
      <w:r>
        <w:t xml:space="preserve"> </w:t>
      </w:r>
      <w:r>
        <w:t xml:space="preserve">[</w:t>
      </w:r>
      <w:hyperlink w:anchor="ref-hay2012evaluation">
        <w:r>
          <w:rPr>
            <w:rStyle w:val="Hyperlink"/>
          </w:rPr>
          <w:t xml:space="preserve">26</w:t>
        </w:r>
      </w:hyperlink>
      <w:r>
        <w:t xml:space="preserve">–</w:t>
      </w:r>
      <w:hyperlink w:anchor="ref-rao2006storability">
        <w:r>
          <w:rPr>
            <w:rStyle w:val="Hyperlink"/>
          </w:rPr>
          <w:t xml:space="preserve">28</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29</w:t>
        </w:r>
      </w:hyperlink>
      <w:r>
        <w:t xml:space="preserve">]</w:t>
      </w:r>
      <w:r>
        <w:t xml:space="preserve">, with NaCl being the predominant salt. Approximately 20% of the world's cultivated land is affected by salts</w:t>
      </w:r>
      <w:r>
        <w:t xml:space="preserve"> </w:t>
      </w:r>
      <w:r>
        <w:t xml:space="preserve">[</w:t>
      </w:r>
      <w:hyperlink w:anchor="ref-sun2009nacl">
        <w:r>
          <w:rPr>
            <w:rStyle w:val="Hyperlink"/>
          </w:rPr>
          <w:t xml:space="preserve">30</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31</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32</w:t>
        </w:r>
      </w:hyperlink>
      <w:r>
        <w:t xml:space="preserve">,</w:t>
      </w:r>
      <w:hyperlink w:anchor="ref-khan2003light">
        <w:r>
          <w:rPr>
            <w:rStyle w:val="Hyperlink"/>
          </w:rPr>
          <w:t xml:space="preserve">33</w:t>
        </w:r>
      </w:hyperlink>
      <w:r>
        <w:t xml:space="preserve">]</w:t>
      </w:r>
      <w:r>
        <w:t xml:space="preserve">. However, throughout their evolution, plants have developed mechanisms for regulation and tolerance to salts.</w:t>
      </w:r>
    </w:p>
    <w:p>
      <w:pPr>
        <w:pStyle w:val="BodyText"/>
      </w:pPr>
      <w:r>
        <w:t xml:space="preserve">Some studies have described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34</w:t>
        </w:r>
      </w:hyperlink>
      <w:r>
        <w:t xml:space="preserve">–</w:t>
      </w:r>
      <w:hyperlink w:anchor="ref-rajaona2012effect">
        <w:r>
          <w:rPr>
            <w:rStyle w:val="Hyperlink"/>
          </w:rPr>
          <w:t xml:space="preserve">37</w:t>
        </w:r>
      </w:hyperlink>
      <w:r>
        <w:t xml:space="preserve">]</w:t>
      </w:r>
      <w:r>
        <w:t xml:space="preserve">; However, these studies focused on only one genotype.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cultivated in Brazil.</w:t>
      </w:r>
    </w:p>
    <w:p>
      <w:pPr>
        <w:pStyle w:val="Heading1"/>
      </w:pPr>
      <w:bookmarkStart w:id="24" w:name="materials-and-methods"/>
      <w:bookmarkEnd w:id="24"/>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part number 10087). The genotype used in this experiment was 171 from Maceió, AL, Brazil.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at 4 ± 2°C. After each storage period, the seeds were removed to the germination boxes with desiccant and then placed to germinate.</w:t>
      </w:r>
    </w:p>
    <w:p>
      <w:pPr>
        <w:pStyle w:val="BodyText"/>
      </w:pPr>
      <w:r>
        <w:rPr>
          <w:b/>
        </w:rPr>
        <w:t xml:space="preserve">Germination tests with aged seeds</w:t>
      </w:r>
      <w:r>
        <w:t xml:space="preserve">. After removed from germination boxes with desiccant, the seeds were germinated in germination boxes (110 x 110 x 35 mm) containing two sheets of germination test paper soaked with 2x the weight of the paper in water and were sealed and placed in a growth chamber (mod. NT 708,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0.5°C. Germination were daily evaluated for a period of 25 days. It was considered germinated, the seed whose radicle has emerged from the integument.</w:t>
      </w:r>
    </w:p>
    <w:p>
      <w:pPr>
        <w:pStyle w:val="BodyText"/>
      </w:pPr>
      <w:r>
        <w:rPr>
          <w:b/>
        </w:rPr>
        <w:t xml:space="preserve">Biochemical analysis of the seeds used in the aging test.</w:t>
      </w:r>
      <w:r>
        <w:t xml:space="preserve"> </w:t>
      </w:r>
      <w:r>
        <w:t xml:space="preserve">A portion of 10% of the aged seeds was carefully ground in liquid nitrogen and stored at -20°C until use. For extraction of soluble carbohydrates (TSC), soluble amino acids (TSA) and starch (STR), samples were solubilized in 50% (v/v) ethanol</w:t>
      </w:r>
      <w:r>
        <w:t xml:space="preserve"> </w:t>
      </w:r>
      <w:r>
        <w:t xml:space="preserve">[</w:t>
      </w:r>
      <w:hyperlink w:anchor="ref-trethewey1998combined">
        <w:r>
          <w:rPr>
            <w:rStyle w:val="Hyperlink"/>
          </w:rPr>
          <w:t xml:space="preserve">38</w:t>
        </w:r>
      </w:hyperlink>
      <w:r>
        <w:t xml:space="preserve">]</w:t>
      </w:r>
      <w:r>
        <w:t xml:space="preserve">, whereas for analysis of total soluble proteins (TSP), the samples were extracted in Stitt buffer</w:t>
      </w:r>
      <w:r>
        <w:t xml:space="preserve"> </w:t>
      </w:r>
      <w:r>
        <w:t xml:space="preserve">[</w:t>
      </w:r>
      <w:hyperlink w:anchor="ref-armengaud2009multilevel">
        <w:r>
          <w:rPr>
            <w:rStyle w:val="Hyperlink"/>
          </w:rPr>
          <w:t xml:space="preserve">39</w:t>
        </w:r>
      </w:hyperlink>
      <w:r>
        <w:t xml:space="preserve">]</w:t>
      </w:r>
      <w:r>
        <w:t xml:space="preserve">. The measures of soluble carbohydrates and start, soluble proteins and soluble amino acids the methodologies described by Dubois</w:t>
      </w:r>
      <w:r>
        <w:t xml:space="preserve"> </w:t>
      </w:r>
      <w:r>
        <w:t xml:space="preserve">[</w:t>
      </w:r>
      <w:hyperlink w:anchor="ref-dubois1956colorimetric">
        <w:r>
          <w:rPr>
            <w:rStyle w:val="Hyperlink"/>
          </w:rPr>
          <w:t xml:space="preserve">40</w:t>
        </w:r>
      </w:hyperlink>
      <w:r>
        <w:t xml:space="preserve">]</w:t>
      </w:r>
      <w:r>
        <w:t xml:space="preserve">, Bradford</w:t>
      </w:r>
      <w:r>
        <w:t xml:space="preserve"> </w:t>
      </w:r>
      <w:r>
        <w:t xml:space="preserve">[</w:t>
      </w:r>
      <w:hyperlink w:anchor="ref-bradford1976rapid">
        <w:r>
          <w:rPr>
            <w:rStyle w:val="Hyperlink"/>
          </w:rPr>
          <w:t xml:space="preserve">41</w:t>
        </w:r>
      </w:hyperlink>
      <w:r>
        <w:t xml:space="preserve">]</w:t>
      </w:r>
      <w:r>
        <w:t xml:space="preserve"> </w:t>
      </w:r>
      <w:r>
        <w:t xml:space="preserve">and Moore and Stein</w:t>
      </w:r>
      <w:r>
        <w:t xml:space="preserve"> </w:t>
      </w:r>
      <w:r>
        <w:t xml:space="preserve">[</w:t>
      </w:r>
      <w:hyperlink w:anchor="ref-moore1954modified">
        <w:r>
          <w:rPr>
            <w:rStyle w:val="Hyperlink"/>
          </w:rPr>
          <w:t xml:space="preserve">42</w:t>
        </w:r>
      </w:hyperlink>
      <w:r>
        <w:t xml:space="preserve">]</w:t>
      </w:r>
      <w:r>
        <w:t xml:space="preserve"> </w:t>
      </w:r>
      <w:r>
        <w:t xml:space="preserve">were used, respectively. For the quantification of the oil content (OIL) the methodology described in detail by Ahmad</w:t>
      </w:r>
      <w:r>
        <w:t xml:space="preserve"> </w:t>
      </w:r>
      <w:r>
        <w:t xml:space="preserve">[</w:t>
      </w:r>
      <w:hyperlink w:anchor="ref-ahmad1981ricinoleic">
        <w:r>
          <w:rPr>
            <w:rStyle w:val="Hyperlink"/>
          </w:rPr>
          <w:t xml:space="preserve">43</w:t>
        </w:r>
      </w:hyperlink>
      <w:r>
        <w:t xml:space="preserve">]</w:t>
      </w:r>
      <w:r>
        <w:t xml:space="preserve">. To quantification of glucose (GLC), fructose (FTS) and sucrose (SCR)</w:t>
      </w:r>
      <w:r>
        <w:t xml:space="preserve"> </w:t>
      </w:r>
      <w:r>
        <w:t xml:space="preserve">[</w:t>
      </w:r>
      <w:hyperlink w:anchor="ref-stitt198932">
        <w:r>
          <w:rPr>
            <w:rStyle w:val="Hyperlink"/>
          </w:rPr>
          <w:t xml:space="preserve">44</w:t>
        </w:r>
      </w:hyperlink>
      <w:r>
        <w:t xml:space="preserve">]</w:t>
      </w:r>
      <w:r>
        <w:t xml:space="preserve">, coupled to the production of 6-phosphogluconate, in the sequential presence of hexokinase, phosphoglucoisomerase, glucose-6-phosphate dehydrogranase and invertase enzymes were used, as described in Stitt</w:t>
      </w:r>
      <w:r>
        <w:t xml:space="preserve"> </w:t>
      </w:r>
      <w:r>
        <w:t xml:space="preserve">[</w:t>
      </w:r>
      <w:hyperlink w:anchor="ref-stitt198932">
        <w:r>
          <w:rPr>
            <w:rStyle w:val="Hyperlink"/>
          </w:rPr>
          <w:t xml:space="preserve">44</w:t>
        </w:r>
      </w:hyperlink>
      <w:r>
        <w:t xml:space="preserve">]</w:t>
      </w:r>
      <w:r>
        <w:t xml:space="preserve">.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Moncaleano-Escandon</w:t>
      </w:r>
      <w:r>
        <w:t xml:space="preserve"> </w:t>
      </w:r>
      <w:r>
        <w:t xml:space="preserve">[</w:t>
      </w:r>
      <w:hyperlink w:anchor="ref-moncaleano2013germination">
        <w:r>
          <w:rPr>
            <w:rStyle w:val="Hyperlink"/>
          </w:rPr>
          <w:t xml:space="preserve">25</w:t>
        </w:r>
      </w:hyperlink>
      <w:r>
        <w:t xml:space="preserve">]</w:t>
      </w:r>
      <w:r>
        <w:t xml:space="preserve">. The water potential (WTP) of the seeds was quantified with the dewpoint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in the presence of NaCl.</w:t>
      </w:r>
      <w:r>
        <w:t xml:space="preserve"> </w:t>
      </w:r>
      <w:r>
        <w:t xml:space="preserve">For this experiment seeds of five genotypes (Table</w:t>
      </w:r>
      <w:r>
        <w:t xml:space="preserve"> </w:t>
      </w:r>
      <w:r>
        <w:t xml:space="preserve">1</w:t>
      </w:r>
      <w:r>
        <w:t xml:space="preserve">) of</w:t>
      </w:r>
      <w:r>
        <w:t xml:space="preserve"> </w:t>
      </w:r>
      <w:r>
        <w:rPr>
          <w:i/>
        </w:rPr>
        <w:t xml:space="preserve">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Recife, PE (8°02"59.0' S; 34°56"54.9' W, 4 masl). The average temperature being recorded during the experiments using a portable mini climatic estation (mod. KR420, Akron Measure Instrument, Leuven, Belgium). In this experiment, five different concentrations of NaCl (0, 50, 75, 100 and 150 mM) were tested in the irrigation water, with zero being destiled water. After the soaking, all seeds were disinfected with NaOCl (2%) for 10 minutes and triply rinsed with distilled water. Thus, the seeds were germinated in polypropylene boxes (20 x 20 x 5 cm) containing 2,500 g of river washed sand, air-dried. Each boxes containing 25 seeds were considered as an experimental unit. The boxes were irrigated daily with 300 mL of water containing Hoagland nutrient solution</w:t>
      </w:r>
      <w:r>
        <w:t xml:space="preserve"> </w:t>
      </w:r>
      <w:r>
        <w:t xml:space="preserve">[</w:t>
      </w:r>
      <w:hyperlink w:anchor="ref-epstein1972mineral">
        <w:r>
          <w:rPr>
            <w:rStyle w:val="Hyperlink"/>
          </w:rPr>
          <w:t xml:space="preserve">45</w:t>
        </w:r>
      </w:hyperlink>
      <w:r>
        <w:t xml:space="preserve">]</w:t>
      </w:r>
      <w:r>
        <w:t xml:space="preserve"> </w:t>
      </w:r>
      <w:r>
        <w:t xml:space="preserve">at the concentration of 25%, this being the volume of irrigation required (i.e., previously tested) to leach excess salts and prevent their accumulation in soil. The germination was evaluated daily for 25 consecutive days until the seedlings were collected. In this experiment, it was considered seed germinated when the aerial part emerged from the soil.</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w:t>
      </w:r>
    </w:p>
    <w:tbl>
      <w:tblPr>
        <w:tblStyle w:val="TableNormal"/>
        <w:tblW w:type="pct" w:w="0.0"/>
        <w:tblLook w:firstRow="1"/>
        <w:tblCaption w:val="Table 1 Information and location of the five genotypes of Jatropha curcas studied under salinity condition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germinability (GRP), mean germination time (MGT), germination uncertainty (GRU) and germination synchrony (GRS). All calculations, graphs and statistics were performed with GerminaR package</w:t>
      </w:r>
      <w:r>
        <w:t xml:space="preserve"> </w:t>
      </w:r>
      <w:r>
        <w:t xml:space="preserve">[</w:t>
      </w:r>
      <w:hyperlink w:anchor="ref-R-GerminaR">
        <w:r>
          <w:rPr>
            <w:rStyle w:val="Hyperlink"/>
          </w:rPr>
          <w:t xml:space="preserve">46</w:t>
        </w:r>
      </w:hyperlink>
      <w:r>
        <w:t xml:space="preserve">]</w:t>
      </w:r>
      <w:r>
        <w:t xml:space="preserve">.</w:t>
      </w:r>
    </w:p>
    <w:p>
      <w:pPr>
        <w:pStyle w:val="BodyText"/>
      </w:pPr>
      <w:r>
        <w:rPr>
          <w:b/>
        </w:rPr>
        <w:t xml:space="preserve">Evaluation of biometric parameters and biomass.</w:t>
      </w:r>
      <w:r>
        <w:t xml:space="preserve"> </w:t>
      </w:r>
      <w:r>
        <w:t xml:space="preserve">The mean seedling height (HGT) and mean stem diameter (STD) were evaluated at the end of the experiment</w:t>
      </w:r>
      <w:r>
        <w:t xml:space="preserve"> </w:t>
      </w:r>
      <w:r>
        <w:t xml:space="preserve">[</w:t>
      </w:r>
      <w:hyperlink w:anchor="ref-moncaleano2013germination">
        <w:r>
          <w:rPr>
            <w:rStyle w:val="Hyperlink"/>
          </w:rPr>
          <w:t xml:space="preserve">25</w:t>
        </w:r>
      </w:hyperlink>
      <w:r>
        <w:t xml:space="preserve">]</w:t>
      </w:r>
      <w:r>
        <w:t xml:space="preserve">. For this, the seedlings were collected and separated into three components: leaves, stems and roots. The stem diameter were measured by a digital caliper (Digital Caliper, ROHS, ZAAS Precision, Piracicaba, SP). Leaf area (LFA) was evaluated by plant and for experimental unit (TLFA)</w:t>
      </w:r>
      <w:r>
        <w:t xml:space="preserve"> </w:t>
      </w:r>
      <w:r>
        <w:t xml:space="preserve">[</w:t>
      </w:r>
      <w:hyperlink w:anchor="ref-pompelli2012allometric">
        <w:r>
          <w:rPr>
            <w:rStyle w:val="Hyperlink"/>
          </w:rPr>
          <w:t xml:space="preserve">47</w:t>
        </w:r>
      </w:hyperlink>
      <w:r>
        <w:t xml:space="preserve">]</w:t>
      </w:r>
      <w:r>
        <w:t xml:space="preserve">. To estimate dry biomass, all samples were dried by a forced ventilation oven at 70°C for 72 hours. Leaf dry weight (LDW), stem dry weight (STDW) and root dry weight (RDW) were used to calculate several biomass parameters, such as: total dry weight (TDW); shoot dry weight (STDW); Leaf weight ratio (LWR; ratio between LDW and TDW); stem dry weight ratio (SWR; ratio between STDW and TDW); shoot dry weight ratio (STWR, ratio between STDW and TDW) and root dry weight ratio (RWR; ratio between RDW and TDW).</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and five different concentrations of NaCl in irrigation water (0, 50, 75, 100 and 150 mM).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48</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49</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49</w:t>
        </w:r>
      </w:hyperlink>
      <w:r>
        <w:t xml:space="preserve">,</w:t>
      </w:r>
      <w:hyperlink w:anchor="ref-R-corrplot">
        <w:r>
          <w:rPr>
            <w:rStyle w:val="Hyperlink"/>
          </w:rPr>
          <w:t xml:space="preserve">50</w:t>
        </w:r>
      </w:hyperlink>
      <w:r>
        <w:t xml:space="preserve">]</w:t>
      </w:r>
      <w:r>
        <w:t xml:space="preserve"> </w:t>
      </w:r>
      <w:r>
        <w:t xml:space="preserve">and principal components analysis were made</w:t>
      </w:r>
      <w:r>
        <w:t xml:space="preserve"> </w:t>
      </w:r>
      <w:r>
        <w:t xml:space="preserve">[</w:t>
      </w:r>
      <w:hyperlink w:anchor="ref-R-FactoMineR">
        <w:r>
          <w:rPr>
            <w:rStyle w:val="Hyperlink"/>
          </w:rPr>
          <w:t xml:space="preserve">51</w:t>
        </w:r>
      </w:hyperlink>
      <w:r>
        <w:t xml:space="preserve">]</w:t>
      </w:r>
      <w:r>
        <w:t xml:space="preserve">.</w:t>
      </w:r>
    </w:p>
    <w:p>
      <w:pPr>
        <w:pStyle w:val="Heading1"/>
      </w:pPr>
      <w:bookmarkStart w:id="25" w:name="results"/>
      <w:bookmarkEnd w:id="25"/>
      <w:r>
        <w:t xml:space="preserve">Results</w:t>
      </w:r>
    </w:p>
    <w:p>
      <w:pPr>
        <w:pStyle w:val="FirstParagraph"/>
      </w:pPr>
      <w:r>
        <w:rPr>
          <w:b/>
        </w:rPr>
        <w:t xml:space="preserve">Germination of aged seeds.</w:t>
      </w:r>
      <w:r>
        <w:t xml:space="preserve"> </w:t>
      </w:r>
      <w:r>
        <w:t xml:space="preserve">The germination of the</w:t>
      </w:r>
      <w:r>
        <w:t xml:space="preserve"> </w:t>
      </w:r>
      <w:r>
        <w:rPr>
          <w:i/>
        </w:rPr>
        <w:t xml:space="preserve">J. curcas</w:t>
      </w:r>
      <w:r>
        <w:t xml:space="preserve"> </w:t>
      </w:r>
      <w:r>
        <w:t xml:space="preserve">seeds 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(Figure 1E). However, the germination uncertainty was not affected by the storage (Figure</w:t>
      </w:r>
      <w:r>
        <w:t xml:space="preserve"> </w:t>
      </w:r>
      <w:r>
        <w:t xml:space="preserve">1</w:t>
      </w:r>
      <w:r>
        <w:t xml:space="preserve">D). It is verified that the seeds before storage and stored for 3 months began their germination on the 3</w:t>
      </w:r>
      <w:r>
        <w:rPr>
          <w:vertAlign w:val="superscript"/>
        </w:rPr>
        <w:t xml:space="preserve">rd</w:t>
      </w:r>
      <w:r>
        <w:t xml:space="preserve"> </w:t>
      </w:r>
      <w:r>
        <w:t xml:space="preserve">and the 4</w:t>
      </w:r>
      <w:r>
        <w:rPr>
          <w:vertAlign w:val="superscript"/>
        </w:rPr>
        <w:t xml:space="preserve">th</w:t>
      </w:r>
      <w:r>
        <w:t xml:space="preserve"> </w:t>
      </w:r>
      <w:r>
        <w:t xml:space="preserve">day after sowing respectively, while in other times the germination of the first seed was only computed from the 6</w:t>
      </w:r>
      <w:r>
        <w:rPr>
          <w:vertAlign w:val="superscript"/>
        </w:rPr>
        <w:t xml:space="preserve">th</w:t>
      </w:r>
      <w:r>
        <w:t xml:space="preserve"> </w:t>
      </w:r>
      <w:r>
        <w:t xml:space="preserve">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12th month of storage, when the oil content was approximately 29% (Figure</w:t>
      </w:r>
      <w:r>
        <w:t xml:space="preserve"> </w:t>
      </w:r>
      <w:r>
        <w:t xml:space="preserve">2</w:t>
      </w:r>
      <w:r>
        <w:t xml:space="preserve">A). We verified a strong and negative correlation between oil content in the seeds and storage time (r = -0.91, p ≤ 0.05).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strong and positive correlation (r = 0.92, p ≤ 0.05) is shown between total soluble proteins and amino acid syntheses.</w:t>
      </w:r>
    </w:p>
    <w:p>
      <w:pPr>
        <w:pStyle w:val="BodyText"/>
      </w:pPr>
      <w:r>
        <w:t xml:space="preserve">There was a gradual reduction in the total soluble carbohydrate content at the 3</w:t>
      </w:r>
      <w:r>
        <w:rPr>
          <w:vertAlign w:val="superscript"/>
        </w:rPr>
        <w:t xml:space="preserve">rd</w:t>
      </w:r>
      <w:r>
        <w:t xml:space="preserve"> </w:t>
      </w:r>
      <w:r>
        <w:t xml:space="preserve">month of storage compared to the control, without showing differences until the 12</w:t>
      </w:r>
      <w:r>
        <w:rPr>
          <w:vertAlign w:val="superscript"/>
        </w:rPr>
        <w:t xml:space="preserve">th</w:t>
      </w:r>
      <w:r>
        <w:t xml:space="preserve"> </w:t>
      </w:r>
      <w:r>
        <w:t xml:space="preserve">month of storage (Figure</w:t>
      </w:r>
      <w:r>
        <w:t xml:space="preserve"> </w:t>
      </w:r>
      <w:r>
        <w:t xml:space="preserve">3</w:t>
      </w:r>
      <w:r>
        <w:t xml:space="preserve">A). Sucrose levels had a reduction of approximately 49% between 3 and 12 months of storage (Figure</w:t>
      </w:r>
      <w:r>
        <w:t xml:space="preserve"> </w:t>
      </w:r>
      <w:r>
        <w:t xml:space="preserve">2</w:t>
      </w:r>
      <w:r>
        <w:t xml:space="preserve">B), while glucose levels remained stable until the 3</w:t>
      </w:r>
      <w:r>
        <w:rPr>
          <w:vertAlign w:val="superscript"/>
        </w:rPr>
        <w:t xml:space="preserve">rd</w:t>
      </w:r>
      <w:r>
        <w:t xml:space="preserve"> </w:t>
      </w:r>
      <w:r>
        <w:t xml:space="preserve">month of storage when compared to non-stored seeds. From the 6</w:t>
      </w:r>
      <w:r>
        <w:rPr>
          <w:vertAlign w:val="superscript"/>
        </w:rPr>
        <w:t xml:space="preserve">th</w:t>
      </w:r>
      <w:r>
        <w:t xml:space="preserve"> </w:t>
      </w:r>
      <w:r>
        <w:t xml:space="preserve">month, the glucose was rapidly elevated, reaching 71% in the 12</w:t>
      </w:r>
      <w:r>
        <w:rPr>
          <w:vertAlign w:val="superscript"/>
        </w:rPr>
        <w:t xml:space="preserve">th</w:t>
      </w:r>
      <w:r>
        <w:t xml:space="preserve"> </w:t>
      </w:r>
      <w:r>
        <w:t xml:space="preserve">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We showed that while sucrose levels decreased (r = -0.57, p ≤ 0.05) throughout the storage period, glucose (r = 0.67, p ≤ 0.05) had an opposite behavior, with increase with storage.</w:t>
      </w:r>
    </w:p>
    <w:p>
      <w:pPr>
        <w:pStyle w:val="FigureWithCaption"/>
      </w:pPr>
      <w:r>
        <w:drawing>
          <wp:inline>
            <wp:extent cx="3033728" cy="9654718"/>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7"/>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8"/>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(Figure</w:t>
      </w:r>
      <w:r>
        <w:t xml:space="preserve"> </w:t>
      </w:r>
      <w:r>
        <w:t xml:space="preserve">4</w:t>
      </w:r>
      <w:r>
        <w:t xml:space="preserve">). Non-stored seeds had 8% of water content, while seeds stored by 12 months had 5.5% (Figure</w:t>
      </w:r>
      <w:r>
        <w:t xml:space="preserve"> </w:t>
      </w:r>
      <w:r>
        <w:t xml:space="preserve">4</w:t>
      </w:r>
      <w:r>
        <w:t xml:space="preserve">A). Concomitantly the water content, the seeds water potential had a strong reduction with the storage time, presenting a strong correlation (r = 0.83, p ≤ 0.05) between these two characteristics. We verified that the water potential of non-stred seeds were -35 MPa, but water potential were reduced to -124 MPa at 12 months of storage (Figure</w:t>
      </w:r>
      <w:r>
        <w:t xml:space="preserve"> </w:t>
      </w:r>
      <w:r>
        <w:t xml:space="preserve">4</w:t>
      </w:r>
      <w:r>
        <w:t xml:space="preserve">B). With the reduction of the relative water content and the water potential there was a strong reduction in the respiratory rate of the seeds (r = 0.88, p ≤ 0.05), ranging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in non-stored seeds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after 12 months of storage (Figure</w:t>
      </w:r>
      <w:r>
        <w:t xml:space="preserve"> </w:t>
      </w:r>
      <w:r>
        <w:t xml:space="preserve">4</w:t>
      </w:r>
      <w:r>
        <w:t xml:space="preserve">), a reduction of 91% over the seeds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9"/>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Seed germination treated with NaCl.</w:t>
      </w:r>
      <w:r>
        <w:t xml:space="preserve"> </w:t>
      </w:r>
      <w:r>
        <w:t xml:space="preserve">These experiments were conducted in greenhouse condition. The temperature was 30.6 ± 1.1°C and relative humidity of 70.4 ± 5.8%. The enviromental data were collected every fifteen minutes during all days, 24 hours per day. In this experiment, we verified that the germination was almost zero at 150 mM NaCl for all genotypes. In 0 mM NaCl, seeds of genotype 183 and 114 had 71% and 86% of germination, respectively, with gradual decrease with the increase in NaCl concentration, from 4% to 100 mM and 0% to 150 mM. In another way,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5</w:t>
      </w:r>
      <w:r>
        <w:t xml:space="preserve">A). The mean germination time for 0 mM NaCl was 5 to 7 days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5</w:t>
      </w:r>
      <w:r>
        <w:t xml:space="preserve">B). There was no difference in the germination synchrony for the genotypes up to 75 mM NaCl. However, the synchronization at 100 mM was null at genotype 183, 114 and 218, as well as for genotype 133 in the concentration at 150 mM NaCl. It was observed that the synchrony were always lower than 0.25 for all concentrations and genotypes (Figure</w:t>
      </w:r>
      <w:r>
        <w:t xml:space="preserve"> </w:t>
      </w:r>
      <w:r>
        <w:t xml:space="preserve">5</w:t>
      </w:r>
      <w:r>
        <w:t xml:space="preserve">C), denoting a asynchronous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 mM, the uncertainty was 0.3, 0.7 and 0.5 for genotypes 218, 171 and 133 respectively (Figure</w:t>
      </w:r>
      <w:r>
        <w:t xml:space="preserve"> </w:t>
      </w:r>
      <w:r>
        <w:t xml:space="preserve">5</w:t>
      </w:r>
      <w:r>
        <w:t xml:space="preserve">D). The germination in time showed differences for each of the genotypes. The germination in the treatments without salt began between the 3</w:t>
      </w:r>
      <w:r>
        <w:rPr>
          <w:vertAlign w:val="superscript"/>
        </w:rPr>
        <w:t xml:space="preserve">rd</w:t>
      </w:r>
      <w:r>
        <w:t xml:space="preserve"> </w:t>
      </w:r>
      <w:r>
        <w:t xml:space="preserve">and 4</w:t>
      </w:r>
      <w:r>
        <w:rPr>
          <w:vertAlign w:val="superscript"/>
        </w:rPr>
        <w:t xml:space="preserve">th</w:t>
      </w:r>
      <w:r>
        <w:t xml:space="preserve"> </w:t>
      </w:r>
      <w:r>
        <w:t xml:space="preserve">day after sowing; for the treatments with NaCl addition the maximum values of germination were observed between the 9</w:t>
      </w:r>
      <w:r>
        <w:rPr>
          <w:vertAlign w:val="superscript"/>
        </w:rPr>
        <w:t xml:space="preserve">th</w:t>
      </w:r>
      <w:r>
        <w:t xml:space="preserve"> </w:t>
      </w:r>
      <w:r>
        <w:t xml:space="preserve">and 12</w:t>
      </w:r>
      <w:r>
        <w:rPr>
          <w:vertAlign w:val="superscript"/>
        </w:rPr>
        <w:t xml:space="preserve">th</w:t>
      </w:r>
      <w:r>
        <w:t xml:space="preserve"> </w:t>
      </w:r>
      <w:r>
        <w:t xml:space="preserve">day (Figure</w:t>
      </w:r>
      <w:r>
        <w:t xml:space="preserve"> </w:t>
      </w:r>
      <w:r>
        <w:t xml:space="preserve">6</w:t>
      </w:r>
      <w:r>
        <w:t xml:space="preserve">A-E). Regardless of the genotypes, first germination was observed on the 3</w:t>
      </w:r>
      <w:r>
        <w:rPr>
          <w:vertAlign w:val="superscript"/>
        </w:rPr>
        <w:t xml:space="preserve">rd</w:t>
      </w:r>
      <w:r>
        <w:t xml:space="preserve"> </w:t>
      </w:r>
      <w:r>
        <w:t xml:space="preserve">day in 0 mM NaCl, while in the 50 mM and 75 mM NaCl, the germination was generally initiated on the 4</w:t>
      </w:r>
      <w:r>
        <w:rPr>
          <w:vertAlign w:val="superscript"/>
        </w:rPr>
        <w:t xml:space="preserve">th</w:t>
      </w:r>
      <w:r>
        <w:t xml:space="preserve"> </w:t>
      </w:r>
      <w:r>
        <w:t xml:space="preserve">day, but arranged 5</w:t>
      </w:r>
      <w:r>
        <w:rPr>
          <w:vertAlign w:val="superscript"/>
        </w:rPr>
        <w:t xml:space="preserve">th</w:t>
      </w:r>
      <w:r>
        <w:t xml:space="preserve"> </w:t>
      </w:r>
      <w:r>
        <w:t xml:space="preserve">day and 7</w:t>
      </w:r>
      <w:r>
        <w:rPr>
          <w:vertAlign w:val="superscript"/>
        </w:rPr>
        <w:t xml:space="preserve">th</w:t>
      </w:r>
      <w:r>
        <w:t xml:space="preserve"> </w:t>
      </w:r>
      <w:r>
        <w:t xml:space="preserve">day in 100 mM and 150 mM NaCl, respectively. However, regardless of treatments and salinity levels, germination became stable since 13</w:t>
      </w:r>
      <w:r>
        <w:rPr>
          <w:vertAlign w:val="superscript"/>
        </w:rPr>
        <w:t xml:space="preserve">th</w:t>
      </w:r>
      <w:r>
        <w:t xml:space="preserve"> </w:t>
      </w:r>
      <w:r>
        <w:t xml:space="preserve">day (Figure</w:t>
      </w:r>
      <w:r>
        <w:t xml:space="preserve"> </w:t>
      </w:r>
      <w:r>
        <w:t xml:space="preserve">6</w:t>
      </w:r>
      <w:r>
        <w:t xml:space="preserve">).</w:t>
      </w:r>
    </w:p>
    <w:p>
      <w:pPr>
        <w:pStyle w:val="FigureWithCaption"/>
      </w:pPr>
      <w:r>
        <w:drawing>
          <wp:inline>
            <wp:extent cx="3033728" cy="9654718"/>
            <wp:effectExtent b="0" l="0" r="0" t="0"/>
            <wp:docPr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5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6 Cumulative germination in the time evaluated in five genotypes of Jatropha curcas L. under different concentrations of NaCl (0, 50, 75, 100 and 150 mM). Genotype 183 (A), 114 (B) 218 (C), 171 (D) and 133 E)"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6 Cumulative germination in the time evaluated in five genotypes of Jatropha curcas L. under different concentrations of NaCl (0, 50, 75, 100 and 150 mM). Genotype 183 (A), 114 (B) 218 (C), 171 (D) and 133 E)</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 The leaf area (LFA) was only possible to be evaluated until the concentration of 75 mM NaCl, since these was the parameters most affected by the increase of NaCl in the irrigation solution. The genotypes 218, 171 and 133 presented the highest values in the control concentration, while for 50 mM the genotypes with the highest performance were 133, 114 and 183. The genotypes 133, 114, 171 and 183 presented the highest value in the 0 mM treatment, followed by genotype 183 and 171 that did not show significant differences between them. At the concentration of 50 mM, genotype 114 present larger leaf area, followed by genotype 133, while at the 75 mM concentration there was no difference between the genotypes. There was a tendency of plant height (HGT) reduction with increasing salts. The HGT reached approximately 13 cm in the control, but was strongly reduced until values smaller than 3 cm to 100 Mm of NaCl, fact clearly recorded in genotype 183 (Figure</w:t>
      </w:r>
      <w:r>
        <w:t xml:space="preserve"> </w:t>
      </w:r>
      <w:r>
        <w:t xml:space="preserve">7</w:t>
      </w:r>
      <w:r>
        <w:t xml:space="preserve">A). The stem diameter (STD) presented reduction with the increase of the concentration of NaCl, even without statistical differences. At concentrations of 50 mM and 75 mM, the genotypes 183 and 114 obtained the highest values of stem diameter, while at the concentration of 100 mM they had the lowest values (Figure</w:t>
      </w:r>
      <w:r>
        <w:t xml:space="preserve"> </w:t>
      </w:r>
      <w:r>
        <w:t xml:space="preserve">7</w:t>
      </w:r>
      <w:r>
        <w:t xml:space="preserve">C). For the leaf dry weight ratio,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leaf weight ratio up to 50 mM, while genotype 114 increased its biomass accumulation to 50 mM. All genotypes showed drastic reduction from 75 mM NaCl, with a reduction of biomass accumulation in the leaf with increasing NaCl in the irrigation water (Figure</w:t>
      </w:r>
      <w:r>
        <w:t xml:space="preserve"> </w:t>
      </w:r>
      <w:r>
        <w:t xml:space="preserve">7</w:t>
      </w:r>
      <w:r>
        <w:t xml:space="preserve">F). A distinct profile is verified in the stem dry weight ratio (SWR), which was increased with elevation of salinity, even though no significant effect was observed up to the 50 mM concentration. For the 75 mM concentration, genotype 183 was better than the others, although similar to genotypes 171 and 133 at 100 mM concentration (Figure</w:t>
      </w:r>
      <w:r>
        <w:t xml:space="preserve"> </w:t>
      </w:r>
      <w:r>
        <w:t xml:space="preserve">7</w:t>
      </w:r>
      <w:r>
        <w:t xml:space="preserve">D). The root dry weight ratio (RWR) showed a distinct behavior for each genotype, with genotypes 171, 133 and 218, increasing biomass of the roots up to 75 mM and showed a continuous increment up to 100 mM. On the other hand, the genotype 183 showed increment up to 50 mM and from there had its values reduced. Genotype 114 was apparently unaffected by the increase in NaCl concentration (Figure</w:t>
      </w:r>
      <w:r>
        <w:t xml:space="preserve"> </w:t>
      </w:r>
      <w:r>
        <w:t xml:space="preserve">7</w:t>
      </w:r>
      <w:r>
        <w:t xml:space="preserve">B).</w:t>
      </w:r>
    </w:p>
    <w:p>
      <w:pPr>
        <w:pStyle w:val="FigureWithCaption"/>
      </w:pPr>
      <w:r>
        <w:drawing>
          <wp:inline>
            <wp:extent cx="5334000" cy="6705736"/>
            <wp:effectExtent b="0" l="0" r="0" t="0"/>
            <wp:docPr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2"/>
                    <a:stretch>
                      <a:fillRect/>
                    </a:stretch>
                  </pic:blipFill>
                  <pic:spPr bwMode="auto">
                    <a:xfrm>
                      <a:off x="0" y="0"/>
                      <a:ext cx="5334000" cy="6705736"/>
                    </a:xfrm>
                    <a:prstGeom prst="rect">
                      <a:avLst/>
                    </a:prstGeom>
                    <a:noFill/>
                    <a:ln w="9525">
                      <a:noFill/>
                      <a:headEnd/>
                      <a:tailEnd/>
                    </a:ln>
                  </pic:spPr>
                </pic:pic>
              </a:graphicData>
            </a:graphic>
          </wp:inline>
        </w:drawing>
      </w:r>
    </w:p>
    <w:p>
      <w:pPr>
        <w:pStyle w:val="ImageCaption"/>
      </w:pPr>
      <w:r>
        <w:t xml:space="preserve">Figure 7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 (R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NaCl addition; the negative relationship between salinity and leaf weight ratio (R = -0.90, p ≤ 0.001) and leaf area ratio (r = -0.94, p ≤ 0.001). On the other hand, were strongly increased with salinity the stem dry weight ratio (R = 0.74, p ≤0.001). The principal components analysis (PCA) shows that approximately 74.4% of the variation can be explained by the parameters studied in this work. In the first component the variables LDW, TLFA, HGT and TDW were the ones that presented the greatest contribution in the variance and are negatively correlated with the increase of NaCl, while the variables with positive correlation were the MGT and SDW. The genotypes that showed the best response were 114, 171 and 183 and the susceptible genotypes 133 and 218 (Figure</w:t>
      </w:r>
      <w:r>
        <w:t xml:space="preserve"> </w:t>
      </w:r>
      <w:r>
        <w:t xml:space="preserve">8</w:t>
      </w:r>
      <w:r>
        <w:t xml:space="preserve">).</w:t>
      </w:r>
    </w:p>
    <w:p>
      <w:pPr>
        <w:pStyle w:val="FigureWithCaption"/>
      </w:pPr>
      <w:r>
        <w:drawing>
          <wp:inline>
            <wp:extent cx="5334000" cy="4445000"/>
            <wp:effectExtent b="0" l="0" r="0" t="0"/>
            <wp:docPr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 id="1" name="Picture"/>
            <a:graphic>
              <a:graphicData uri="http://schemas.openxmlformats.org/drawingml/2006/picture">
                <pic:pic>
                  <pic:nvPicPr>
                    <pic:cNvPr descr="img/pca.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w:t>
      </w:r>
    </w:p>
    <w:p>
      <w:pPr>
        <w:pStyle w:val="Heading1"/>
      </w:pPr>
      <w:bookmarkStart w:id="34" w:name="discussion"/>
      <w:bookmarkEnd w:id="34"/>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w:t>
      </w:r>
      <w:hyperlink w:anchor="ref-hay2013advances">
        <w:r>
          <w:rPr>
            <w:rStyle w:val="Hyperlink"/>
          </w:rPr>
          <w:t xml:space="preserve">27</w:t>
        </w:r>
      </w:hyperlink>
      <w:r>
        <w:t xml:space="preserve">]</w:t>
      </w:r>
      <w:r>
        <w:t xml:space="preserve">, resistant to desiccation and can present water contents up to 18%</w:t>
      </w:r>
      <w:r>
        <w:t xml:space="preserve"> </w:t>
      </w:r>
      <w:r>
        <w:t xml:space="preserve">[</w:t>
      </w:r>
      <w:hyperlink w:anchor="ref-pompelli2010environmental">
        <w:r>
          <w:rPr>
            <w:rStyle w:val="Hyperlink"/>
          </w:rPr>
          <w:t xml:space="preserve">5</w:t>
        </w:r>
      </w:hyperlink>
      <w:r>
        <w:t xml:space="preserve">]</w:t>
      </w:r>
      <w:r>
        <w:t xml:space="preserve"> </w:t>
      </w:r>
      <w:r>
        <w:t xml:space="preserve">when freshly harvested. Moncaleano-Escandon</w:t>
      </w:r>
      <w:r>
        <w:t xml:space="preserve"> </w:t>
      </w:r>
      <w:r>
        <w:t xml:space="preserve">[</w:t>
      </w:r>
      <w:hyperlink w:anchor="ref-moncaleano2013germination">
        <w:r>
          <w:rPr>
            <w:rStyle w:val="Hyperlink"/>
          </w:rPr>
          <w:t xml:space="preserve">25</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In this work, we observed that the reduction of the relative humidity in the interstice of the seeds reduced the water content of the seeds and consequently the water potential. Coupled to these facts, the respiration rate were strongly reduced, but not zero, which allowed the viability of the embryo at the expense of the solubilization of reserves, that supported the germinability of the seeds during the storage without significant reduction. However, we shows a strong and positive correlation (r = 0.92, p ≤ 0.05) between total soluble proteins and amino acid syntheses. A possible explanation could be that structural proteins were mobilized to generate carbon skeleton to respiration or amino acids as a compatible solutes that allows maintain the respiration even with reduction of seed moisture. Similarly described previously, we showed a significant correlation between decrease of sucrose and elevation to glucose (r = -0.87, p ≤ 0.05) and fructose (r = -0.56, p ≤ 0.05).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Thus, the respiration rate, even low, foresees the live embryo, which allowed the germination, even 12 months after storage, a fact that diverges of Moncaleano-Escandon et al. (2013)</w:t>
      </w:r>
      <w:r>
        <w:t xml:space="preserve"> </w:t>
      </w:r>
      <w:r>
        <w:t xml:space="preserve">[</w:t>
      </w:r>
      <w:hyperlink w:anchor="ref-moncaleano2013germination">
        <w:r>
          <w:rPr>
            <w:rStyle w:val="Hyperlink"/>
          </w:rPr>
          <w:t xml:space="preserve">25</w:t>
        </w:r>
      </w:hyperlink>
      <w:r>
        <w:t xml:space="preserve">]</w:t>
      </w:r>
      <w:r>
        <w:t xml:space="preserve"> </w:t>
      </w:r>
      <w:r>
        <w:t xml:space="preserve">which describes that the germination of</w:t>
      </w:r>
      <w:r>
        <w:t xml:space="preserve"> </w:t>
      </w:r>
      <w:r>
        <w:rPr>
          <w:i/>
        </w:rPr>
        <w:t xml:space="preserve">J. curcas</w:t>
      </w:r>
      <w:r>
        <w:t xml:space="preserve"> </w:t>
      </w:r>
      <w:r>
        <w:t xml:space="preserve">seeds drop near to zero after 12 months of storage, but six months after start of experiments the seeds stored in low temperature drop 27%, while in this experiment the germination remained stable during all storage time. It should be noted that Moncaleano-Escandon et al. (2013)</w:t>
      </w:r>
      <w:r>
        <w:t xml:space="preserve"> </w:t>
      </w:r>
      <w:r>
        <w:t xml:space="preserve">[</w:t>
      </w:r>
      <w:hyperlink w:anchor="ref-moncaleano2013germination">
        <w:r>
          <w:rPr>
            <w:rStyle w:val="Hyperlink"/>
          </w:rPr>
          <w:t xml:space="preserve">25</w:t>
        </w:r>
      </w:hyperlink>
      <w:r>
        <w:t xml:space="preserve">]</w:t>
      </w:r>
      <w:r>
        <w:t xml:space="preserve">, stored its seeds without any type of desiccant and, in this study, seeds were stored at 4ºC as recommended by Moncaleano-Escandon et al. (2013)</w:t>
      </w:r>
      <w:r>
        <w:t xml:space="preserve"> </w:t>
      </w:r>
      <w:r>
        <w:t xml:space="preserve">[</w:t>
      </w:r>
      <w:hyperlink w:anchor="ref-moncaleano2013germination">
        <w:r>
          <w:rPr>
            <w:rStyle w:val="Hyperlink"/>
          </w:rPr>
          <w:t xml:space="preserve">25</w:t>
        </w:r>
      </w:hyperlink>
      <w:r>
        <w:t xml:space="preserve">]</w:t>
      </w:r>
      <w:r>
        <w:t xml:space="preserve">, but in boxes with very low RH, promoted by the use of desiccant. Another high evidence of respiration was responsible for the mobilization of reserves can be corroborated by the strong negative correlation between oil, starch and sucrose contents with its degradation products (i.e., total soluble proteins, total soluble amino acids and glucose). In addition, it was reported that seeds containing between 6% and 8% of moisture had a rapid reduction in seed oil content in the first 3 months of storage, together with an increase in the concentration of free fatty acids</w:t>
      </w:r>
      <w:r>
        <w:t xml:space="preserve"> </w:t>
      </w:r>
      <w:r>
        <w:t xml:space="preserve">[</w:t>
      </w:r>
      <w:hyperlink w:anchor="ref-akowuah2012influence">
        <w:r>
          <w:rPr>
            <w:rStyle w:val="Hyperlink"/>
          </w:rPr>
          <w:t xml:space="preserve">52</w:t>
        </w:r>
      </w:hyperlink>
      <w:r>
        <w:t xml:space="preserve">,</w:t>
      </w:r>
      <w:hyperlink w:anchor="ref-worang2008quality">
        <w:r>
          <w:rPr>
            <w:rStyle w:val="Hyperlink"/>
          </w:rPr>
          <w:t xml:space="preserve">53</w:t>
        </w:r>
      </w:hyperlink>
      <w:r>
        <w:t xml:space="preserve">]</w:t>
      </w:r>
      <w:r>
        <w:t xml:space="preserve"> </w:t>
      </w:r>
      <w:r>
        <w:t xml:space="preserve">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mean germination time, from 3 days in the 0 mM NaCl and up to 13 days in 150 mM NaCl in the irrigation water, which is confirmed by the significant reduction in germination rate. Same patter was previously reported in</w:t>
      </w:r>
      <w:r>
        <w:t xml:space="preserve"> </w:t>
      </w:r>
      <w:r>
        <w:rPr>
          <w:i/>
        </w:rPr>
        <w:t xml:space="preserve">J. curcas</w:t>
      </w:r>
      <w:r>
        <w:t xml:space="preserve"> </w:t>
      </w:r>
      <w:r>
        <w:t xml:space="preserve">by Alencar et al. (2015)</w:t>
      </w:r>
      <w:r>
        <w:t xml:space="preserve"> </w:t>
      </w:r>
      <w:r>
        <w:t xml:space="preserve">[</w:t>
      </w:r>
      <w:hyperlink w:anchor="ref-alencar2015ultrastructural">
        <w:r>
          <w:rPr>
            <w:rStyle w:val="Hyperlink"/>
          </w:rPr>
          <w:t xml:space="preserve">16</w:t>
        </w:r>
      </w:hyperlink>
      <w:r>
        <w:t xml:space="preserve">]</w:t>
      </w:r>
      <w:r>
        <w:t xml:space="preserve"> </w:t>
      </w:r>
      <w:r>
        <w:t xml:space="preserve">which describes a strong and negative correlation between germination rate and mean germination time.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slows down germinability with greater magnitude. It was observed that the germination synchrony was reduced with the increase of the salts concentration, and the salinity stress promoted slow and more disorganized germination, a fact corroborated by the high values of germination uncertainty. That</w:t>
      </w:r>
      <w:r>
        <w:t xml:space="preserve"> </w:t>
      </w:r>
      <w:r>
        <w:rPr>
          <w:i/>
        </w:rPr>
        <w:t xml:space="preserve">J. curcas</w:t>
      </w:r>
      <w:r>
        <w:t xml:space="preserve"> </w:t>
      </w:r>
      <w:r>
        <w:t xml:space="preserve">has an asynchrony in germination, mainly in salt stress, is already very well studied</w:t>
      </w:r>
      <w:r>
        <w:t xml:space="preserve"> </w:t>
      </w:r>
      <w:r>
        <w:t xml:space="preserve">[</w:t>
      </w:r>
      <w:hyperlink w:anchor="ref-pompelli2010environmental">
        <w:r>
          <w:rPr>
            <w:rStyle w:val="Hyperlink"/>
          </w:rPr>
          <w:t xml:space="preserve">5</w:t>
        </w:r>
      </w:hyperlink>
      <w:r>
        <w:t xml:space="preserve">,</w:t>
      </w:r>
      <w:hyperlink w:anchor="ref-alencar2015ultrastructural">
        <w:r>
          <w:rPr>
            <w:rStyle w:val="Hyperlink"/>
          </w:rPr>
          <w:t xml:space="preserve">16</w:t>
        </w:r>
      </w:hyperlink>
      <w:r>
        <w:t xml:space="preserve">,</w:t>
      </w:r>
      <w:hyperlink w:anchor="ref-moncaleano2013germination">
        <w:r>
          <w:rPr>
            <w:rStyle w:val="Hyperlink"/>
          </w:rPr>
          <w:t xml:space="preserve">25</w:t>
        </w:r>
      </w:hyperlink>
      <w:r>
        <w:t xml:space="preserve">,</w:t>
      </w:r>
      <w:hyperlink w:anchor="ref-islam2009effect">
        <w:r>
          <w:rPr>
            <w:rStyle w:val="Hyperlink"/>
          </w:rPr>
          <w:t xml:space="preserve">54</w:t>
        </w:r>
      </w:hyperlink>
      <w:r>
        <w:t xml:space="preserve">,</w:t>
      </w:r>
      <w:hyperlink w:anchor="ref-silva2012relationship">
        <w:r>
          <w:rPr>
            <w:rStyle w:val="Hyperlink"/>
          </w:rPr>
          <w:t xml:space="preserve">55</w:t>
        </w:r>
      </w:hyperlink>
      <w:r>
        <w:t xml:space="preserve">]</w:t>
      </w:r>
      <w:r>
        <w:t xml:space="preserve">. Therefore, if we analyze the previously published data with those presented of this study we can postulate that synchrony and the uncertainty of the germination can not be considered a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w:t>
      </w:r>
      <w:hyperlink w:anchor="ref-achten2010towards">
        <w:r>
          <w:rPr>
            <w:rStyle w:val="Hyperlink"/>
          </w:rPr>
          <w:t xml:space="preserve">56</w:t>
        </w:r>
      </w:hyperlink>
      <w:r>
        <w:t xml:space="preserve">]</w:t>
      </w:r>
      <w:r>
        <w:t xml:space="preserve">, which makes it present high levels of uncertainty in germination</w:t>
      </w:r>
      <w:r>
        <w:t xml:space="preserve"> </w:t>
      </w:r>
      <w:r>
        <w:t xml:space="preserve">[</w:t>
      </w:r>
      <w:hyperlink w:anchor="ref-ranal2006and">
        <w:r>
          <w:rPr>
            <w:rStyle w:val="Hyperlink"/>
          </w:rPr>
          <w:t xml:space="preserve">57</w:t>
        </w:r>
      </w:hyperlink>
      <w:r>
        <w:t xml:space="preserve">]</w:t>
      </w:r>
      <w:r>
        <w:t xml:space="preserve">; A factor highly related to the survival of the species in its original habitat</w:t>
      </w:r>
      <w:r>
        <w:t xml:space="preserve"> </w:t>
      </w:r>
      <w:r>
        <w:t xml:space="preserve">[</w:t>
      </w:r>
      <w:hyperlink w:anchor="ref-maes2009climatic">
        <w:r>
          <w:rPr>
            <w:rStyle w:val="Hyperlink"/>
          </w:rPr>
          <w:t xml:space="preserve">58</w:t>
        </w:r>
      </w:hyperlink>
      <w:r>
        <w:t xml:space="preserve">]</w:t>
      </w:r>
      <w:r>
        <w:t xml:space="preserve"> </w:t>
      </w:r>
      <w:r>
        <w:t xml:space="preserve">and very unstable from the physiological point of view. Seeds of</w:t>
      </w:r>
      <w:r>
        <w:t xml:space="preserve"> </w:t>
      </w:r>
      <w:r>
        <w:rPr>
          <w:i/>
        </w:rPr>
        <w:t xml:space="preserve">J. curcas</w:t>
      </w:r>
      <w:r>
        <w:t xml:space="preserve"> </w:t>
      </w:r>
      <w:r>
        <w:t xml:space="preserve">can not tolerate up to 150 mM NaCl in the irrigation water for seed germination, and it has very difficulties for seedlings development in concentrations above 75 mM of NaCl. The delay of the germination accompanied with the decrease of the development of the leaves and the reduction of the root growth promotes delay of the autotrophic phase of the plants, in extreme cases, leads to the death of the seedling in the first days after germination. A possible explanation for this is presented by Alencar et al. (2015)</w:t>
      </w:r>
      <w:r>
        <w:t xml:space="preserve"> </w:t>
      </w:r>
      <w:r>
        <w:t xml:space="preserve">[</w:t>
      </w:r>
      <w:hyperlink w:anchor="ref-alencar2015ultrastructural">
        <w:r>
          <w:rPr>
            <w:rStyle w:val="Hyperlink"/>
          </w:rPr>
          <w:t xml:space="preserve">16</w:t>
        </w:r>
      </w:hyperlink>
      <w:r>
        <w:t xml:space="preserve">]</w:t>
      </w:r>
      <w:r>
        <w:t xml:space="preserve"> </w:t>
      </w:r>
      <w:r>
        <w:t xml:space="preserve">since there was a great increase of the Na+ and Cl- contents in the embryonic axes and in the endosperm of the seeds of</w:t>
      </w:r>
      <w:r>
        <w:t xml:space="preserve"> </w:t>
      </w:r>
      <w:r>
        <w:rPr>
          <w:i/>
        </w:rPr>
        <w:t xml:space="preserve">J. curcas</w:t>
      </w:r>
      <w:r>
        <w:t xml:space="preserve">. Another possibility is loss of mobilization of cotyledon reserves on germination</w:t>
      </w:r>
      <w:r>
        <w:t xml:space="preserve"> </w:t>
      </w:r>
      <w:r>
        <w:t xml:space="preserve">[</w:t>
      </w:r>
      <w:hyperlink w:anchor="ref-liu2010seed">
        <w:r>
          <w:rPr>
            <w:rStyle w:val="Hyperlink"/>
          </w:rPr>
          <w:t xml:space="preserve">59</w:t>
        </w:r>
      </w:hyperlink>
      <w:r>
        <w:t xml:space="preserve">]</w:t>
      </w:r>
      <w:r>
        <w:t xml:space="preserve"> </w:t>
      </w:r>
      <w:r>
        <w:t xml:space="preserve">affecting seedling establishment</w:t>
      </w:r>
      <w:r>
        <w:t xml:space="preserve"> </w:t>
      </w:r>
      <w:r>
        <w:t xml:space="preserve">[</w:t>
      </w:r>
      <w:hyperlink w:anchor="ref-marques2013increased">
        <w:r>
          <w:rPr>
            <w:rStyle w:val="Hyperlink"/>
          </w:rPr>
          <w:t xml:space="preserve">60</w:t>
        </w:r>
      </w:hyperlink>
      <w:r>
        <w:t xml:space="preserve">]</w:t>
      </w:r>
      <w:r>
        <w:t xml:space="preserve">.</w:t>
      </w:r>
    </w:p>
    <w:p>
      <w:pPr>
        <w:pStyle w:val="BodyText"/>
      </w:pPr>
      <w:r>
        <w:t xml:space="preserve">It is common for plants to increase their stem biomass to the detriment of other organs when subjected to salinity</w:t>
      </w:r>
      <w:r>
        <w:t xml:space="preserve"> </w:t>
      </w:r>
      <w:r>
        <w:t xml:space="preserve">[</w:t>
      </w:r>
      <w:hyperlink w:anchor="ref-dantas2007germination">
        <w:r>
          <w:rPr>
            <w:rStyle w:val="Hyperlink"/>
          </w:rPr>
          <w:t xml:space="preserve">61</w:t>
        </w:r>
      </w:hyperlink>
      <w:r>
        <w:t xml:space="preserve">–</w:t>
      </w:r>
      <w:hyperlink w:anchor="ref-praxedes2010salt">
        <w:r>
          <w:rPr>
            <w:rStyle w:val="Hyperlink"/>
          </w:rPr>
          <w:t xml:space="preserve">63</w:t>
        </w:r>
      </w:hyperlink>
      <w:r>
        <w:t xml:space="preserve">]</w:t>
      </w:r>
      <w:r>
        <w:t xml:space="preserve">. Munns</w:t>
      </w:r>
      <w:r>
        <w:t xml:space="preserve"> </w:t>
      </w:r>
      <w:r>
        <w:t xml:space="preserve">[</w:t>
      </w:r>
      <w:hyperlink w:anchor="ref-munns1986whole">
        <w:r>
          <w:rPr>
            <w:rStyle w:val="Hyperlink"/>
          </w:rPr>
          <w:t xml:space="preserve">62</w:t>
        </w:r>
      </w:hyperlink>
      <w:r>
        <w:t xml:space="preserve">]</w:t>
      </w:r>
      <w:r>
        <w:t xml:space="preserve"> </w:t>
      </w:r>
      <w:r>
        <w:t xml:space="preserve">describes this as an indirect effect of decreasing water uptake by roots and lower leaf expansion, while Praxedes</w:t>
      </w:r>
      <w:r>
        <w:t xml:space="preserve"> </w:t>
      </w:r>
      <w:r>
        <w:t xml:space="preserve">[</w:t>
      </w:r>
      <w:hyperlink w:anchor="ref-praxedes2010salt">
        <w:r>
          <w:rPr>
            <w:rStyle w:val="Hyperlink"/>
          </w:rPr>
          <w:t xml:space="preserve">63</w:t>
        </w:r>
      </w:hyperlink>
      <w:r>
        <w:t xml:space="preserve">]</w:t>
      </w:r>
      <w:r>
        <w:t xml:space="preserve"> </w:t>
      </w:r>
      <w:r>
        <w:t xml:space="preserve">describes this effect as lower relative growth rate of the plant as a whole. On the other hand, Bayuelo-Jiménez</w:t>
      </w:r>
      <w:r>
        <w:t xml:space="preserve"> </w:t>
      </w:r>
      <w:r>
        <w:t xml:space="preserve">[</w:t>
      </w:r>
      <w:hyperlink w:anchor="ref-bayuelo2002salinity">
        <w:r>
          <w:rPr>
            <w:rStyle w:val="Hyperlink"/>
          </w:rPr>
          <w:t xml:space="preserve">64</w:t>
        </w:r>
      </w:hyperlink>
      <w:r>
        <w:t xml:space="preserve">]</w:t>
      </w:r>
      <w:r>
        <w:t xml:space="preserve"> </w:t>
      </w:r>
      <w:r>
        <w:t xml:space="preserve">and Debez</w:t>
      </w:r>
      <w:r>
        <w:t xml:space="preserve"> </w:t>
      </w:r>
      <w:r>
        <w:t xml:space="preserve">[</w:t>
      </w:r>
      <w:hyperlink w:anchor="ref-debez2004salinity">
        <w:r>
          <w:rPr>
            <w:rStyle w:val="Hyperlink"/>
          </w:rPr>
          <w:t xml:space="preserve">65</w:t>
        </w:r>
      </w:hyperlink>
      <w:r>
        <w:t xml:space="preserve">]</w:t>
      </w:r>
      <w:r>
        <w:t xml:space="preserve"> </w:t>
      </w:r>
      <w:r>
        <w:t xml:space="preserve">describe that all biometric components are reduced in plants submitted to salinity, whether this species is salinity sensitive</w:t>
      </w:r>
      <w:r>
        <w:t xml:space="preserve"> </w:t>
      </w:r>
      <w:r>
        <w:t xml:space="preserve">[</w:t>
      </w:r>
      <w:hyperlink w:anchor="ref-bayuelo2002salinity">
        <w:r>
          <w:rPr>
            <w:rStyle w:val="Hyperlink"/>
          </w:rPr>
          <w:t xml:space="preserve">64</w:t>
        </w:r>
      </w:hyperlink>
      <w:r>
        <w:t xml:space="preserve">]</w:t>
      </w:r>
      <w:r>
        <w:t xml:space="preserve"> </w:t>
      </w:r>
      <w:r>
        <w:t xml:space="preserve">or a halophyte</w:t>
      </w:r>
      <w:r>
        <w:t xml:space="preserve"> </w:t>
      </w:r>
      <w:r>
        <w:t xml:space="preserve">[</w:t>
      </w:r>
      <w:hyperlink w:anchor="ref-debez2004salinity">
        <w:r>
          <w:rPr>
            <w:rStyle w:val="Hyperlink"/>
          </w:rPr>
          <w:t xml:space="preserve">65</w:t>
        </w:r>
      </w:hyperlink>
      <w:r>
        <w:t xml:space="preserve">]</w:t>
      </w:r>
      <w:r>
        <w:t xml:space="preserve">. In addition, Hasewaga</w:t>
      </w:r>
      <w:r>
        <w:t xml:space="preserve"> </w:t>
      </w:r>
      <w:r>
        <w:t xml:space="preserve">[</w:t>
      </w:r>
      <w:hyperlink w:anchor="ref-hasegawa2000plant">
        <w:r>
          <w:rPr>
            <w:rStyle w:val="Hyperlink"/>
          </w:rPr>
          <w:t xml:space="preserve">66</w:t>
        </w:r>
      </w:hyperlink>
      <w:r>
        <w:t xml:space="preserve">]</w:t>
      </w:r>
      <w:r>
        <w:t xml:space="preserve"> </w:t>
      </w:r>
      <w:r>
        <w:t xml:space="preserve">attributed this reduction and/or inhibition of plant growth, when subjected to salinity, to a number of factors such as changes in the water status of the plant caused by the osmotic effect of the salts, increase in the concentration of toxic ions, producing physiological and biochemical variations and alteration in the absorption of essential nutrients.</w:t>
      </w:r>
    </w:p>
    <w:p>
      <w:pPr>
        <w:pStyle w:val="BodyText"/>
      </w:pPr>
      <w:r>
        <w:t xml:space="preserve">The principal component analysis showed that the biometric parameters explain better the salinity response than the germination parameters. Genotypes 114, 171 and 183 are possible candidates for salt stress tolerance, whereas genotypes 133 and 218 show sensitivity to NaCl addition in the irrigation water.</w:t>
      </w:r>
    </w:p>
    <w:p>
      <w:pPr>
        <w:pStyle w:val="BodyText"/>
      </w:pPr>
      <w:r>
        <w:t xml:space="preserve">In conclusion the viability of germination and oil content in seeds of</w:t>
      </w:r>
      <w:r>
        <w:t xml:space="preserve"> </w:t>
      </w:r>
      <w:r>
        <w:rPr>
          <w:i/>
        </w:rPr>
        <w:t xml:space="preserve">Jatropha curcas</w:t>
      </w:r>
      <w:r>
        <w:t xml:space="preserve"> </w:t>
      </w:r>
      <w:r>
        <w:t xml:space="preserve">can be maintained provided there is control of moisture in the interstices of the seed during storage. Salinity strongly affects the germination and initial development of</w:t>
      </w:r>
      <w:r>
        <w:t xml:space="preserve"> </w:t>
      </w:r>
      <w:r>
        <w:rPr>
          <w:i/>
        </w:rPr>
        <w:t xml:space="preserve">Jatropha curcas</w:t>
      </w:r>
      <w:r>
        <w:t xml:space="preserve">, and from the evaluated genotypes, 114, 171 and 183 present as potential candidates for future breeding programs.</w:t>
      </w:r>
    </w:p>
    <w:p>
      <w:pPr>
        <w:pStyle w:val="Heading1"/>
      </w:pPr>
      <w:bookmarkStart w:id="35" w:name="acknowledgments"/>
      <w:bookmarkEnd w:id="35"/>
      <w:r>
        <w:t xml:space="preserve">Acknowledgments</w:t>
      </w:r>
    </w:p>
    <w:p>
      <w:pPr>
        <w:pStyle w:val="FirstParagraph"/>
      </w:pPr>
      <w:r>
        <w:t xml:space="preserve">The authors thank the National Council for Scientific and Technological Development (CNPq Process nº 404357/2013-0) for the financial support. The first author thanks the Coordination of Improvement of Higher Education Personnel (CAPES) for the scholarship. Special thanks to Dr. Agnaldo Rodrigues de Melo Chaves, Tropical Semiarid Agricultural Research Center, Embrapa Semiárido, Petrolina, PE, Brazil and Embrapa Agroenergy, Brasília, DF, Brazil for giving the seeds used in this study.</w:t>
      </w:r>
    </w:p>
    <w:p>
      <w:pPr>
        <w:pStyle w:val="Heading1"/>
      </w:pPr>
      <w:bookmarkStart w:id="36" w:name="references"/>
      <w:bookmarkEnd w:id="36"/>
      <w:r>
        <w:t xml:space="preserve">References</w:t>
      </w:r>
    </w:p>
    <w:p>
      <w:pPr>
        <w:pStyle w:val="Bibliography"/>
      </w:pPr>
      <w:r>
        <w:t xml:space="preserve">[1] J. Heller, Physic nut,</w:t>
      </w:r>
      <w:r>
        <w:t xml:space="preserve"> </w:t>
      </w:r>
      <w:r>
        <w:rPr>
          <w:i/>
        </w:rPr>
        <w:t xml:space="preserve">jatropha curcas</w:t>
      </w:r>
      <w:r>
        <w:t xml:space="preserve"> </w:t>
      </w:r>
      <w:r>
        <w:t xml:space="preserve">l., Bioversity international, 1996.</w:t>
      </w:r>
    </w:p>
    <w:p>
      <w:pPr>
        <w:pStyle w:val="Bibliography"/>
      </w:pPr>
      <w:r>
        <w:t xml:space="preserve">[2] Y. Takeda, others, Development study on</w:t>
      </w:r>
      <w:r>
        <w:t xml:space="preserve"> </w:t>
      </w:r>
      <w:r>
        <w:rPr>
          <w:i/>
        </w:rPr>
        <w:t xml:space="preserve">jatropha curcas</w:t>
      </w:r>
      <w:r>
        <w:t xml:space="preserve"> </w:t>
      </w:r>
      <w:r>
        <w:t xml:space="preserve">(sabu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w:t>
      </w:r>
      <w:r>
        <w:t xml:space="preserve"> </w:t>
      </w:r>
      <w:r>
        <w:rPr>
          <w:i/>
        </w:rPr>
        <w:t xml:space="preserve">Jatropha curcas</w:t>
      </w:r>
      <w:r>
        <w:t xml:space="preserve">: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w:t>
      </w:r>
      <w:r>
        <w:t xml:space="preserve"> </w:t>
      </w:r>
      <w:r>
        <w:rPr>
          <w:i/>
        </w:rPr>
        <w:t xml:space="preserve">jatropha curcas</w:t>
      </w:r>
      <w:r>
        <w:t xml:space="preserve"> </w:t>
      </w:r>
      <w:r>
        <w:t xml:space="preserve">seeds, Australian Journal of Botany. 58 (2010) 421–427.</w:t>
      </w:r>
    </w:p>
    <w:p>
      <w:pPr>
        <w:pStyle w:val="Bibliography"/>
      </w:pPr>
      <w:r>
        <w:t xml:space="preserve">[6] B. Divakara, H. Upadhyaya, S. Wani, C.L. Gowda, Biology and genetic improvement of</w:t>
      </w:r>
      <w:r>
        <w:t xml:space="preserve"> </w:t>
      </w:r>
      <w:r>
        <w:rPr>
          <w:i/>
        </w:rPr>
        <w:t xml:space="preserve">Jatropha curcas</w:t>
      </w:r>
      <w:r>
        <w:t xml:space="preserve"> </w:t>
      </w:r>
      <w:r>
        <w:t xml:space="preserve">L.: A review, Applied Energy. 87 (2010) 732–742. doi:</w:t>
      </w:r>
      <w:hyperlink r:id="rId37">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w:t>
      </w:r>
      <w:r>
        <w:t xml:space="preserve"> </w:t>
      </w:r>
      <w:r>
        <w:rPr>
          <w:i/>
        </w:rPr>
        <w:t xml:space="preserve">jatropha curcas</w:t>
      </w:r>
      <w:r>
        <w:t xml:space="preserve">, Journal of Arid Environments. 89 (2013) 21–29.</w:t>
      </w:r>
    </w:p>
    <w:p>
      <w:pPr>
        <w:pStyle w:val="Bibliography"/>
      </w:pPr>
      <w:r>
        <w:t xml:space="preserve">[8] S. Gao, C. Ouyang, S. Wang, Y. Xu, L. Tang, F. Chen, others, Effects of salt stress on growth, antioxidant enzyme and phenylalanine ammonia-lyase activities in</w:t>
      </w:r>
      <w:r>
        <w:t xml:space="preserve"> </w:t>
      </w:r>
      <w:r>
        <w:rPr>
          <w:i/>
        </w:rPr>
        <w:t xml:space="preserve">jatropha curcas</w:t>
      </w:r>
      <w:r>
        <w:t xml:space="preserve"> </w:t>
      </w:r>
      <w:r>
        <w:t xml:space="preserve">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w:t>
      </w:r>
      <w:r>
        <w:rPr>
          <w:i/>
        </w:rPr>
        <w:t xml:space="preserve">triticum durum</w:t>
      </w:r>
      <w:r>
        <w:t xml:space="preserve">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N. Contran, L. Chessa, M. Lubino, D. Bellavite, P.P. Roggero, G. Enne, State-of-the-art of the</w:t>
      </w:r>
      <w:r>
        <w:t xml:space="preserve"> </w:t>
      </w:r>
      <w:r>
        <w:rPr>
          <w:i/>
        </w:rPr>
        <w:t xml:space="preserve">jatropha curcas</w:t>
      </w:r>
      <w:r>
        <w:t xml:space="preserve"> </w:t>
      </w:r>
      <w:r>
        <w:t xml:space="preserve">productive chain: From sowing to biodiesel and by-products, Industrial Crops and Products. 42 (2013) 202–215.</w:t>
      </w:r>
    </w:p>
    <w:p>
      <w:pPr>
        <w:pStyle w:val="Bibliography"/>
      </w:pPr>
      <w:r>
        <w:t xml:space="preserve">[19] C.-y. Yang, X. Deng, Z. Fang, D.-P. Peng, Selection of high-oil-yield seed sources of jatropha curcas l. for biodiesel production, Biofuels. 1 (2010) 705–717.</w:t>
      </w:r>
    </w:p>
    <w:p>
      <w:pPr>
        <w:pStyle w:val="Bibliography"/>
      </w:pPr>
      <w:r>
        <w:t xml:space="preserve">[20] D.A. Sumner, R.A. Mueller, Are harvest forecasts news? USDA announcements and futures market reactions, American Journal of Agricultural Economics. (1989) 1–8.</w:t>
      </w:r>
    </w:p>
    <w:p>
      <w:pPr>
        <w:pStyle w:val="Bibliography"/>
      </w:pPr>
      <w:r>
        <w:t xml:space="preserve">[21]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[22] J. Marcos-Filho, New approaches to seed vigor testing, Scientia Agricola. 55 (1998) 27–33.</w:t>
      </w:r>
    </w:p>
    <w:p>
      <w:pPr>
        <w:pStyle w:val="Bibliography"/>
      </w:pPr>
      <w:r>
        <w:t xml:space="preserve">[23] D.M. TeKrony, Seeds, Crop Science. 46 (2006) 2263–2269.</w:t>
      </w:r>
    </w:p>
    <w:p>
      <w:pPr>
        <w:pStyle w:val="Bibliography"/>
      </w:pPr>
      <w:r>
        <w:t xml:space="preserve">[24] D. Bilia, A. Fancelli, J. Marcos Filho, J. Machado, Comportamento de sementes de milho híbrido durante o armazenamento sob condições variáveis de temperatura e umidade relativa do ar, Scientia Agrícola. 51 (1994).</w:t>
      </w:r>
    </w:p>
    <w:p>
      <w:pPr>
        <w:pStyle w:val="Bibliography"/>
      </w:pPr>
      <w:r>
        <w:t xml:space="preserve">[25] J. Moncaleano-Escandon, B.C. Silva, S.R. Silva, J.A. Granja, M.C.J. Alves, M.F. Pompelli, Germination responses of</w:t>
      </w:r>
      <w:r>
        <w:t xml:space="preserve"> </w:t>
      </w:r>
      <w:r>
        <w:rPr>
          <w:i/>
        </w:rPr>
        <w:t xml:space="preserve">jatropha curcas</w:t>
      </w:r>
      <w:r>
        <w:t xml:space="preserve"> </w:t>
      </w:r>
      <w:r>
        <w:t xml:space="preserve">l. seeds to storage and aging, Industrial Crops and Products. 44 (2013) 684–690.</w:t>
      </w:r>
    </w:p>
    <w:p>
      <w:pPr>
        <w:pStyle w:val="Bibliography"/>
      </w:pPr>
      <w:r>
        <w:t xml:space="preserve">[26] F. Hay, P. Thavong, P. Taridno, S. Timple, Evaluation of zeolite seed’Drying beads’for drying rice seeds to low moisture content prior to long-term storage, Seed Science and Technology. 40 (2012) 374–395.</w:t>
      </w:r>
    </w:p>
    <w:p>
      <w:pPr>
        <w:pStyle w:val="Bibliography"/>
      </w:pPr>
      <w:r>
        <w:t xml:space="preserve">[27] F.R. Hay, R.J. Probert, Advances in seed conservation of wild plant species: A review of recent research, Conservation Physiology. 1 (2013) cot030.</w:t>
      </w:r>
    </w:p>
    <w:p>
      <w:pPr>
        <w:pStyle w:val="Bibliography"/>
      </w:pPr>
      <w:r>
        <w:t xml:space="preserve">[28] R. Rao, P. Singh, M. Rai, Storability of onion seeds and effects of packaging and storage conditions on viability and vigour, Scientia Horticulturae. 110 (2006) 1–6.</w:t>
      </w:r>
    </w:p>
    <w:p>
      <w:pPr>
        <w:pStyle w:val="Bibliography"/>
      </w:pPr>
      <w:r>
        <w:t xml:space="preserve">[29] N. Kumar, S. Pamidimarri, M. Kaur, G. Boricha, M. Reddy, Effects of nacl on growth, ion accumulation, protein, proline contents and antioxidant enzymes activity in callus cultures of</w:t>
      </w:r>
      <w:r>
        <w:t xml:space="preserve"> </w:t>
      </w:r>
      <w:r>
        <w:rPr>
          <w:i/>
        </w:rPr>
        <w:t xml:space="preserve">jatropha curcas</w:t>
      </w:r>
      <w:r>
        <w:t xml:space="preserve">, Biologia. 63 (2008) 378–382.</w:t>
      </w:r>
    </w:p>
    <w:p>
      <w:pPr>
        <w:pStyle w:val="Bibliography"/>
      </w:pPr>
      <w:r>
        <w:t xml:space="preserve">[30]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[31] R. Munns, M. Tester, Mechanisms of salinity tolerance, Annu. Rev. Plant Biol. 59 (2008) 651–681.</w:t>
      </w:r>
    </w:p>
    <w:p>
      <w:pPr>
        <w:pStyle w:val="Bibliography"/>
      </w:pPr>
      <w:r>
        <w:t xml:space="preserve">[32] M. Khajeh-Hosseini, A. Powell, I. Bingham, The interaction between salinity stress and seed vigour during germination of soyabean seeds, Seed Science and Technology. 31 (2003) 715–725.</w:t>
      </w:r>
    </w:p>
    <w:p>
      <w:pPr>
        <w:pStyle w:val="Bibliography"/>
      </w:pPr>
      <w:r>
        <w:t xml:space="preserve">[33] M.A. Khan, S. Gulzar, Light, salinity, and temperature effects on the seed germination of perennial grasses, American Journal of Botany. 90 (2003) 131–134.</w:t>
      </w:r>
    </w:p>
    <w:p>
      <w:pPr>
        <w:pStyle w:val="Bibliography"/>
      </w:pPr>
      <w:r>
        <w:t xml:space="preserve">[34] L. Díaz-López, V. Gimeno, V. Lidón, I. Simón, V. Martínez, F. García-Sánchez, The tolerance of</w:t>
      </w:r>
      <w:r>
        <w:t xml:space="preserve"> </w:t>
      </w:r>
      <w:r>
        <w:rPr>
          <w:i/>
        </w:rPr>
        <w:t xml:space="preserve">jatropha curcas</w:t>
      </w:r>
      <w:r>
        <w:t xml:space="preserve"> </w:t>
      </w:r>
      <w:r>
        <w:t xml:space="preserve">seedlings to nacl: An ecophysiological analysis, Plant Physiology and Biochemistry. 54 (2012) 34–42.</w:t>
      </w:r>
    </w:p>
    <w:p>
      <w:pPr>
        <w:pStyle w:val="Bibliography"/>
      </w:pPr>
      <w:r>
        <w:t xml:space="preserve">[35] A.Z. Elhag, M.O. Gafar, Effect of sodium chloride on growth of jatropha (</w:t>
      </w:r>
      <w:r>
        <w:rPr>
          <w:i/>
        </w:rPr>
        <w:t xml:space="preserve">jatropha curcas</w:t>
      </w:r>
      <w:r>
        <w:t xml:space="preserve"> </w:t>
      </w:r>
      <w:r>
        <w:t xml:space="preserve">l.) young transplants, Universal Journal of Plant Science. 2 (2014) 19–22.</w:t>
      </w:r>
    </w:p>
    <w:p>
      <w:pPr>
        <w:pStyle w:val="Bibliography"/>
      </w:pPr>
      <w:r>
        <w:t xml:space="preserve">[36]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[37] A.M. Rajaona, H. Brueck, C. Seckinger, F. Asch, Effect of salinity on canopy water vapor conductance of young and 3-year old</w:t>
      </w:r>
      <w:r>
        <w:t xml:space="preserve"> </w:t>
      </w:r>
      <w:r>
        <w:rPr>
          <w:i/>
        </w:rPr>
        <w:t xml:space="preserve">jatropha curcas</w:t>
      </w:r>
      <w:r>
        <w:t xml:space="preserve"> </w:t>
      </w:r>
      <w:r>
        <w:t xml:space="preserve">l., Journal of Arid Environments. 87 (2012) 35–41.</w:t>
      </w:r>
    </w:p>
    <w:p>
      <w:pPr>
        <w:pStyle w:val="Bibliography"/>
      </w:pPr>
      <w:r>
        <w:t xml:space="preserve">[38]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[39]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[40] M. DuBois, K.A. Gilles, J.K. Hamilton, P. t Rebers, F. Smith, Colorimetric method for determination of sugars and related substances, Analytical Chemistry. 28 (1956) 350–356.</w:t>
      </w:r>
    </w:p>
    <w:p>
      <w:pPr>
        <w:pStyle w:val="Bibliography"/>
      </w:pPr>
      <w:r>
        <w:t xml:space="preserve">[41] M.M. Bradford, A rapid and sensitive method for the quantitation of microgram quantities of protein utilizing the principle of protein-dye binding, Analytical Biochemistry. 72 (1976) 248–254.</w:t>
      </w:r>
    </w:p>
    <w:p>
      <w:pPr>
        <w:pStyle w:val="Bibliography"/>
      </w:pPr>
      <w:r>
        <w:t xml:space="preserve">[42] S. Moore, W.H. Stein, others, A modified ninhydrin reagent for the photometric determination of amino acids and related compounds., Journal of Biological Chemistry. 211 (1954) 907–913.</w:t>
      </w:r>
    </w:p>
    <w:p>
      <w:pPr>
        <w:pStyle w:val="Bibliography"/>
      </w:pPr>
      <w:r>
        <w:t xml:space="preserve">[43] M. Ahmad, S. Husain, S. Osman, Ricinoleic acid in phyllanthus niruri seed oil, Journal of the American Oil Chemists’ Society. 58 (1981) 673–674.</w:t>
      </w:r>
    </w:p>
    <w:p>
      <w:pPr>
        <w:pStyle w:val="Bibliography"/>
      </w:pPr>
      <w:r>
        <w:t xml:space="preserve">[44] M. Stitt, R.M. Lilley, R. Gerhardt, H.W. Heldt, [32] metabolite levels in specific cells and subcellular compartments of plant leaves, Methods in Enzymology. 174 (1989) 518–552.</w:t>
      </w:r>
    </w:p>
    <w:p>
      <w:pPr>
        <w:pStyle w:val="Bibliography"/>
      </w:pPr>
      <w:r>
        <w:t xml:space="preserve">[45] E. Epstein, others, Mineral nutrition of plants: Principles and perspectives., 1972.</w:t>
      </w:r>
    </w:p>
    <w:p>
      <w:pPr>
        <w:pStyle w:val="Bibliography"/>
      </w:pPr>
      <w:r>
        <w:t xml:space="preserve">[46] F. Lozano Isla, O. Benites Alfaro, M.F. Pompelli, GerminaR: Germination indexes for seed germination variables for ecophysiological studies, 2017.</w:t>
      </w:r>
      <w:r>
        <w:t xml:space="preserve"> </w:t>
      </w:r>
      <w:hyperlink r:id="rId38">
        <w:r>
          <w:rPr>
            <w:rStyle w:val="Hyperlink"/>
          </w:rPr>
          <w:t xml:space="preserve">https://CRAN.R-project.org/package=GerminaR</w:t>
        </w:r>
      </w:hyperlink>
      <w:r>
        <w:t xml:space="preserve">.</w:t>
      </w:r>
    </w:p>
    <w:p>
      <w:pPr>
        <w:pStyle w:val="Bibliography"/>
      </w:pPr>
      <w:r>
        <w:t xml:space="preserve">[47] M. Pompelli, W. Antunes, D. Ferreira, P. Cavalcante, H. Wanderley-Filho, L. Endres, Allometric models for non-destructive leaf area estimation of</w:t>
      </w:r>
      <w:r>
        <w:t xml:space="preserve"> </w:t>
      </w:r>
      <w:r>
        <w:rPr>
          <w:i/>
        </w:rPr>
        <w:t xml:space="preserve">jatropha curcas</w:t>
      </w:r>
      <w:r>
        <w:t xml:space="preserve">, Biomass and Bioenergy. 36 (2012) 77–85.</w:t>
      </w:r>
    </w:p>
    <w:p>
      <w:pPr>
        <w:pStyle w:val="Bibliography"/>
      </w:pPr>
      <w:r>
        <w:t xml:space="preserve">[48] R Core Team, R: A language and environment for statistical computing, R Foundation for Statistical Computing, Vienna, Austria, 2017.</w:t>
      </w:r>
      <w:r>
        <w:t xml:space="preserve"> </w:t>
      </w:r>
      <w:hyperlink r:id="rId39">
        <w:r>
          <w:rPr>
            <w:rStyle w:val="Hyperlink"/>
          </w:rPr>
          <w:t xml:space="preserve">https://www.R-project.org/</w:t>
        </w:r>
      </w:hyperlink>
      <w:r>
        <w:t xml:space="preserve">.</w:t>
      </w:r>
    </w:p>
    <w:p>
      <w:pPr>
        <w:pStyle w:val="Bibliography"/>
      </w:pPr>
      <w:r>
        <w:t xml:space="preserve">[49] F. de Mendiburu, Agricolae: Statistical procedures for agricultural research, 2016.</w:t>
      </w:r>
      <w:r>
        <w:t xml:space="preserve"> </w:t>
      </w:r>
      <w:hyperlink r:id="rId40">
        <w:r>
          <w:rPr>
            <w:rStyle w:val="Hyperlink"/>
          </w:rPr>
          <w:t xml:space="preserve">https://CRAN.R-project.org/package=agricolae</w:t>
        </w:r>
      </w:hyperlink>
      <w:r>
        <w:t xml:space="preserve">.</w:t>
      </w:r>
    </w:p>
    <w:p>
      <w:pPr>
        <w:pStyle w:val="Bibliography"/>
      </w:pPr>
      <w:r>
        <w:t xml:space="preserve">[50] T. Wei, V. Simko, Corrplot: Visualization of a correlation matrix, 2016.</w:t>
      </w:r>
      <w:r>
        <w:t xml:space="preserve"> </w:t>
      </w:r>
      <w:hyperlink r:id="rId41">
        <w:r>
          <w:rPr>
            <w:rStyle w:val="Hyperlink"/>
          </w:rPr>
          <w:t xml:space="preserve">https://CRAN.R-project.org/package=corrplot</w:t>
        </w:r>
      </w:hyperlink>
      <w:r>
        <w:t xml:space="preserve">.</w:t>
      </w:r>
    </w:p>
    <w:p>
      <w:pPr>
        <w:pStyle w:val="Bibliography"/>
      </w:pPr>
      <w:r>
        <w:t xml:space="preserve">[51] F. Husson, J. Josse, S. Le, J. Mazet, FactoMineR: Multivariate exploratory data analysis and data mining, 2017.</w:t>
      </w:r>
      <w:r>
        <w:t xml:space="preserve"> </w:t>
      </w:r>
      <w:hyperlink r:id="rId42">
        <w:r>
          <w:rPr>
            <w:rStyle w:val="Hyperlink"/>
          </w:rPr>
          <w:t xml:space="preserve">https://CRAN.R-project.org/package=FactoMineR</w:t>
        </w:r>
      </w:hyperlink>
      <w:r>
        <w:t xml:space="preserve">.</w:t>
      </w:r>
    </w:p>
    <w:p>
      <w:pPr>
        <w:pStyle w:val="Bibliography"/>
      </w:pPr>
      <w:r>
        <w:t xml:space="preserve">[52] J. Akowuah, A. Addo, F. Kemausuor, others, Influence of storage duration of</w:t>
      </w:r>
      <w:r>
        <w:t xml:space="preserve"> </w:t>
      </w:r>
      <w:r>
        <w:rPr>
          <w:i/>
        </w:rPr>
        <w:t xml:space="preserve">jatropha curcas</w:t>
      </w:r>
      <w:r>
        <w:t xml:space="preserve"> </w:t>
      </w:r>
      <w:r>
        <w:t xml:space="preserve">seed on oil yield and free fatty acid content, ARPN J Agric Biol Sci. 7 (2012) 41–45.</w:t>
      </w:r>
    </w:p>
    <w:p>
      <w:pPr>
        <w:pStyle w:val="Bibliography"/>
      </w:pPr>
      <w:r>
        <w:t xml:space="preserve">[53] R.L. Worang, O.S. Dharmaputra, R. Syarief, others, The quality of physic nut (</w:t>
      </w:r>
      <w:r>
        <w:rPr>
          <w:i/>
        </w:rPr>
        <w:t xml:space="preserve">jatropha curcas</w:t>
      </w:r>
      <w:r>
        <w:t xml:space="preserve"> </w:t>
      </w:r>
      <w:r>
        <w:t xml:space="preserve">l.) seeds packed in plastic material during storage, BIOTROPIA-The Southeast Asian Journal of Tropical Biology. 15 (2008) 25–36.</w:t>
      </w:r>
    </w:p>
    <w:p>
      <w:pPr>
        <w:pStyle w:val="Bibliography"/>
      </w:pPr>
      <w:r>
        <w:t xml:space="preserve">[54] A. Islam, N. Anuar, Z. Yaakob, others, Effect of genotypes and pre-sowing treatments on seed germination behavior of</w:t>
      </w:r>
      <w:r>
        <w:t xml:space="preserve"> </w:t>
      </w:r>
      <w:r>
        <w:rPr>
          <w:i/>
        </w:rPr>
        <w:t xml:space="preserve">jatropha</w:t>
      </w:r>
      <w:r>
        <w:t xml:space="preserve">, Asian Journal of Plant Sciences. 8 (2009) 433.</w:t>
      </w:r>
    </w:p>
    <w:p>
      <w:pPr>
        <w:pStyle w:val="Bibliography"/>
      </w:pPr>
      <w:r>
        <w:t xml:space="preserve">[55] L.J. da Silva, D.C.F. dos S. Dias, C. do C. Milagres, L.A. dos S. Dias, Relationship between fruit maturation stage and physiological quality of physic nut (</w:t>
      </w:r>
      <w:r>
        <w:rPr>
          <w:i w:val="0"/>
          <w:i/>
        </w:rPr>
        <w:t xml:space="preserve">jatropha curcas</w:t>
      </w:r>
      <w:r>
        <w:t xml:space="preserve"> </w:t>
      </w:r>
      <w:r>
        <w:t xml:space="preserve">l.) seeds, Ciência E Agrotecnologia. 36 (2012) 39–44.</w:t>
      </w:r>
    </w:p>
    <w:p>
      <w:pPr>
        <w:pStyle w:val="Bibliography"/>
      </w:pPr>
      <w:r>
        <w:t xml:space="preserve">[56] W.M. Achten, L.R. Nielsen, R. Aerts, A.G. Lengkeek, E.D. Kjær, A. Trabucco, J.K. Hansen, W.H. Maes, L. Graudal, F.K. Akinnifesi, others, Towards domestication of</w:t>
      </w:r>
      <w:r>
        <w:t xml:space="preserve"> </w:t>
      </w:r>
      <w:r>
        <w:rPr>
          <w:i/>
        </w:rPr>
        <w:t xml:space="preserve">jatropha curcas</w:t>
      </w:r>
      <w:r>
        <w:t xml:space="preserve">, Biofuels. 1 (2010) 91–107.</w:t>
      </w:r>
    </w:p>
    <w:p>
      <w:pPr>
        <w:pStyle w:val="Bibliography"/>
      </w:pPr>
      <w:r>
        <w:t xml:space="preserve">[57] M.A. Ranal, D.G. de Santana, How and why to measure the germination process?, Brazilian Journal of Botany. 29 (2006) 1–11.</w:t>
      </w:r>
    </w:p>
    <w:p>
      <w:pPr>
        <w:pStyle w:val="Bibliography"/>
      </w:pPr>
      <w:r>
        <w:t xml:space="preserve">[58] W. Maes, A. Trabucco, W.M. Achten, B. Muys, Climatic growing conditions of</w:t>
      </w:r>
      <w:r>
        <w:t xml:space="preserve"> </w:t>
      </w:r>
      <w:r>
        <w:rPr>
          <w:i/>
        </w:rPr>
        <w:t xml:space="preserve">jatropha curcas</w:t>
      </w:r>
      <w:r>
        <w:t xml:space="preserve"> </w:t>
      </w:r>
      <w:r>
        <w:t xml:space="preserve">l., Biomass and Bioenergy. 33 (2009) 1481–1485.</w:t>
      </w:r>
    </w:p>
    <w:p>
      <w:pPr>
        <w:pStyle w:val="Bibliography"/>
      </w:pPr>
      <w:r>
        <w:t xml:space="preserve">[59] J. Liu, W. Guo, D. Shi, Seed germination, seedling survival, and physiological response of sunflowers under saline and alkaline conditions, Photosynthetica. 48 (2010) 278–286.</w:t>
      </w:r>
    </w:p>
    <w:p>
      <w:pPr>
        <w:pStyle w:val="Bibliography"/>
      </w:pPr>
      <w:r>
        <w:t xml:space="preserve">[60] E.C. Marques, P.A.F. de Freitas, N.L.M. Alencar, J.T. Prisco, E. Gomes-Filho, Increased na+ and cl- accumulation induced by nacl salinity inhibits cotyledonary reserve mobilization and alters the source-sink relationship in establishing dwarf cashew seedlings, Acta Physiologiae Plantarum. 35 (2013) 2171–2182.</w:t>
      </w:r>
    </w:p>
    <w:p>
      <w:pPr>
        <w:pStyle w:val="Bibliography"/>
      </w:pPr>
      <w:r>
        <w:t xml:space="preserve">[61] B.F. Dantas, L. de S. Ribeiro, C.A. Aragão, Germination, initial growth and cotyledon protein content of bean cultivars under salinity stress, Revista Brasileira de Sementes. 29 (2007) 106–110.</w:t>
      </w:r>
    </w:p>
    <w:p>
      <w:pPr>
        <w:pStyle w:val="Bibliography"/>
      </w:pPr>
      <w:r>
        <w:t xml:space="preserve">[62] R. Munns, A. Termaat, Whole-plant responses to salinity, Functional Plant Biology. 13 (1986) 143–160.</w:t>
      </w:r>
    </w:p>
    <w:p>
      <w:pPr>
        <w:pStyle w:val="Bibliography"/>
      </w:pPr>
      <w:r>
        <w:t xml:space="preserve">[63] S. Praxedes, C. De Lacerda, F. DaMatta, J. Prisco, E. Gomes-Filho, Salt tolerance is associated with differences in ion accumulation, biomass allocation and photosynthesis in cowpea cultivars, Journal of Agronomy and Crop Science. 196 (2010) 193–204.</w:t>
      </w:r>
    </w:p>
    <w:p>
      <w:pPr>
        <w:pStyle w:val="Bibliography"/>
      </w:pPr>
      <w:r>
        <w:t xml:space="preserve">[64] J.S. Bayuelo-Jimenez, R. Craig, J.P. Lynch, Salinity tolerance of species during germination and early seedling growth, Crop Science. 42 (2002) 1584–1594.</w:t>
      </w:r>
    </w:p>
    <w:p>
      <w:pPr>
        <w:pStyle w:val="Bibliography"/>
      </w:pPr>
      <w:r>
        <w:t xml:space="preserve">[65] A. Debez, K. Ben Hamed, C. Grignon, C. Abdelly, Salinity effects on germination, growth, and seed production of the halophyte cakile maritima, Plant and Soil. 262 (2004) 179–189.</w:t>
      </w:r>
    </w:p>
    <w:p>
      <w:pPr>
        <w:pStyle w:val="Bibliography"/>
      </w:pPr>
      <w:r>
        <w:t xml:space="preserve">[66] P.M. Hasegawa, R.A. Bressan, J.-K. Zhu, H.J. Bohnert, Plant cellular and molecular responses to high salinity, Annual Review of Plant Biology. 51 (2000) 463–499.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d18b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cb89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2" Target="https://CRAN.R-project.org/package=FactoMineR" TargetMode="External" /><Relationship Type="http://schemas.openxmlformats.org/officeDocument/2006/relationships/hyperlink" Id="rId38" Target="https://CRAN.R-project.org/package=GerminaR" TargetMode="External" /><Relationship Type="http://schemas.openxmlformats.org/officeDocument/2006/relationships/hyperlink" Id="rId40" Target="https://CRAN.R-project.org/package=agricolae" TargetMode="External" /><Relationship Type="http://schemas.openxmlformats.org/officeDocument/2006/relationships/hyperlink" Id="rId41" Target="https://CRAN.R-project.org/package=corrplot" TargetMode="External" /><Relationship Type="http://schemas.openxmlformats.org/officeDocument/2006/relationships/hyperlink" Id="rId37" Target="https://doi.org/10.1016/j.apenergy.2009.07.013"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2" Target="https://CRAN.R-project.org/package=FactoMineR" TargetMode="External" /><Relationship Type="http://schemas.openxmlformats.org/officeDocument/2006/relationships/hyperlink" Id="rId38" Target="https://CRAN.R-project.org/package=GerminaR" TargetMode="External" /><Relationship Type="http://schemas.openxmlformats.org/officeDocument/2006/relationships/hyperlink" Id="rId40" Target="https://CRAN.R-project.org/package=agricolae" TargetMode="External" /><Relationship Type="http://schemas.openxmlformats.org/officeDocument/2006/relationships/hyperlink" Id="rId41" Target="https://CRAN.R-project.org/package=corrplot" TargetMode="External" /><Relationship Type="http://schemas.openxmlformats.org/officeDocument/2006/relationships/hyperlink" Id="rId37" Target="https://doi.org/10.1016/j.apenergy.2009.07.013"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dcterms:created xsi:type="dcterms:W3CDTF">2017-06-12T21:22:40Z</dcterms:created>
  <dcterms:modified xsi:type="dcterms:W3CDTF">2017-06-12T21:22:40Z</dcterms:modified>
</cp:coreProperties>
</file>