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2017-05-17</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were studied the effect of the addition of five different concentrations of NaCl in the irrigation (0, 50, 75, 100 and 150 mM) under the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p>
    <w:p>
      <w:pPr>
        <w:pStyle w:val="BodyText"/>
      </w:pP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accesses of 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(TSC), total soluble amino acids (TSA) and starch (STR),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(OIL)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(WTP) of the seeds was quantified with the dew 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germination boxes containing two sheets of germination 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(SDL) and mean stem diameter (STD)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(LA) was evaluated by plant and for experimental unit (TLA)</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(LDW), dry stem weight (STDW) and root dry weight (RDW) were used to calculate several biomass parameters, such as: total dry weight (TDW); aerial part dry weight (BDW); Leaf weight ratio (LWR; leaf dry weight divided by total dry weight); Dry stem weight ratio (DSR; stem dry weight divided by total dry weight); (RPA, aerial part dry weight divided by total dry weight) and root dry weight ratio (RTR,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3rd and the 4th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w:t>
      </w:r>
    </w:p>
    <w:p>
      <w:pPr>
        <w:pStyle w:val="BodyText"/>
      </w:pPr>
      <w:r>
        <w:rPr>
          <w:b/>
        </w:rPr>
        <w:t xml:space="preserve">Seed germination treated with NaCl.</w:t>
      </w:r>
      <w:r>
        <w:t xml:space="preserve"> </w:t>
      </w:r>
      <w:r>
        <w:t xml:space="preserve">Germination was almost zero at the concentration of 150 mM NaCl for all genotypes. For the control concentration (0 mM), seeds of accessions 183 and 114 had 71% and 86% of germination, respectively, with gradual decrease with the increase in NaCl concentration, from 0% to 150 mM and 4% to 100 mM. Genotypes 218 and 133 did not differ by up to 100 mM NaCl, although germination was reduced to approximately 5% at the concentration of 150 mM. Seeds of the genotype 171 showed 65% germination in the control, reducing to 32% and 9% in 50 mM and 150 mM NaCl respectively (Figure 6A).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 6B). There was no difference in the germination synchrony between the control accessions up to 75 mM NaCl; However, the synchronization at 100 mM was null at accesses 183, 114 and 218, as well as for access 133 in the concentration at 150 mM NaCl. It was observed that the synchrony values were always lower than 0.25 for all concentrations (Figure 6C),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accessions 183 and 114, respectively. Genotypes 218, 171 and 133 showed a trend in increasing uncertainty from 0 mM to 100 mM without showing significant differences. At 150mm, the uncertainty was 0.3, 0.7 and 0.5 for genotypes 218, 171 and 133 respectively (Figure 6D).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 7A-E).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since day 13 (Figure 7F).</w:t>
      </w:r>
    </w:p>
    <w:p>
      <w:pPr>
        <w:pStyle w:val="FigureWithCaption"/>
      </w:pPr>
      <w:r>
        <w:drawing>
          <wp:inline>
            <wp:extent cx="5334000" cy="4189293"/>
            <wp:effectExtent b="0" l="0" r="0" t="0"/>
            <wp:docPr descr="Figure 6 Percentage of germination (A), mean germination time (B), germination synchrony (C) and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Percentage of germination (A), mean germination time (B), germination synchrony (C) and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leaf dry biomass (DLB) accumulation was reduced to zero in 100 mM. For the control, the DLB did not show difference between the accessions 114, 171 and 183 with 5.19 g, 4.62 g and 5.11 g respectively. On the other hand, for genotypes 133 and 218 the DLB were 2.37 and 2.43, respectively. At the concentration of 50 mM, genotype 114 obtained the highest DLB at 1.39 g, followed by genotypes 171, 133, 183. Genotype 218 was the most sensitive to salinity, since it had DLB of 0.23 g. For the treatment of 75 mM, the DLB was reduced to values close to zero for all accessions (Table 2). For the root dry biomass (PSR), genotype 114 presented the best development with 0, 50 and 75 mM NaCl in comparison to the other accessions, whereas for 100 mM the genotype 218 had greater accumulation of biomass in relation to the other accessions. Genotype 171 did not show differences in the accumulation of biomass for irrigation of 50, 75 and 100 mM with values of 0.31 g, 0.22 g and 0.26 g respectively. For stem dry biomass (PSC), access 114 showed the best development at 0 mM and 50 mM, while genotype 183 did not show significant differences between 50 mM and 75 mM NaCl treatments. At the concentration of 100 mM the genotypes 218, 133 and 171 showed an increase in the biomass accumulation of the stem with values of 0.98 g, 1.59 g and 2.40 g respectively. For the total dry biomass (PST),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(AF) and total leaf area (AFT) were only possible to be evaluated until the concentration of 75 mM NaCl, since these were the parameters most affected by the increase of salts in the irrigation solution. The genotypes 218, 171 and133 presented the highest values in the control concentration, while for 50 mM the genotypes with the highest performance were 133, 114 and 183. The genotypes 133, 114, 171 and 183 for 75 mM presented values of 0, 4, 0.58, 0.73 and 1.97 cm 2, respectively. For the AFT variable, access 114 presented the highest value in the control treatment, followed by accessions 183 and 171 that did not show significant differences between them. At the concentration of 50 mM, genotype 114 continued to present larger leaf area, followed by access 133, while at the 75 mM concentration there was no difference between the accessions. There was a tendency of plant height reduction (CMP) with increasing salts (Table 2). The CMP reached approximately 13 cm in the control, but was strongly reduced until values smaller than 3 cm to 100 Mm of NaCl, fact clearly recorded in genotype 183 (Table 2). The diameter of the stem (DMC) presented reduction with the increase of the concentration of the salts, even without statistical differences. At concentrations of 50 mM and 75 mM, the accessions 183 and 114 obtained the highest values of stem diameter, while at the concentration of 100 mM they had the lowest values (Table 2).</w:t>
      </w:r>
    </w:p>
    <w:p>
      <w:pPr>
        <w:pStyle w:val="BodyText"/>
      </w:pPr>
      <w:r>
        <w:t xml:space="preserve">For the leaf weight ratio (RPF),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RPF up to 50 mM, while genotype 114 increased its biomass accumulation to 50 mM. All genotypes showed drastic reduction from 75 mM NaCl, with a reduction of biomass accumulation in the leaf with increasing NaCl concentration in the irrigation water (Figure 8A). A distinct profile is verified in the stem dry weight ratio (RPC), which was increased with elevation of salinity, even though no significant effect was observed up to the 50 mM concentration. For the 75 mM concentration, genotype 183 was better than the others, although similar to genotypes 171 and 133 at 100 mM concentration (Figure 8B). The root weight ratio (RPR)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 8C). In the aerial weight characteristic (APR), it was not possible to observe a trend with increasing NaCl concentration; However, genotypes 183, 114, 171 and 133 in the treatment of 100 mM obtained the highest values of RPA in this respect of the other salt treatments, while genotype 218 showed reduced RPA when salinity increased (Figure 8D).</w:t>
      </w:r>
    </w:p>
    <w:p>
      <w:pPr>
        <w:pStyle w:val="TableCaption"/>
      </w:pPr>
      <w:r>
        <w:t xml:space="preserve">Table 2 Parameters of biometric and biomass components evaluated in five accessions of</w:t>
      </w:r>
      <w:r>
        <w:t xml:space="preserve"> </w:t>
      </w:r>
      <w:r>
        <w:rPr>
          <w:i/>
        </w:rPr>
        <w:t xml:space="preserve">Jatropha curcas</w:t>
      </w:r>
      <w:r>
        <w:t xml:space="preserve"> </w:t>
      </w:r>
      <w:r>
        <w:t xml:space="preserve">L. under salinity stress at 25 days after sowing. Where: DLB,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accessions of Jatropha curcas L. under salinity stress at 25 days after sowing. Where: DLB,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The dry weight ratio of leaf (A), root dry weight ratio (B), root weight ratio (C) and shoot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The dry weight ratio of leaf (A), root dry weight ratio (B), root weight ratio (C) and shoot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 (R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w:t>
      </w:r>
      <w:r>
        <w:t xml:space="preserve"> </w:t>
      </w:r>
      <w:r>
        <w:t xml:space="preserve">(R = 0.74, p ≤0.001). The analysis of the main components shows that approximately 74% of the variation can be explained by the parameters studied in this work. In the first component the variables DLB, AFT, CMP and PST were the ones that presented the greatest contribution in the variance and are negatively correlated with the increase of NaCl, while the variables with positive correlation were the TMG and RPC. The genotypes that showed the best response were 114, 171 and 183 and the susceptible genotypes 133 and 218 (Figure 9).</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PGR, Percentage of germination; TMG, Average germination time; ICG, Uncertainty of germination; SNG, Synchronism of germination; DLB, leaf dry weight; PSR, root dry weight; PSC, dry stem weight; PST, total dry weight; AF, total leaf area; AFT, total leaf area; RPF, leaf dry weight ratio; RPC, dry stem weight ratio; RPR, root weight ratio; RPA, shoot dry weight ratio; CMP, plant length; DMC,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PGR, Percentage of germination; TMG, Average germination time; ICG, Uncertainty of germination; SNG, Synchronism of germination; DLB, leaf dry weight; PSR, root dry weight; PSC, dry stem weight; PST, total dry weight; AF, total leaf area; AFT, total leaf area; RPF, leaf dry weight ratio; RPC, dry stem weight ratio; RPR, root weight ratio; RPA, shoot dry weight ratio; CMP, plant length; DMC,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because they 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 °C or 25 °C, accompanied by the reduction of some compounds such as starch and total soluble proteins. This author also showed that at 4ºC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could be observed that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germination period, from 3 days in the control and up to 13 days in 150 mM NaCl in the irrigation water, which is confirmed by the significant reduction in germination percentage and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 J. curcas 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that, in extreme cases, leads to the death of the same one. Even if the cumulative germination is different for the different genotypes, a marked tendency can be observed between the salinity and the reduction in the germination and the accumulation of biomass. Among the parameters of biomass allocation, the PRC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better explain the salinity response than the germination parameters. Genotypes 114, 171 and 183 are possible candidates for salt stress tolerance, whereas genotypes 133 and 218 show sensitivity to NaCl addition in irrigation water.</w:t>
      </w:r>
    </w:p>
    <w:p>
      <w:pPr>
        <w:pStyle w:val="Heading1"/>
      </w:pPr>
      <w:bookmarkStart w:id="35" w:name="conclusions"/>
      <w:bookmarkEnd w:id="35"/>
      <w:r>
        <w:t xml:space="preserve">Conclusions</w:t>
      </w:r>
    </w:p>
    <w:p>
      <w:pPr>
        <w:pStyle w:val="FirstParagraph"/>
      </w:pPr>
      <w:r>
        <w:t xml:space="preserve">The viability of germination and oil content in</w:t>
      </w:r>
      <w:r>
        <w:t xml:space="preserve"> </w:t>
      </w:r>
      <w:r>
        <w:rPr>
          <w:i/>
        </w:rPr>
        <w:t xml:space="preserve">Jatropha curcas</w:t>
      </w:r>
      <w:r>
        <w:t xml:space="preserve"> </w:t>
      </w:r>
      <w:r>
        <w:t xml:space="preserve">seeds 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L., and of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959f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2017-05-18T04:25:51Z</dcterms:created>
  <dcterms:modified xsi:type="dcterms:W3CDTF">2017-05-18T04:25:51Z</dcterms:modified>
</cp:coreProperties>
</file>