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2017-04-05</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2016</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pPr>
        <w:pStyle w:val="Heading2"/>
      </w:pPr>
      <w:bookmarkStart w:id="36" w:name="data-collection"/>
      <w:bookmarkEnd w:id="36"/>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7" w:name="germination-analysis"/>
      <w:bookmarkEnd w:id="37"/>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8" w:name="germinaquant-data-processing"/>
      <w:bookmarkEnd w:id="38"/>
      <w:r>
        <w:t xml:space="preserve">GerminaQuant data processing</w:t>
      </w:r>
    </w:p>
    <w:p>
      <w:pPr>
        <w:pStyle w:val="Heading2"/>
      </w:pPr>
      <w:bookmarkStart w:id="39" w:name="prepare-you-field-book"/>
      <w:bookmarkEnd w:id="39"/>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0" w:name="field-book"/>
      <w:bookmarkEnd w:id="40"/>
      <w:r>
        <w:t xml:space="preserve">Field book</w:t>
      </w:r>
    </w:p>
    <w:p>
      <w:pPr>
        <w:pStyle w:val="FirstParagraph"/>
      </w:pPr>
      <w:r>
        <w:t xml:space="preserve">When you have your field book, you can go</w:t>
      </w:r>
      <w:r>
        <w:t xml:space="preserve"> </w:t>
      </w:r>
      <w:hyperlink r:id="rId41">
        <w:r>
          <w:rPr>
            <w:rStyle w:val="Hyperlink"/>
          </w:rPr>
          <w:t xml:space="preserve">GerminaQuant for R</w:t>
        </w:r>
      </w:hyperlink>
      <w:r>
        <w:t xml:space="preserve"> </w:t>
      </w:r>
      <w:r>
        <w:t xml:space="preserve">and go "Fieldbook" tab. Figure @ref(fig:impdt).</w:t>
      </w:r>
    </w:p>
    <w:p>
      <w:pPr>
        <w:pStyle w:val="BodyText"/>
      </w:pPr>
      <w:r>
        <w:t xml:space="preserve">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2" w:name="germination"/>
      <w:bookmarkEnd w:id="42"/>
      <w:r>
        <w:t xml:space="preserve">Germination</w:t>
      </w:r>
    </w:p>
    <w:p>
      <w:pPr>
        <w:pStyle w:val="FirstParagraph"/>
      </w:pPr>
      <w:r>
        <w:t xml:space="preserve">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pPr>
        <w:pStyle w:val="Heading2"/>
      </w:pPr>
      <w:bookmarkStart w:id="43" w:name="statistical"/>
      <w:bookmarkEnd w:id="43"/>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Heading2"/>
      </w:pPr>
      <w:bookmarkStart w:id="44" w:name="graphics"/>
      <w:bookmarkEnd w:id="44"/>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for publication quality.</w:t>
      </w:r>
    </w:p>
    <w:p>
      <w:pPr>
        <w:pStyle w:val="Heading2"/>
      </w:pPr>
      <w:bookmarkStart w:id="45" w:name="intime"/>
      <w:bookmarkEnd w:id="45"/>
      <w:r>
        <w:t xml:space="preserve">InTime</w:t>
      </w:r>
    </w:p>
    <w:p>
      <w:pPr>
        <w:pStyle w:val="FirstParagraph"/>
      </w:pPr>
      <w:r>
        <w:t xml:space="preserve">This Tab allows to visualize the germination process according the experimental factors. The interface allows customized the graphic. Figure @ref(fig:gtime)</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46">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47">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48">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49">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1">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0116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2017-04-06T03:47:54Z</dcterms:created>
  <dcterms:modified xsi:type="dcterms:W3CDTF">2017-04-06T03:47:54Z</dcterms:modified>
</cp:coreProperties>
</file>