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2017-04-05</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2016</w:t>
        </w:r>
      </w:hyperlink>
      <w:r>
        <w:t xml:space="preserve">)</w:t>
      </w:r>
      <w:r>
        <w:t xml:space="preserve">, based in GerminaR and Shiny</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R package.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d>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(green) and (3) the evaluation columns with the germination values (blue) (Figure @ref(fig:dtorg)). You can design your own field book with different names in the column according your experimental design.</w:t>
      </w:r>
    </w:p>
    <w:p>
      <w:pPr>
        <w:pStyle w:val="Heading2"/>
      </w:pPr>
      <w:bookmarkStart w:id="36" w:name="data-collection"/>
      <w:bookmarkEnd w:id="36"/>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7" w:name="germination-analysis"/>
      <w:bookmarkEnd w:id="37"/>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Regression</w:t>
            </w:r>
          </w:p>
        </w:tc>
        <w:tc>
          <w:p>
            <w:pPr>
              <w:pStyle w:val="Compact"/>
              <w:jc w:val="left"/>
            </w:pPr>
            <w:r>
              <w:t xml:space="preserve">Allows to made the regression analisys for the variables used in the experiment</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8" w:name="germinaquant-data-processing"/>
      <w:bookmarkEnd w:id="38"/>
      <w:r>
        <w:t xml:space="preserve">GerminaQuant data processing</w:t>
      </w:r>
    </w:p>
    <w:p>
      <w:pPr>
        <w:pStyle w:val="Heading2"/>
      </w:pPr>
      <w:bookmarkStart w:id="39" w:name="prepare-you-field-book"/>
      <w:bookmarkEnd w:id="39"/>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0" w:name="fieldbook"/>
      <w:bookmarkEnd w:id="40"/>
      <w:r>
        <w:t xml:space="preserve">Fieldbook</w:t>
      </w:r>
    </w:p>
    <w:p>
      <w:pPr>
        <w:pStyle w:val="FirstParagraph"/>
      </w:pPr>
      <w:r>
        <w:t xml:space="preserve">When you have your field book, you can go</w:t>
      </w:r>
      <w:r>
        <w:t xml:space="preserve"> </w:t>
      </w:r>
      <w:hyperlink r:id="rId41">
        <w:r>
          <w:rPr>
            <w:rStyle w:val="Hyperlink"/>
          </w:rPr>
          <w:t xml:space="preserve">GerminaQuant for R</w:t>
        </w:r>
      </w:hyperlink>
      <w:r>
        <w:t xml:space="preserve"> </w:t>
      </w:r>
      <w:r>
        <w:t xml:space="preserve">and go "Fieldbook" tab. Figure @ref(fig:impdt).</w:t>
      </w:r>
    </w:p>
    <w:p>
      <w:pPr>
        <w:pStyle w:val="BodyText"/>
      </w:pPr>
      <w:r>
        <w:t xml:space="preserve">You can paste a Google sheet URL or upload a local file in xlsx file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2" w:name="germination"/>
      <w:bookmarkEnd w:id="42"/>
      <w:r>
        <w:t xml:space="preserve">Germination</w:t>
      </w:r>
    </w:p>
    <w:p>
      <w:pPr>
        <w:pStyle w:val="FirstParagraph"/>
      </w:pPr>
      <w:r>
        <w:t xml:space="preserve">If the parameter in the "Fieldbook" tab are correct, in "Germination" tab will be performed and the values of the germination variables for each experimental unit will be show. Table @ref(tab:varsum). GerminaQuant allows to copy or downloading the file in "csv" or "xlsx" format with the calculation of the germination variables. Figure @ref(fig:dwl)</w:t>
      </w:r>
    </w:p>
    <w:p>
      <w:pPr>
        <w:pStyle w:val="Heading2"/>
      </w:pPr>
      <w:bookmarkStart w:id="43" w:name="statistical"/>
      <w:bookmarkEnd w:id="43"/>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variables.</w:t>
      </w:r>
    </w:p>
    <w:p>
      <w:pPr>
        <w:pStyle w:val="Heading2"/>
      </w:pPr>
      <w:bookmarkStart w:id="44" w:name="graphics"/>
      <w:bookmarkEnd w:id="44"/>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with publication quality</w:t>
      </w:r>
    </w:p>
    <w:p>
      <w:pPr>
        <w:pStyle w:val="Heading2"/>
      </w:pPr>
      <w:bookmarkStart w:id="45" w:name="intime"/>
      <w:bookmarkEnd w:id="45"/>
      <w:r>
        <w:t xml:space="preserve">InTime</w:t>
      </w:r>
    </w:p>
    <w:p>
      <w:pPr>
        <w:pStyle w:val="FirstParagraph"/>
      </w:pPr>
      <w:r>
        <w:t xml:space="preserve">This Tab allows to visualize the germination process according the experimental factors. The interface allows customized the graphic. Figure @ref(fig:gtime)</w:t>
      </w:r>
    </w:p>
    <w:p>
      <w:pPr>
        <w:pStyle w:val="BodyText"/>
      </w:pPr>
      <w:r>
        <w:t xml:space="preserve">The application allows to plot two type of graphics, the first is the germination in percentage in time lapse and the second the relative germination that calculate the germination according the total number of seed germinated.</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46">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47">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48">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49">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1">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c09e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2017-04-05T16:28:17Z</dcterms:created>
  <dcterms:modified xsi:type="dcterms:W3CDTF">2017-04-05T16:28:17Z</dcterms:modified>
</cp:coreProperties>
</file>