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54.png" ContentType="image/png"/>
  <Override PartName="/word/media/rId57.png" ContentType="image/png"/>
  <Override PartName="/word/media/rId58.png" ContentType="image/png"/>
  <Override PartName="/word/media/rId60.png" ContentType="image/png"/>
  <Override PartName="/word/media/rId61.png" ContentType="image/png"/>
  <Override PartName="/word/media/rId64.png" ContentType="image/png"/>
  <Override PartName="/word/media/rId66.png" ContentType="image/png"/>
  <Override PartName="/word/media/rId45.png" ContentType="image/png"/>
  <Override PartName="/word/media/rId38.png" ContentType="image/png"/>
  <Override PartName="/word/media/rId51.png" ContentType="image/png"/>
  <Override PartName="/word/media/rId26.png" ContentType="image/png"/>
  <Override PartName="/word/media/rId43.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GerminaR</w:t>
      </w:r>
      <w:r>
        <w:t xml:space="preserve"> </w:t>
      </w:r>
      <w:r>
        <w:t xml:space="preserve">and</w:t>
      </w:r>
      <w:r>
        <w:t xml:space="preserve"> </w:t>
      </w:r>
      <w:r>
        <w:t xml:space="preserve">GerminaQuant</w:t>
      </w:r>
      <w:r>
        <w:t xml:space="preserve"> </w:t>
      </w:r>
      <w:r>
        <w:t xml:space="preserve">.:</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m:oMath>
        <m:sSup>
          <m:e>
            <m:r>
              <m:t>​</m:t>
            </m:r>
          </m:e>
          <m:sup>
            <m:r>
              <m:t>1</m:t>
            </m:r>
          </m:sup>
        </m:sSup>
      </m:oMath>
      <w:r>
        <w:t xml:space="preserve">,</w:t>
      </w:r>
      <w:r>
        <w:t xml:space="preserve"> </w:t>
      </w:r>
      <w:r>
        <w:t xml:space="preserve">Omar</w:t>
      </w:r>
      <w:r>
        <w:t xml:space="preserve"> </w:t>
      </w:r>
      <w:r>
        <w:t xml:space="preserve">Benites</w:t>
      </w:r>
      <w:r>
        <w:t xml:space="preserve"> </w:t>
      </w:r>
      <w:r>
        <w:t xml:space="preserve">Alfaro</w:t>
      </w:r>
      <w:r>
        <w:t xml:space="preserve"> </w:t>
      </w:r>
      <m:oMath>
        <m:sSup>
          <m:e>
            <m:r>
              <m:t>​</m:t>
            </m:r>
          </m:e>
          <m:sup>
            <m:r>
              <m:t>2</m:t>
            </m:r>
          </m:sup>
        </m:sSup>
      </m:oMath>
      <w:r>
        <w:t xml:space="preserve">,</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m:oMath>
        <m:sSup>
          <m:e>
            <m:r>
              <m:t>​</m:t>
            </m:r>
          </m:e>
          <m:sup>
            <m:r>
              <m:t>3</m:t>
            </m:r>
          </m:sup>
        </m:sSup>
      </m:oMath>
      <w:r>
        <w:t xml:space="preserve">,</w:t>
      </w:r>
      <w:r>
        <w:t xml:space="preserve"> </w:t>
      </w:r>
      <w:r>
        <w:t xml:space="preserve">Marli</w:t>
      </w:r>
      <w:r>
        <w:t xml:space="preserve"> </w:t>
      </w:r>
      <w:r>
        <w:t xml:space="preserve">A.</w:t>
      </w:r>
      <w:r>
        <w:t xml:space="preserve"> </w:t>
      </w:r>
      <w:r>
        <w:t xml:space="preserve">Ranal</w:t>
      </w:r>
      <w:r>
        <w:t xml:space="preserve"> </w:t>
      </w:r>
      <m:oMath>
        <m:sSup>
          <m:e>
            <m:r>
              <m:t>​</m:t>
            </m:r>
          </m:e>
          <m:sup>
            <m:r>
              <m:t>4</m:t>
            </m:r>
          </m:sup>
        </m:sSup>
      </m:oMath>
      <w:r>
        <w:t xml:space="preserve">,</w:t>
      </w:r>
      <w:r>
        <w:t xml:space="preserve"> </w:t>
      </w:r>
      <w:r>
        <w:t xml:space="preserve">Marcelo</w:t>
      </w:r>
      <w:r>
        <w:t xml:space="preserve"> </w:t>
      </w:r>
      <w:r>
        <w:t xml:space="preserve">Francisco</w:t>
      </w:r>
      <w:r>
        <w:t xml:space="preserve"> </w:t>
      </w:r>
      <w:r>
        <w:t xml:space="preserve">Pompelli</w:t>
      </w:r>
      <w:r>
        <w:t xml:space="preserve"> </w:t>
      </w:r>
      <m:oMath>
        <m:sSup>
          <m:e>
            <m:r>
              <m:t>​</m:t>
            </m:r>
          </m:e>
          <m:sup>
            <m:r>
              <m:t>5</m:t>
            </m:r>
          </m:sup>
        </m:sSup>
      </m:oMath>
    </w:p>
    <w:p>
      <w:pPr>
        <w:pStyle w:val="Author"/>
      </w:pPr>
      <m:oMath>
        <m:sSup>
          <m:e>
            <m:r>
              <m:t>​</m:t>
            </m:r>
          </m:e>
          <m:sup>
            <m:r>
              <m:t>1</m:t>
            </m:r>
          </m:sup>
        </m:sSup>
      </m:oMath>
      <w:r>
        <w:t xml:space="preserve"> </w:t>
      </w:r>
      <w:r>
        <w:t xml:space="preserve">Universidade</w:t>
      </w:r>
      <w:r>
        <w:t xml:space="preserve"> </w:t>
      </w:r>
      <w:r>
        <w:t xml:space="preserve">Federal</w:t>
      </w:r>
      <w:r>
        <w:t xml:space="preserve"> </w:t>
      </w:r>
      <w:r>
        <w:t xml:space="preserve">Rural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Centro</w:t>
      </w:r>
      <w:r>
        <w:t xml:space="preserve"> </w:t>
      </w:r>
      <w:r>
        <w:t xml:space="preserve">Internacional</w:t>
      </w:r>
      <w:r>
        <w:t xml:space="preserve"> </w:t>
      </w:r>
      <w:r>
        <w:t xml:space="preserve">de</w:t>
      </w:r>
      <w:r>
        <w:t xml:space="preserve"> </w:t>
      </w:r>
      <w:r>
        <w:t xml:space="preserve">la</w:t>
      </w:r>
      <w:r>
        <w:t xml:space="preserve"> </w:t>
      </w:r>
      <w:r>
        <w:t xml:space="preserve">Papa</w:t>
      </w:r>
      <w:r>
        <w:t xml:space="preserve"> </w:t>
      </w:r>
      <w:r>
        <w:t xml:space="preserve">(CIP),</w:t>
      </w:r>
      <w:r>
        <w:t xml:space="preserve"> </w:t>
      </w:r>
      <w:r>
        <w:t xml:space="preserve">Peru.</w:t>
      </w:r>
      <w:r>
        <w:t xml:space="preserve"> </w:t>
      </w:r>
      <w:r>
        <w:t xml:space="preserve">email:</w:t>
      </w:r>
      <w:r>
        <w:t xml:space="preserve"> </w:t>
      </w:r>
      <w:hyperlink r:id="rId21">
        <w:r>
          <w:rPr>
            <w:rStyle w:val="Hipervnculo"/>
          </w:rPr>
          <w:t xml:space="preserve">obacc07@gmail.com</w:t>
        </w:r>
      </w:hyperlink>
    </w:p>
    <w:p>
      <w:pPr>
        <w:pStyle w:val="Author"/>
      </w:pPr>
      <m:oMath>
        <m:sSup>
          <m:e>
            <m:r>
              <m:t>​</m:t>
            </m:r>
          </m:e>
          <m:sup>
            <m:r>
              <m:t>3</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2">
        <w:r>
          <w:rPr>
            <w:rStyle w:val="Hipervnculo"/>
          </w:rPr>
          <w:t xml:space="preserve">denise.santana@ufu.br</w:t>
        </w:r>
      </w:hyperlink>
    </w:p>
    <w:p>
      <w:pPr>
        <w:pStyle w:val="Author"/>
      </w:pPr>
      <m:oMath>
        <m:sSup>
          <m:e>
            <m:r>
              <m:t>​</m:t>
            </m:r>
          </m:e>
          <m:sup>
            <m:r>
              <m:t>4</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3">
        <w:r>
          <w:rPr>
            <w:rStyle w:val="Hipervnculo"/>
          </w:rPr>
          <w:t xml:space="preserve">ranal@ufu.br</w:t>
        </w:r>
      </w:hyperlink>
    </w:p>
    <w:p>
      <w:pPr>
        <w:pStyle w:val="Author"/>
      </w:pPr>
      <m:oMath>
        <m:sSup>
          <m:e>
            <m:r>
              <m:t>​</m:t>
            </m:r>
          </m:e>
          <m:sup>
            <m:r>
              <m:t>5</m:t>
            </m:r>
          </m:sup>
        </m:sSup>
      </m:oMath>
      <w:r>
        <w:t xml:space="preserve"> </w:t>
      </w:r>
      <w:r>
        <w:t xml:space="preserve">Universidade</w:t>
      </w:r>
      <w:r>
        <w:t xml:space="preserve"> </w:t>
      </w:r>
      <w:r>
        <w:t xml:space="preserve">Federal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4">
        <w:r>
          <w:rPr>
            <w:rStyle w:val="Hipervnculo"/>
          </w:rPr>
          <w:t xml:space="preserve">mpompelli@gmail.com</w:t>
        </w:r>
      </w:hyperlink>
    </w:p>
    <w:p>
      <w:pPr>
        <w:pStyle w:val="Fecha"/>
      </w:pPr>
      <w:r>
        <w:t xml:space="preserve">2020-03-02</w:t>
      </w:r>
    </w:p>
    <w:p>
      <w:pPr>
        <w:pStyle w:val="Ttulo1"/>
      </w:pPr>
      <w:bookmarkStart w:id="25" w:name="introduction"/>
      <w:r>
        <w:t xml:space="preserve">Introduction</w:t>
      </w:r>
      <w:bookmarkEnd w:id="25"/>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6"/>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calculations for germination indices incredibly easy in an interactive web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w:t>
      </w:r>
      <w:r>
        <w:t xml:space="preserve"> </w:t>
      </w:r>
      <w:r>
        <w:rPr>
          <w:rStyle w:val="VerbatimChar"/>
        </w:rPr>
        <w:t xml:space="preserve">GerminaR</w:t>
      </w:r>
      <w:r>
        <w:t xml:space="preserve"> </w:t>
      </w:r>
      <w:r>
        <w:t xml:space="preserve">(Lozano-Isla et al.,</w:t>
      </w:r>
      <w:r>
        <w:t xml:space="preserve"> </w:t>
      </w:r>
      <w:hyperlink w:anchor="ref-GerminaR2019">
        <w:r>
          <w:rPr>
            <w:rStyle w:val="Hipervnculo"/>
          </w:rPr>
          <w:t xml:space="preserve">2019</w:t>
        </w:r>
      </w:hyperlink>
      <w:r>
        <w:t xml:space="preserve">)</w:t>
      </w:r>
      <w:r>
        <w:t xml:space="preserve"> </w:t>
      </w:r>
      <w:r>
        <w:t xml:space="preserve">and</w:t>
      </w:r>
      <w:r>
        <w:t xml:space="preserve"> </w:t>
      </w:r>
      <w:r>
        <w:rPr>
          <w:rStyle w:val="VerbatimChar"/>
        </w:rPr>
        <w:t xml:space="preserve">Shiny</w:t>
      </w:r>
      <w:r>
        <w:t xml:space="preserve"> </w:t>
      </w:r>
      <w:r>
        <w:t xml:space="preserve">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principal germination indices, statistical analysis and easy way to plot the results.</w:t>
      </w:r>
    </w:p>
    <w:p>
      <w:pPr>
        <w:pStyle w:val="Ttulo2"/>
      </w:pPr>
      <w:bookmarkStart w:id="27" w:name="citation"/>
      <w:r>
        <w:t xml:space="preserve">Citation</w:t>
      </w:r>
      <w:bookmarkEnd w:id="27"/>
    </w:p>
    <w:p>
      <w:pPr>
        <w:pStyle w:val="FirstParagraph"/>
      </w:pPr>
      <w:r>
        <w:t xml:space="preserve">Lozano-Isla, Flavio; Benites-Alfaro, Omar Eduardo; Pompelli, Marcelo Francisco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8">
        <w:r>
          <w:rPr>
            <w:rStyle w:val="Hipervnculo"/>
          </w:rPr>
          <w:t xml:space="preserve">https://doi.org/10.1111/1440-1703.1275</w:t>
        </w:r>
      </w:hyperlink>
    </w:p>
    <w:p>
      <w:pPr>
        <w:pStyle w:val="Ttulo2"/>
      </w:pPr>
      <w:bookmarkStart w:id="29" w:name="germinar-cran"/>
      <w:r>
        <w:t xml:space="preserve">GerminaR CRAN</w:t>
      </w:r>
      <w:bookmarkEnd w:id="29"/>
    </w:p>
    <w:p>
      <w:pPr>
        <w:pStyle w:val="FirstParagraph"/>
      </w:pPr>
      <w:hyperlink r:id="rId30">
        <w:r>
          <w:rPr>
            <w:rStyle w:val="Hipervnculo"/>
          </w:rPr>
          <w:t xml:space="preserve">https://CRAN.R-project.org/package=GerminaR</w:t>
        </w:r>
      </w:hyperlink>
    </w:p>
    <w:p>
      <w:pPr>
        <w:pStyle w:val="Ttulo2"/>
      </w:pPr>
      <w:bookmarkStart w:id="31" w:name="germinaquant-app"/>
      <w:r>
        <w:t xml:space="preserve">GerminaQuant app</w:t>
      </w:r>
      <w:bookmarkEnd w:id="31"/>
    </w:p>
    <w:p>
      <w:pPr>
        <w:pStyle w:val="FirstParagraph"/>
      </w:pPr>
      <w:r>
        <w:t xml:space="preserve">Lozano-Isla, Flavio; Benites-Alfaro, Omar Eduardo; Pompelli, Marcelo Francisco (2016). GerminaQuant for R (Patent No. BR 51 2016 001327-3).</w:t>
      </w:r>
      <w:r>
        <w:t xml:space="preserve"> </w:t>
      </w:r>
      <w:hyperlink r:id="rId32">
        <w:r>
          <w:rPr>
            <w:rStyle w:val="Hipervnculo"/>
          </w:rPr>
          <w:t xml:space="preserve">https://flavjack.shinyapps.io/germinaquant/</w:t>
        </w:r>
      </w:hyperlink>
    </w:p>
    <w:p>
      <w:pPr>
        <w:pStyle w:val="Ttulo1"/>
      </w:pPr>
      <w:bookmarkStart w:id="33" w:name="seed-germination-process"/>
      <w:r>
        <w:t xml:space="preserve">Seed germination process</w:t>
      </w:r>
      <w:bookmarkEnd w:id="33"/>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34" w:name="germination-field-book"/>
      <w:r>
        <w:t xml:space="preserve">Germination field book</w:t>
      </w:r>
      <w:bookmarkEnd w:id="34"/>
    </w:p>
    <w:p>
      <w:pPr>
        <w:pStyle w:val="FirstParagraph"/>
      </w:pPr>
      <w:r>
        <w:t xml:space="preserve">For a correct analysis and fast data processing is important to take into account the data organization and the proper record of the germination process. In this section we will explain how you should collect and organize your data.</w:t>
      </w:r>
    </w:p>
    <w:p>
      <w:pPr>
        <w:pStyle w:val="Ttulo2"/>
      </w:pPr>
      <w:bookmarkStart w:id="35" w:name="prepare-you-field-book"/>
      <w:r>
        <w:t xml:space="preserve">Prepare you field book</w:t>
      </w:r>
      <w:bookmarkEnd w:id="35"/>
    </w:p>
    <w:p>
      <w:pPr>
        <w:pStyle w:val="FirstParagraph"/>
      </w:pPr>
      <w:r>
        <w:t xml:space="preserve">For using GerminaR and GerminaQuant is necessary that you have a dataset with germination values. You can use a following data as an example</w:t>
      </w:r>
      <w:r>
        <w:t xml:space="preserve"> </w:t>
      </w:r>
      <w:hyperlink r:id="rId36">
        <w:r>
          <w:rPr>
            <w:i/>
            <w:rStyle w:val="Hipervnculo"/>
          </w:rPr>
          <w:t xml:space="preserve">“</w:t>
        </w:r>
        <w:r>
          <w:rPr>
            <w:i/>
            <w:rStyle w:val="Hipervnculo"/>
          </w:rPr>
          <w:t xml:space="preserve">prosopis</w:t>
        </w:r>
        <w:r>
          <w:rPr>
            <w:i/>
            <w:rStyle w:val="Hipervnculo"/>
          </w:rPr>
          <w:t xml:space="preserve">”</w:t>
        </w:r>
      </w:hyperlink>
      <w:r>
        <w:t xml:space="preserve">.</w:t>
      </w:r>
    </w:p>
    <w:p>
      <w:pPr>
        <w:pStyle w:val="BodyText"/>
      </w:pPr>
      <w:r>
        <w:t xml:space="preserve">If you have a Google account you can made a copy of the document and edit it online or download in Excel format for your own analysis.</w:t>
      </w:r>
    </w:p>
    <w:p>
      <w:pPr>
        <w:pStyle w:val="Ttulo2"/>
      </w:pPr>
      <w:bookmarkStart w:id="37" w:name="data-organization"/>
      <w:r>
        <w:t xml:space="preserve">Data Organization</w:t>
      </w:r>
      <w:bookmarkEnd w:id="37"/>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1</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1: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38"/>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1: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39" w:name="data-collection"/>
      <w:r>
        <w:t xml:space="preserve">Data Collection</w:t>
      </w:r>
      <w:bookmarkEnd w:id="39"/>
    </w:p>
    <w:p>
      <w:pPr>
        <w:pStyle w:val="FirstParagraph"/>
      </w:pPr>
      <w:r>
        <w:t xml:space="preserve">The evaluation of the germination process is obtained of the count of the germination in each experimental unit and It can be evaluated in any time lapse (hours, days, months, etc) in continuous interval of the same length always beginning with the time zero (ei. Ti00), until the end of the germination process or according to the researcher criteria.</w:t>
      </w:r>
    </w:p>
    <w:p>
      <w:pPr>
        <w:pStyle w:val="Ttulo1"/>
      </w:pPr>
      <w:bookmarkStart w:id="40" w:name="germination-analysis"/>
      <w:r>
        <w:t xml:space="preserve">Germination analysis</w:t>
      </w:r>
      <w:bookmarkEnd w:id="40"/>
    </w:p>
    <w:p>
      <w:pPr>
        <w:pStyle w:val="FirstParagraph"/>
      </w:pPr>
      <w:r>
        <w:t xml:space="preserve">After the data collection, the information can be processed using GerminaR by the R console or using the GerminaQuant App. The web application can be used in any device in an interactive way. The application is compound for different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application, principal characteristics and contributors</w:t>
            </w:r>
          </w:p>
        </w:tc>
      </w:tr>
      <w:tr>
        <w:tc>
          <w:p>
            <w:pPr>
              <w:pStyle w:val="Compact"/>
              <w:jc w:val="left"/>
            </w:pPr>
            <w:r>
              <w:t xml:space="preserve">User Manual</w:t>
            </w:r>
          </w:p>
        </w:tc>
        <w:tc>
          <w:p>
            <w:pPr>
              <w:pStyle w:val="Compact"/>
              <w:jc w:val="left"/>
            </w:pPr>
            <w:r>
              <w:t xml:space="preserve">User manual explain the meaning of each index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analysis, GerminaQuant allows to upload the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summarize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analysis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calculate the osmotic potential for any salt or PEG for germination experiments</w:t>
            </w:r>
          </w:p>
        </w:tc>
      </w:tr>
    </w:tbl>
    <w:p>
      <w:pPr>
        <w:pStyle w:val="Ttulo1"/>
      </w:pPr>
      <w:bookmarkStart w:id="41" w:name="germinaquant-data-processing"/>
      <w:r>
        <w:t xml:space="preserve">GerminaQuant data processing</w:t>
      </w:r>
      <w:bookmarkEnd w:id="41"/>
    </w:p>
    <w:p>
      <w:pPr>
        <w:pStyle w:val="Ttulo2"/>
      </w:pPr>
      <w:bookmarkStart w:id="42" w:name="field-book"/>
      <w:r>
        <w:t xml:space="preserve">Field book</w:t>
      </w:r>
      <w:bookmarkEnd w:id="42"/>
    </w:p>
    <w:p>
      <w:pPr>
        <w:pStyle w:val="FirstParagraph"/>
      </w:pPr>
      <w:r>
        <w:t xml:space="preserve">When you have your field book, you can access to the app</w:t>
      </w:r>
      <w:r>
        <w:t xml:space="preserve"> </w:t>
      </w:r>
      <w:hyperlink r:id="rId32">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2</w:t>
      </w:r>
      <w:r>
        <w:t xml:space="preserve">.</w:t>
      </w:r>
    </w:p>
    <w:p>
      <w:pPr>
        <w:pStyle w:val="CaptionedFigure"/>
      </w:pPr>
      <w:r>
        <w:drawing>
          <wp:inline>
            <wp:extent cx="5969000" cy="2829518"/>
            <wp:effectExtent b="0" l="0" r="0" t="0"/>
            <wp:docPr descr="Figure 2: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43"/>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2: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44" w:name="germination"/>
      <w:r>
        <w:t xml:space="preserve">Germination</w:t>
      </w:r>
      <w:bookmarkEnd w:id="44"/>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will be shown maintaining the experimental design. GerminaQuant allows to copy or downloading the information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Figure</w:t>
      </w:r>
      <w:r>
        <w:t xml:space="preserve"> </w:t>
      </w:r>
      <w:r>
        <w:t xml:space="preserve">3</w:t>
      </w:r>
    </w:p>
    <w:p>
      <w:pPr>
        <w:pStyle w:val="CaptionedFigure"/>
      </w:pPr>
      <w:r>
        <w:drawing>
          <wp:inline>
            <wp:extent cx="5969000" cy="2783199"/>
            <wp:effectExtent b="0" l="0" r="0" t="0"/>
            <wp:docPr descr="Figure 3: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45"/>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3: Dowload option for the calculated variables</w:t>
      </w:r>
    </w:p>
    <w:p>
      <w:pPr>
        <w:pStyle w:val="Ttulo2"/>
      </w:pPr>
      <w:bookmarkStart w:id="46" w:name="statistical"/>
      <w:r>
        <w:t xml:space="preserve">Statistical</w:t>
      </w:r>
      <w:bookmarkEnd w:id="46"/>
    </w:p>
    <w:p>
      <w:pPr>
        <w:pStyle w:val="FirstParagraph"/>
      </w:pPr>
      <w:r>
        <w:t xml:space="preserve">The GerminaQuant application can perform analysis for experimental design in a Complete Randomize Design (CRD), Randomize Complete Block Design (RCBD), Latin Square Design (LSD) or factorial designs, allowing calculate the analysis of variance (AOV) and the mean differences through Student Newman Keuls (SNK), Tukey or Duncan test.</w:t>
      </w:r>
    </w:p>
    <w:p>
      <w:pPr>
        <w:pStyle w:val="CaptionedFigure"/>
      </w:pPr>
      <w:r>
        <w:drawing>
          <wp:inline>
            <wp:extent cx="5969000" cy="2795774"/>
            <wp:effectExtent b="0" l="0" r="0" t="0"/>
            <wp:docPr descr="Figure 4: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47"/>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4: Statitical analysis with ANOVA and mean comparison test</w:t>
      </w:r>
    </w:p>
    <w:p>
      <w:pPr>
        <w:pStyle w:val="Ttulo2"/>
      </w:pPr>
      <w:bookmarkStart w:id="48" w:name="graphics"/>
      <w:r>
        <w:t xml:space="preserve">Graphics</w:t>
      </w:r>
      <w:bookmarkEnd w:id="48"/>
    </w:p>
    <w:p>
      <w:pPr>
        <w:pStyle w:val="FirstParagraph"/>
      </w:pPr>
      <w:r>
        <w:t xml:space="preserve">Automatically after performed the statistical analysis the application will generate the graphs for the variable chosen with the mean comparison test. The app interface allows customized the graphics in a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5: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49"/>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5: Customized interface for bar or line plot</w:t>
      </w:r>
    </w:p>
    <w:p>
      <w:pPr>
        <w:pStyle w:val="Ttulo2"/>
      </w:pPr>
      <w:bookmarkStart w:id="50" w:name="intime"/>
      <w:r>
        <w:t xml:space="preserve">InTime</w:t>
      </w:r>
      <w:bookmarkEnd w:id="50"/>
    </w:p>
    <w:p>
      <w:pPr>
        <w:pStyle w:val="FirstParagraph"/>
      </w:pPr>
      <w:r>
        <w:t xml:space="preserve">This Tab allows to visualize the germination process according one of the experimental factors. The app interface allows customized the graphic. Figure</w:t>
      </w:r>
      <w:r>
        <w:t xml:space="preserve"> </w:t>
      </w:r>
      <w:r>
        <w:t xml:space="preserve">6</w:t>
      </w:r>
    </w:p>
    <w:p>
      <w:pPr>
        <w:pStyle w:val="CaptionedFigure"/>
      </w:pPr>
      <w:r>
        <w:drawing>
          <wp:inline>
            <wp:extent cx="5969000" cy="2811549"/>
            <wp:effectExtent b="0" l="0" r="0" t="0"/>
            <wp:docPr descr="Figure 6: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51"/>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6: Germination in time plot</w:t>
      </w:r>
    </w:p>
    <w:p>
      <w:pPr>
        <w:pStyle w:val="BodyText"/>
      </w:pPr>
      <w:r>
        <w:t xml:space="preserve">The application allows to plot two type of graphics, the first is the germination percentage in time lapse, and the second the relative germination that calculates the germination according the total number of germinated seeds.</w:t>
      </w:r>
    </w:p>
    <w:p>
      <w:pPr>
        <w:pStyle w:val="Ttulo1"/>
      </w:pPr>
      <w:bookmarkStart w:id="52" w:name="germinar-data-analysis-with-code"/>
      <w:r>
        <w:t xml:space="preserve">GerminaR: data analysis with code</w:t>
      </w:r>
      <w:bookmarkEnd w:id="52"/>
    </w:p>
    <w:p>
      <w:pPr>
        <w:pStyle w:val="FirstParagraph"/>
      </w:pPr>
      <w:r>
        <w:t xml:space="preserve">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Install and load the GerminaR package. Load the</w:t>
      </w:r>
      <w:r>
        <w:t xml:space="preserve"> </w:t>
      </w:r>
      <w:r>
        <w:t xml:space="preserve">“</w:t>
      </w:r>
      <w:r>
        <w:rPr>
          <w:i/>
        </w:rPr>
        <w:t xml:space="preserve">prosopis</w:t>
      </w:r>
      <w:r>
        <w:t xml:space="preserve">”</w:t>
      </w:r>
      <w:r>
        <w:t xml:space="preserve"> </w:t>
      </w:r>
      <w:r>
        <w:t xml:space="preserve">dataset on your session. In case of using another dataset, you can load your own data and proceed according to the following script:</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analysis</w:t>
      </w:r>
      <w:r>
        <w:br/>
      </w:r>
      <w:r>
        <w:rPr>
          <w:rStyle w:val="NormalTok"/>
        </w:rPr>
        <w:t xml:space="preserve">   </w:t>
      </w:r>
      <w:r>
        <w:rPr>
          <w:rStyle w:val="StringTok"/>
        </w:rPr>
        <w:t xml:space="preserve">"GerminaR"</w:t>
      </w:r>
      <w:r>
        <w:rPr>
          <w:rStyle w:val="NormalTok"/>
        </w:rPr>
        <w:t xml:space="preserve">, </w:t>
      </w:r>
      <w:r>
        <w:rPr>
          <w:rStyle w:val="CommentTok"/>
        </w:rPr>
        <w:t xml:space="preserve"># Germination analysis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1-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indices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indices"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2-1.png" id="0" name="Picture"/>
                    <pic:cNvPicPr>
                      <a:picLocks noChangeArrowheads="1" noChangeAspect="1"/>
                    </pic:cNvPicPr>
                  </pic:nvPicPr>
                  <pic:blipFill>
                    <a:blip r:embed="rId54"/>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55" w:name="punctual-analysis-of-germination"/>
      <w:r>
        <w:t xml:space="preserve">Punctual analysis of germination</w:t>
      </w:r>
      <w:bookmarkEnd w:id="55"/>
    </w:p>
    <w:p>
      <w:pPr>
        <w:pStyle w:val="Ttulo3"/>
      </w:pPr>
      <w:bookmarkStart w:id="56" w:name="germination-percentage"/>
      <w:r>
        <w:t xml:space="preserve">Germination percentage</w:t>
      </w:r>
      <w:bookmarkEnd w:id="56"/>
    </w:p>
    <w:p>
      <w:pPr>
        <w:pStyle w:val="SourceCode"/>
      </w:pPr>
      <w:r>
        <w:rPr>
          <w:rStyle w:val="CommentTok"/>
        </w:rPr>
        <w:t xml:space="preserve">## Germination Percentage (GRP)</w:t>
      </w:r>
      <w:r>
        <w:br/>
      </w:r>
      <w:r>
        <w:rPr>
          <w:rStyle w:val="CommentTok"/>
        </w:rPr>
        <w:t xml:space="preserve"># analysis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1.png" id="0" name="Picture"/>
                    <pic:cNvPicPr>
                      <a:picLocks noChangeArrowheads="1" noChangeAspect="1"/>
                    </pic:cNvPicPr>
                  </pic:nvPicPr>
                  <pic:blipFill>
                    <a:blip r:embed="rId57"/>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9" w:name="mean-germination-time"/>
      <w:r>
        <w:t xml:space="preserve">Mean germination time</w:t>
      </w:r>
      <w:bookmarkEnd w:id="59"/>
    </w:p>
    <w:p>
      <w:pPr>
        <w:pStyle w:val="SourceCode"/>
      </w:pPr>
      <w:r>
        <w:rPr>
          <w:rStyle w:val="CommentTok"/>
        </w:rPr>
        <w:t xml:space="preserve">## Mean Germination Time (MGT)</w:t>
      </w:r>
      <w:r>
        <w:br/>
      </w:r>
      <w:r>
        <w:rPr>
          <w:rStyle w:val="CommentTok"/>
        </w:rPr>
        <w:t xml:space="preserve"># analysis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1.png" id="0" name="Picture"/>
                    <pic:cNvPicPr>
                      <a:picLocks noChangeArrowheads="1" noChangeAspect="1"/>
                    </pic:cNvPicPr>
                  </pic:nvPicPr>
                  <pic:blipFill>
                    <a:blip r:embed="rId6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sig =</w:t>
      </w:r>
      <w:r>
        <w:rPr>
          <w:rStyle w:val="NormalTok"/>
        </w:rPr>
        <w:t xml:space="preserve"> </w:t>
      </w:r>
      <w:r>
        <w:rPr>
          <w:rStyle w:val="StringTok"/>
        </w:rPr>
        <w:t xml:space="preserve">"sg"</w:t>
      </w:r>
      <w:r>
        <w:rPr>
          <w:rStyle w:val="NormalTok"/>
        </w:rPr>
        <w:t xml:space="preserve">, </w:t>
      </w:r>
      <w:r>
        <w:rPr>
          <w:rStyle w:val="DataTypeTok"/>
        </w:rPr>
        <w:t xml:space="preserve">erb =</w:t>
      </w:r>
      <w:r>
        <w:rPr>
          <w:rStyle w:val="NormalTok"/>
        </w:rPr>
        <w:t xml:space="preserve"> T, </w:t>
      </w:r>
      <w:r>
        <w:br/>
      </w:r>
      <w:r>
        <w:rPr>
          <w:rStyle w:val="NormalTok"/>
        </w:rPr>
        <w:t xml:space="preserve">             </w:t>
      </w:r>
      <w:r>
        <w:rPr>
          <w:rStyle w:val="DataTypeTok"/>
        </w:rPr>
        <w:t xml:space="preserve">color =</w:t>
      </w:r>
      <w:r>
        <w:rPr>
          <w:rStyle w:val="NormalTok"/>
        </w:rPr>
        <w:t xml:space="preserve"> F, </w:t>
      </w:r>
      <w:r>
        <w:rPr>
          <w:rStyle w:val="DataTypeTok"/>
        </w:rPr>
        <w:t xml:space="preserve">font =</w:t>
      </w:r>
      <w:r>
        <w:rPr>
          <w:rStyle w:val="NormalTok"/>
        </w:rPr>
        <w:t xml:space="preserve"> </w:t>
      </w:r>
      <w:r>
        <w:rPr>
          <w:rStyle w:val="FloatTok"/>
        </w:rPr>
        <w:t xml:space="preserve">1.2</w:t>
      </w:r>
      <w:r>
        <w:rPr>
          <w:rStyle w:val="NormalTok"/>
        </w:rPr>
        <w:t xml:space="preserve">)</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You can add at each plot different arguments as the standard error, significance of the mean test, color, labels and limits. The resulted graphics are performed for publications and allows to insert math expression in the titles.</w:t>
      </w:r>
    </w:p>
    <w:p>
      <w:pPr>
        <w:pStyle w:val="Ttulo2"/>
      </w:pPr>
      <w:bookmarkStart w:id="62" w:name="cumulative-analysis-of-germination"/>
      <w:r>
        <w:t xml:space="preserve">Cumulative analysis of germination</w:t>
      </w:r>
      <w:bookmarkEnd w:id="62"/>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3" w:name="in-time-analysis-for-nacl"/>
      <w:r>
        <w:t xml:space="preserve">In time analysis for NaCl</w:t>
      </w:r>
      <w:bookmarkEnd w:id="63"/>
    </w:p>
    <w:p>
      <w:pPr>
        <w:pStyle w:val="SourceCode"/>
      </w:pPr>
      <w:r>
        <w:rPr>
          <w:rStyle w:val="CommentTok"/>
        </w:rPr>
        <w:t xml:space="preserve"># data frame with percentage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F)</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_files/figure-docx/unnamed-chunk-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5" w:name="in-time-analysis-for-temperature"/>
      <w:r>
        <w:t xml:space="preserve">In time analysis for temperature</w:t>
      </w:r>
      <w:bookmarkEnd w:id="65"/>
    </w:p>
    <w:p>
      <w:pPr>
        <w:pStyle w:val="SourceCode"/>
      </w:pPr>
      <w:r>
        <w:rPr>
          <w:rStyle w:val="CommentTok"/>
        </w:rPr>
        <w:t xml:space="preserve"># data frame with percentage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F, </w:t>
      </w:r>
      <w:r>
        <w:rPr>
          <w:rStyle w:val="DataTypeTok"/>
        </w:rPr>
        <w:t xml:space="preserve">font =</w:t>
      </w:r>
      <w:r>
        <w:rPr>
          <w:rStyle w:val="NormalTok"/>
        </w:rPr>
        <w:t xml:space="preserve"> </w:t>
      </w:r>
      <w:r>
        <w:rPr>
          <w:rStyle w:val="FloatTok"/>
        </w:rPr>
        <w:t xml:space="preserve">1.2</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_files/figure-docx/unnamed-chunk-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7" w:name="references"/>
      <w:r>
        <w:t xml:space="preserve">References</w:t>
      </w:r>
      <w:bookmarkEnd w:id="67"/>
    </w:p>
    <w:bookmarkStart w:id="81" w:name="refs"/>
    <w:bookmarkStart w:id="69"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8">
        <w:r>
          <w:rPr>
            <w:rStyle w:val="Hipervnculo"/>
          </w:rPr>
          <w:t xml:space="preserve">https://CRAN.R-project.org/package=shiny</w:t>
        </w:r>
      </w:hyperlink>
    </w:p>
    <w:bookmarkEnd w:id="69"/>
    <w:bookmarkStart w:id="71"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70">
        <w:r>
          <w:rPr>
            <w:rStyle w:val="Hipervnculo"/>
          </w:rPr>
          <w:t xml:space="preserve">https://doi.org/10.1111/j.1365-313x.2009.04116.x</w:t>
        </w:r>
      </w:hyperlink>
    </w:p>
    <w:bookmarkEnd w:id="71"/>
    <w:bookmarkStart w:id="72" w:name="ref-GerminaR2019"/>
    <w:p>
      <w:pPr>
        <w:pStyle w:val="Bibliografa"/>
      </w:pPr>
      <w:r>
        <w:t xml:space="preserve">Lozano-Isla, Flavio, Benites-Alfaro, Eduardo, O., Pompelli, &amp; Francisco, M.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28">
        <w:r>
          <w:rPr>
            <w:rStyle w:val="Hipervnculo"/>
          </w:rPr>
          <w:t xml:space="preserve">https://doi.org/10.1111/1440-1703.1275</w:t>
        </w:r>
      </w:hyperlink>
    </w:p>
    <w:bookmarkEnd w:id="72"/>
    <w:bookmarkStart w:id="74"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73">
        <w:r>
          <w:rPr>
            <w:rStyle w:val="Hipervnculo"/>
          </w:rPr>
          <w:t xml:space="preserve">https://doi.org/10.1590/S0103-90161998000500005</w:t>
        </w:r>
      </w:hyperlink>
    </w:p>
    <w:bookmarkEnd w:id="74"/>
    <w:bookmarkStart w:id="76"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75">
        <w:r>
          <w:rPr>
            <w:rStyle w:val="Hipervnculo"/>
          </w:rPr>
          <w:t xml:space="preserve">https://doi.org/10.1098/rspb.2009.0592</w:t>
        </w:r>
      </w:hyperlink>
    </w:p>
    <w:bookmarkEnd w:id="76"/>
    <w:bookmarkStart w:id="78"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77">
        <w:r>
          <w:rPr>
            <w:rStyle w:val="Hipervnculo"/>
          </w:rPr>
          <w:t xml:space="preserve">https://doi.org/10.1590/s0100-84042006000100002</w:t>
        </w:r>
      </w:hyperlink>
    </w:p>
    <w:bookmarkEnd w:id="78"/>
    <w:bookmarkStart w:id="8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9">
        <w:r>
          <w:rPr>
            <w:rStyle w:val="Hipervnculo"/>
          </w:rPr>
          <w:t xml:space="preserve">https://www.R-project.org/</w:t>
        </w:r>
      </w:hyperlink>
    </w:p>
    <w:bookmarkEnd w:id="80"/>
    <w:bookmarkEnd w:id="81"/>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6" Target="https://docs.google.com/spreadsheets/d/1QziIXGOwb8cl3GaARJq6Ez6aU7vND_UHKJnFcAKx0VI/edit#gid=667855537" TargetMode="External" /><Relationship Type="http://schemas.openxmlformats.org/officeDocument/2006/relationships/hyperlink" Id="rId75"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3" Target="https://doi.org/10.1590/S0103-90161998000500005" TargetMode="External" /><Relationship Type="http://schemas.openxmlformats.org/officeDocument/2006/relationships/hyperlink" Id="rId77"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9"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6" Target="https://docs.google.com/spreadsheets/d/1QziIXGOwb8cl3GaARJq6Ez6aU7vND_UHKJnFcAKx0VI/edit#gid=667855537" TargetMode="External" /><Relationship Type="http://schemas.openxmlformats.org/officeDocument/2006/relationships/hyperlink" Id="rId75"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3" Target="https://doi.org/10.1590/S0103-90161998000500005" TargetMode="External" /><Relationship Type="http://schemas.openxmlformats.org/officeDocument/2006/relationships/hyperlink" Id="rId77"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9"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GerminaR and GerminaQuant .: user manual</dc:title>
  <dc:creator>Flavio Lozano-Isla ^{1}, Omar Benites Alfaro ^{2}, Denise Garcia de Santana ^{3}, Marli A. Ranal ^{4}, Marcelo Francisco Pompelli ^{5}; ^{1} Universidade Federal Rural de Pernambuco, Brazil. email: flavjack@gmail.com; ^{2} Centro Internacional de la Papa (CIP), Peru. email: obacc07@gmail.com; ^{3} Universidade Federal de Uberlandia, Brazil. email: denise.santana@ufu.br; ^{4} Universidade Federal de Uberlandia, Brazil. email: ranal@ufu.br; ^{5} Universidade Federal de Pernambuco, Brazil. email: mpompelli@gmail.com</dc:creator>
  <dc:description>GerminaR R package + GerminaQuant app .: user manual</dc:description>
  <cp:keywords/>
  <dcterms:created xsi:type="dcterms:W3CDTF">2020-03-01T23:34:35Z</dcterms:created>
  <dcterms:modified xsi:type="dcterms:W3CDTF">2020-03-01T23:34:35Z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2020-03-02</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