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40.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w:t>
      </w:r>
      <w:r>
        <w:rPr>
          <w:b/>
        </w:rPr>
        <w:t xml:space="preserve">???</w:t>
      </w:r>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w:t>
      </w:r>
      <w:r>
        <w:rPr>
          <w:b/>
        </w:rPr>
        <w:t xml:space="preserve">???</w:t>
      </w:r>
      <w:r>
        <w:t xml:space="preserve">,</w:t>
      </w:r>
      <w:r>
        <w:t xml:space="preserve"> </w:t>
      </w:r>
      <w:r>
        <w:rPr>
          <w:b/>
        </w:rPr>
        <w:t xml:space="preserve">???</w:t>
      </w:r>
      <w:r>
        <w:t xml:space="preserve">)</w:t>
      </w:r>
      <w:r>
        <w:t xml:space="preserve">.</w:t>
      </w:r>
    </w:p>
    <w:p>
      <w:pPr>
        <w:pStyle w:val="BodyText"/>
      </w:pPr>
      <w:r>
        <w:t xml:space="preserve">Curabitur tortor</w:t>
      </w:r>
      <w:r>
        <w:t xml:space="preserve"> </w:t>
      </w:r>
      <w:r>
        <w:t xml:space="preserve">(</w:t>
      </w:r>
      <w:r>
        <w:rPr>
          <w:b/>
        </w:rPr>
        <w:t xml:space="preserve">???</w:t>
      </w:r>
      <w:r>
        <w:t xml:space="preserve">,</w:t>
      </w:r>
      <w:r>
        <w:t xml:space="preserve"> </w:t>
      </w:r>
      <w:r>
        <w:rPr>
          <w:b/>
        </w:rPr>
        <w:t xml:space="preserve">???</w:t>
      </w:r>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w:t>
      </w:r>
      <w:r>
        <w:rPr>
          <w:b/>
        </w:rPr>
        <w:t xml:space="preserve">???</w:t>
      </w:r>
      <w:r>
        <w:t xml:space="preserve">)</w:t>
      </w:r>
      <w:r>
        <w:t xml:space="preserve">. Each variable was submitted at analysis of variance (ANOVA) and the mean comparison test used was Student-Newman Keuls (P&lt;0.05)</w:t>
      </w:r>
      <w:r>
        <w:t xml:space="preserve">(</w:t>
      </w:r>
      <w:r>
        <w:rPr>
          <w:b/>
        </w:rPr>
        <w:t xml:space="preserve">???</w:t>
      </w:r>
      <w:r>
        <w:t xml:space="preserve">)</w:t>
      </w:r>
      <w:r>
        <w:t xml:space="preserve">. For the multivariate analysis, the principal components analysis (PCA) and cluster hierarchical classification analysis (HCPC) will be used</w:t>
      </w:r>
      <w:r>
        <w:t xml:space="preserve"> </w:t>
      </w:r>
      <w:r>
        <w:t xml:space="preserve">(</w:t>
      </w:r>
      <w:r>
        <w:rPr>
          <w:b/>
        </w:rPr>
        <w:t xml:space="preserve">???</w:t>
      </w:r>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w:t>
      </w:r>
      <w:r>
        <w:rPr>
          <w:b/>
        </w:rPr>
        <w:t xml:space="preserve">???</w:t>
      </w:r>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w:t>
      </w:r>
      <w:r>
        <w:rPr>
          <w:b/>
        </w:rPr>
        <w:t xml:space="preserve">???</w:t>
      </w:r>
      <w:r>
        <w:t xml:space="preserve">)</w:t>
      </w:r>
      <w:r>
        <w:t xml:space="preserve"> </w:t>
      </w:r>
      <w:r>
        <w:t xml:space="preserve">and</w:t>
      </w:r>
      <w:r>
        <w:t xml:space="preserve"> </w:t>
      </w:r>
      <w:r>
        <w:t xml:space="preserve">(</w:t>
      </w:r>
      <w:r>
        <w:rPr>
          <w:b/>
        </w:rPr>
        <w:t xml:space="preserve">???</w:t>
      </w:r>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w:t>
      </w:r>
      <w:r>
        <w:rPr>
          <w:b/>
        </w:rPr>
        <w:t xml:space="preserve">???</w:t>
      </w:r>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7"/>
                    <a:stretch>
                      <a:fillRect/>
                    </a:stretch>
                  </pic:blipFill>
                  <pic:spPr bwMode="auto">
                    <a:xfrm>
                      <a:off x="0" y="0"/>
                      <a:ext cx="5969000" cy="3462020"/>
                    </a:xfrm>
                    <a:prstGeom prst="rect">
                      <a:avLst/>
                    </a:prstGeom>
                    <a:noFill/>
                    <a:ln w="9525">
                      <a:noFill/>
                      <a:headEnd/>
                      <a:tailEnd/>
                    </a:ln>
                  </pic:spPr>
                </pic:pic>
              </a:graphicData>
            </a:graphic>
          </wp:inline>
        </w:drawing>
      </w:r>
    </w:p>
    <w:p>
      <w:pPr>
        <w:pStyle w:val="Ttulo1"/>
      </w:pPr>
      <w:bookmarkStart w:id="38" w:name="figures"/>
      <w:r>
        <w:t xml:space="preserve">Figures</w:t>
      </w:r>
      <w:bookmarkEnd w:id="38"/>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46" w:name="refs"/>
    <w:bookmarkStart w:id="45" w:name="ref-R-base"/>
    <w:p>
      <w:pPr>
        <w:pStyle w:val="Bibliografa"/>
      </w:pPr>
      <w:r>
        <w:t xml:space="preserve">R Core Team. 2019. R: A Language and Environment for Statistical Computing (en línea). Vienna, Austria, R Foundation for Statistical Computing. Disponible en</w:t>
      </w:r>
      <w:r>
        <w:t xml:space="preserve"> </w:t>
      </w:r>
      <w:hyperlink r:id="rId44">
        <w:r>
          <w:rPr>
            <w:rStyle w:val="Hipervnculo"/>
          </w:rPr>
          <w:t xml:space="preserve">https://www.R-project.org/</w:t>
        </w:r>
      </w:hyperlink>
      <w:r>
        <w:t xml:space="preserve">.</w:t>
      </w:r>
    </w:p>
    <w:bookmarkEnd w:id="45"/>
    <w:bookmarkEnd w:id="46"/>
    <w:sectPr w:rsidR="00C46C9F" w:rsidRPr="006F06B3" w:rsidSect="00D52955">
      <w:headerReference w:type="even" r:id="rId9"/>
      <w:headerReference w:type="default" r:id="rId11"/>
      <w:footerReference w:type="even" r:id="rId14"/>
      <w:footerReference w:type="default" r:id="rId13"/>
      <w:headerReference w:type="first" r:id="rId10"/>
      <w:footerReference w:type="first" r:id="rId12"/>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2A4D" w14:textId="77777777" w:rsidR="00A04089" w:rsidRDefault="00A040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05413" w14:textId="77777777" w:rsidR="00A04089" w:rsidRDefault="00A0408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0B9FF522" w14:textId="77777777" w:rsidR="00A04089" w:rsidRDefault="00A0408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ABBC8" w14:textId="77777777" w:rsidR="00A04089" w:rsidRDefault="00A04089">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17AA9" w14:textId="77777777" w:rsidR="00A04089" w:rsidRDefault="00A040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FCE17" w14:textId="77777777" w:rsidR="00A04089" w:rsidRDefault="00A040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53AF" w14:textId="77777777" w:rsidR="00A04089" w:rsidRDefault="00A040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5A43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CA7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2603D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DC292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7363E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BC886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088F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B42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8EB2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9C1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A0408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A0408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4" Target="http://factominer.free.fr/index.html"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4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4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2019-10-28T18:10:27Z</dcterms:created>
  <dcterms:modified xsi:type="dcterms:W3CDTF">2019-10-28T18:10:27Z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https://www.zotero.org/styles/iica-catie</vt:lpwstr>
  </property>
  <property fmtid="{D5CDD505-2E9C-101B-9397-08002B2CF9AE}" pid="7" name="date">
    <vt:lpwstr/>
  </property>
  <property fmtid="{D5CDD505-2E9C-101B-9397-08002B2CF9AE}" pid="8" name="documentclass">
    <vt:lpwstr>book</vt:lpwstr>
  </property>
  <property fmtid="{D5CDD505-2E9C-101B-9397-08002B2CF9AE}" pid="9" name="favicon">
    <vt:lpwstr>img/icon.png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