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38.png" ContentType="image/png"/>
  <Override PartName="/word/media/rId39.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y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ableCaption"/>
      </w:pPr>
      <w:r>
        <w:t xml:space="preserve">Table 1: Main functions in the GerminaR R package for seed germination variables and graphical analysis.</w:t>
      </w:r>
    </w:p>
    <w:tbl>
      <w:tblPr>
        <w:tblStyle w:val="Table"/>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36"/>
                    <a:stretch>
                      <a:fillRect/>
                    </a:stretch>
                  </pic:blipFill>
                  <pic:spPr bwMode="auto">
                    <a:xfrm>
                      <a:off x="0" y="0"/>
                      <a:ext cx="5969000" cy="3462020"/>
                    </a:xfrm>
                    <a:prstGeom prst="rect">
                      <a:avLst/>
                    </a:prstGeom>
                    <a:noFill/>
                    <a:ln w="9525">
                      <a:noFill/>
                      <a:headEnd/>
                      <a:tailEnd/>
                    </a:ln>
                  </pic:spPr>
                </pic:pic>
              </a:graphicData>
            </a:graphic>
          </wp:inline>
        </w:drawing>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les/fig_gerplot.png" id="0" name="Picture"/>
                    <pic:cNvPicPr>
                      <a:picLocks noChangeArrowheads="1" noChangeAspect="1"/>
                    </pic:cNvPicPr>
                  </pic:nvPicPr>
                  <pic:blipFill>
                    <a:blip r:embed="rId37"/>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38"/>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img/files/fig_mv.png" id="0" name="Picture"/>
                    <pic:cNvPicPr>
                      <a:picLocks noChangeArrowheads="1" noChangeAspect="1"/>
                    </pic:cNvPicPr>
                  </pic:nvPicPr>
                  <pic:blipFill>
                    <a:blip r:embed="rId39"/>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r>
        <w:br w:type="page"/>
      </w:r>
    </w:p>
    <w:p>
      <w:pPr>
        <w:pStyle w:val="Ttulo1"/>
      </w:pPr>
      <w:bookmarkStart w:id="40" w:name="references"/>
      <w:r>
        <w:t xml:space="preserve">References</w:t>
      </w:r>
      <w:bookmarkEnd w:id="40"/>
    </w:p>
    <w:bookmarkStart w:id="64" w:name="refs"/>
    <w:bookmarkStart w:id="42" w:name="ref-avenot2009Characterizationa"/>
    <w:p>
      <w:pPr>
        <w:pStyle w:val="Bibliografa"/>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41">
        <w:r>
          <w:rPr>
            <w:rStyle w:val="Hipervnculo"/>
          </w:rPr>
          <w:t xml:space="preserve">https://doi.org/10.1111/j.1365-3059.2009.02154.x</w:t>
        </w:r>
      </w:hyperlink>
      <w:r>
        <w:t xml:space="preserve">.</w:t>
      </w:r>
    </w:p>
    <w:bookmarkEnd w:id="42"/>
    <w:bookmarkStart w:id="44" w:name="ref-blum2005Drought"/>
    <w:p>
      <w:pPr>
        <w:pStyle w:val="Bibliografa"/>
      </w:pPr>
      <w:r>
        <w:t xml:space="preserve">Blum, A. 2005. Drought Resistance, Water-Use Efficiency, and Yield PotentialAre They Compatible, Dissonant, or Mutually Exclusive? Australian Journal of Agricultural Research 56(11):1159. DOI:</w:t>
      </w:r>
      <w:r>
        <w:t xml:space="preserve"> </w:t>
      </w:r>
      <w:hyperlink r:id="rId43">
        <w:r>
          <w:rPr>
            <w:rStyle w:val="Hipervnculo"/>
          </w:rPr>
          <w:t xml:space="preserve">https://doi.org/10.1071/AR05069</w:t>
        </w:r>
      </w:hyperlink>
      <w:r>
        <w:t xml:space="preserve">.</w:t>
      </w:r>
    </w:p>
    <w:bookmarkEnd w:id="44"/>
    <w:bookmarkStart w:id="46" w:name="ref-R-agricolae"/>
    <w:p>
      <w:pPr>
        <w:pStyle w:val="Bibliografa"/>
      </w:pPr>
      <w:r>
        <w:t xml:space="preserve">de Mendiburu, F. 2019. Agricolae: Statistical Procedures for Agricultural Research (en línea). s.l., s.e. Disponible en</w:t>
      </w:r>
      <w:r>
        <w:t xml:space="preserve"> </w:t>
      </w:r>
      <w:hyperlink r:id="rId45">
        <w:r>
          <w:rPr>
            <w:rStyle w:val="Hipervnculo"/>
          </w:rPr>
          <w:t xml:space="preserve">https://CRAN.R-project.org/package=agricolae</w:t>
        </w:r>
      </w:hyperlink>
      <w:r>
        <w:t xml:space="preserve">.</w:t>
      </w:r>
    </w:p>
    <w:bookmarkEnd w:id="46"/>
    <w:bookmarkStart w:id="47" w:name="ref-dixit2015Adaptacion"/>
    <w:p>
      <w:pPr>
        <w:pStyle w:val="Bibliografa"/>
      </w:pPr>
      <w:r>
        <w:t xml:space="preserve">Dixit, A. 2015. Adaptación al cambio climático: aumento de la producción de quinua mediante técnicas nucleares..</w:t>
      </w:r>
    </w:p>
    <w:bookmarkEnd w:id="47"/>
    <w:bookmarkStart w:id="49" w:name="ref-gutierrez2018Contribution"/>
    <w:p>
      <w:pPr>
        <w:pStyle w:val="Bibliografa"/>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48">
        <w:r>
          <w:rPr>
            <w:rStyle w:val="Hipervnculo"/>
          </w:rPr>
          <w:t xml:space="preserve">https://doi.org/10.17660/ActaHortic.2018.1217.41</w:t>
        </w:r>
      </w:hyperlink>
      <w:r>
        <w:t xml:space="preserve">.</w:t>
      </w:r>
    </w:p>
    <w:bookmarkEnd w:id="49"/>
    <w:bookmarkStart w:id="51" w:name="ref-R-FactoMineR"/>
    <w:p>
      <w:pPr>
        <w:pStyle w:val="Bibliografa"/>
      </w:pPr>
      <w:r>
        <w:t xml:space="preserve">Husson, F; Josse, J; Le, S; Mazet, J. 2019. FactoMineR: Multivariate Exploratory Data Analysis and Data Mining (en línea). s.l., s.e. Disponible en</w:t>
      </w:r>
      <w:r>
        <w:t xml:space="preserve"> </w:t>
      </w:r>
      <w:hyperlink r:id="rId50">
        <w:r>
          <w:rPr>
            <w:rStyle w:val="Hipervnculo"/>
          </w:rPr>
          <w:t xml:space="preserve">https://CRAN.R-project.org/package=FactoMineR</w:t>
        </w:r>
      </w:hyperlink>
      <w:r>
        <w:t xml:space="preserve">.</w:t>
      </w:r>
    </w:p>
    <w:bookmarkEnd w:id="51"/>
    <w:bookmarkStart w:id="53" w:name="ref-leon2018Nitrogen"/>
    <w:p>
      <w:pPr>
        <w:pStyle w:val="Bibliografa"/>
      </w:pPr>
      <w:r>
        <w:t xml:space="preserve">León, D; Gutierrez, P; Riojas, R; Casas, A. 2018. Nitrogen, Phosphorus and Potassium Levels in Asparagus Production. Acta Horticulturae (1223):81-87. DOI:</w:t>
      </w:r>
      <w:r>
        <w:t xml:space="preserve"> </w:t>
      </w:r>
      <w:hyperlink r:id="rId52">
        <w:r>
          <w:rPr>
            <w:rStyle w:val="Hipervnculo"/>
          </w:rPr>
          <w:t xml:space="preserve">https://doi.org/10.17660/ActaHortic.2018.1223.12</w:t>
        </w:r>
      </w:hyperlink>
      <w:r>
        <w:t xml:space="preserve">.</w:t>
      </w:r>
    </w:p>
    <w:bookmarkEnd w:id="53"/>
    <w:bookmarkStart w:id="55" w:name="ref-R-GerminaR"/>
    <w:p>
      <w:pPr>
        <w:pStyle w:val="Bibliografa"/>
      </w:pPr>
      <w:r>
        <w:t xml:space="preserve">Lozano Isla, F; Benites Alfaro, O; Pompelli, MF. 2019. GerminaR: Germination Indices and Graphics for Seed Germination in Ecophysiological Studies (en línea). s.l., s.e. Disponible en</w:t>
      </w:r>
      <w:r>
        <w:t xml:space="preserve"> </w:t>
      </w:r>
      <w:hyperlink r:id="rId54">
        <w:r>
          <w:rPr>
            <w:rStyle w:val="Hipervnculo"/>
          </w:rPr>
          <w:t xml:space="preserve">https://flavjack.shinyapps.io/germinaquant/</w:t>
        </w:r>
      </w:hyperlink>
      <w:r>
        <w:t xml:space="preserve">.</w:t>
      </w:r>
    </w:p>
    <w:bookmarkEnd w:id="55"/>
    <w:bookmarkStart w:id="57" w:name="ref-lozano-isla2018Effects"/>
    <w:p>
      <w:pPr>
        <w:pStyle w:val="Bibliografa"/>
      </w:pPr>
      <w:r>
        <w:t xml:space="preserve">Lozano-Isla, F; Campos, MLO;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56">
        <w:r>
          <w:rPr>
            <w:rStyle w:val="Hipervnculo"/>
          </w:rPr>
          <w:t xml:space="preserve">https://doi.org/10.1016/j.indcrop.2018.03.052</w:t>
        </w:r>
      </w:hyperlink>
      <w:r>
        <w:t xml:space="preserve">.</w:t>
      </w:r>
    </w:p>
    <w:bookmarkEnd w:id="57"/>
    <w:bookmarkStart w:id="58" w:name="ref-maluszynski2009Methodologies"/>
    <w:p>
      <w:pPr>
        <w:pStyle w:val="Bibliografa"/>
      </w:pPr>
      <w:r>
        <w:t xml:space="preserve">Maluszynski, M; Szarejko, I; Bhatia, CR; Nichterlein, K; Lagoda, PJL. 2009. Methodologies for Generating Variability. Part 4: Mutation Techniques. Plant breeding and farmer participation:159-194.</w:t>
      </w:r>
    </w:p>
    <w:bookmarkEnd w:id="58"/>
    <w:bookmarkStart w:id="60" w:name="Xebb02d5d081d321a9f857ff47b319bed940052e"/>
    <w:p>
      <w:pPr>
        <w:pStyle w:val="Bibliografa"/>
      </w:pPr>
      <w:r>
        <w:t xml:space="preserve">Pompelli, MF; Antunes, WC; Ferreira, DTRG; Cavalcante, PGS; Wanderley-Filho, HCL;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59">
        <w:r>
          <w:rPr>
            <w:rStyle w:val="Hipervnculo"/>
          </w:rPr>
          <w:t xml:space="preserve">https://doi.org/10.1016/j.biombioe.2011.10.010</w:t>
        </w:r>
      </w:hyperlink>
      <w:r>
        <w:t xml:space="preserve">.</w:t>
      </w:r>
    </w:p>
    <w:bookmarkEnd w:id="60"/>
    <w:bookmarkStart w:id="62" w:name="ref-R-base"/>
    <w:p>
      <w:pPr>
        <w:pStyle w:val="Bibliografa"/>
      </w:pPr>
      <w:r>
        <w:t xml:space="preserve">R Core Team. 2019. R: A Language and Environment for Statistical Computing (en línea). Vienna, Austria, R Foundation for Statistical Computing. Disponible en</w:t>
      </w:r>
      <w:r>
        <w:t xml:space="preserve"> </w:t>
      </w:r>
      <w:hyperlink r:id="rId61">
        <w:r>
          <w:rPr>
            <w:rStyle w:val="Hipervnculo"/>
          </w:rPr>
          <w:t xml:space="preserve">https://www.R-project.org/</w:t>
        </w:r>
      </w:hyperlink>
      <w:r>
        <w:t xml:space="preserve">.</w:t>
      </w:r>
    </w:p>
    <w:bookmarkEnd w:id="62"/>
    <w:bookmarkStart w:id="63" w:name="ref-zarate2017Respuesta"/>
    <w:p>
      <w:pPr>
        <w:pStyle w:val="Bibliografa"/>
      </w:pPr>
      <w:r>
        <w:t xml:space="preserve">Zárate, C; Gianina, M. 2017. Respuesta de 100 Accesiones de Quinua a La Infección Natural de Mildiu (Peronospora Variabilis Gäum) En El Valle Del Mantaro..</w:t>
      </w:r>
    </w:p>
    <w:bookmarkEnd w:id="63"/>
    <w:bookmarkEnd w:id="64"/>
    <w:sectPr w:rsidR="007F5478" w:rsidRPr="004771E5" w:rsidSect="00D52955">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A324C" w14:textId="77777777" w:rsidR="00A04089" w:rsidRPr="00FB0FF2" w:rsidRDefault="0050301A">
    <w:pPr>
      <w:pStyle w:val="Piedepgina"/>
      <w:jc w:val="center"/>
      <w:rPr>
        <w:caps/>
      </w:rPr>
    </w:pPr>
    <w:r w:rsidRPr="00FB0FF2">
      <w:rPr>
        <w:caps/>
      </w:rPr>
      <w:fldChar w:fldCharType="begin"/>
    </w:r>
    <w:r w:rsidRPr="00FB0FF2">
      <w:rPr>
        <w:caps/>
      </w:rPr>
      <w:instrText>PAGE   \* MERGEFORMAT</w:instrText>
    </w:r>
    <w:r w:rsidRPr="00FB0FF2">
      <w:rPr>
        <w:caps/>
      </w:rPr>
      <w:fldChar w:fldCharType="separate"/>
    </w:r>
    <w:r w:rsidRPr="00FB0FF2">
      <w:rPr>
        <w:caps/>
        <w:lang w:val="es-ES"/>
      </w:rPr>
      <w:t>2</w:t>
    </w:r>
    <w:r w:rsidRPr="00FB0FF2">
      <w:rPr>
        <w:caps/>
      </w:rPr>
      <w:fldChar w:fldCharType="end"/>
    </w:r>
  </w:p>
  <w:p w14:paraId="2DA85C83" w14:textId="5044AB16" w:rsidR="00A04089" w:rsidRPr="00FB0FF2" w:rsidRDefault="004771E5">
    <w:pPr>
      <w:pStyle w:val="Piedepgina"/>
    </w:pPr>
    <w:r>
      <w:t>E</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14ED0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5904B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DE645E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50024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336A1F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7C135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25C19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19809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D47C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1E6673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D6BF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5329"/>
    <w:pPr>
      <w:spacing w:before="120" w:after="120" w:line="360" w:lineRule="auto"/>
    </w:pPr>
    <w:rPr>
      <w:sz w:val="22"/>
    </w:rPr>
  </w:style>
  <w:style w:type="paragraph" w:styleId="Ttulo1">
    <w:name w:val="heading 1"/>
    <w:basedOn w:val="Normal"/>
    <w:next w:val="Normal"/>
    <w:uiPriority w:val="9"/>
    <w:qFormat/>
    <w:rsid w:val="00D7586B"/>
    <w:pPr>
      <w:keepNext/>
      <w:keepLines/>
      <w:spacing w:before="100" w:after="10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785CC8"/>
    <w:pPr>
      <w:spacing w:before="36" w:after="36"/>
    </w:pPr>
  </w:style>
  <w:style w:type="paragraph" w:styleId="Ttulo">
    <w:name w:val="Title"/>
    <w:basedOn w:val="Normal"/>
    <w:next w:val="Normal"/>
    <w:qFormat/>
    <w:rsid w:val="00B05329"/>
    <w:pPr>
      <w:keepNext/>
      <w:keepLines/>
      <w:spacing w:before="0" w:after="100"/>
      <w:jc w:val="center"/>
    </w:pPr>
    <w:rPr>
      <w:rFonts w:eastAsiaTheme="majorEastAsia" w:cstheme="majorBidi"/>
      <w:b/>
      <w:bCs/>
      <w:sz w:val="24"/>
      <w:szCs w:val="36"/>
    </w:rPr>
  </w:style>
  <w:style w:type="paragraph" w:styleId="Subttulo">
    <w:name w:val="Subtitle"/>
    <w:basedOn w:val="Ttulo"/>
    <w:next w:val="Normal"/>
    <w:qFormat/>
    <w:rsid w:val="00B05329"/>
    <w:pPr>
      <w:spacing w:before="80" w:after="80"/>
    </w:pPr>
    <w:rPr>
      <w:sz w:val="22"/>
      <w:szCs w:val="30"/>
    </w:rPr>
  </w:style>
  <w:style w:type="paragraph" w:customStyle="1" w:styleId="Author">
    <w:name w:val="Author"/>
    <w:next w:val="Normal"/>
    <w:qFormat/>
    <w:rsid w:val="00D7586B"/>
    <w:pPr>
      <w:keepNext/>
      <w:keepLines/>
      <w:spacing w:after="100"/>
      <w:jc w:val="center"/>
    </w:pPr>
    <w:rPr>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C12907"/>
    <w:pPr>
      <w:spacing w:before="80" w:after="80"/>
    </w:pPr>
  </w:style>
  <w:style w:type="paragraph" w:styleId="Textodebloque">
    <w:name w:val="Block Text"/>
    <w:basedOn w:val="Normal"/>
    <w:next w:val="Normal"/>
    <w:uiPriority w:val="9"/>
    <w:unhideWhenUsed/>
    <w:qFormat/>
    <w:rsid w:val="00785CC8"/>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D7586B"/>
    <w:pPr>
      <w:keepNext/>
      <w:pageBreakBefore/>
    </w:pPr>
    <w:rPr>
      <w:i w:val="0"/>
    </w:rPr>
  </w:style>
  <w:style w:type="paragraph" w:customStyle="1" w:styleId="ImageCaption">
    <w:name w:val="Image Caption"/>
    <w:basedOn w:val="Descripcin"/>
    <w:rsid w:val="00785CC8"/>
    <w:rPr>
      <w:i w:val="0"/>
    </w:rPr>
  </w:style>
  <w:style w:type="paragraph" w:customStyle="1" w:styleId="Figure">
    <w:name w:val="Figure"/>
    <w:basedOn w:val="Normal"/>
  </w:style>
  <w:style w:type="paragraph" w:customStyle="1" w:styleId="CaptionedFigure">
    <w:name w:val="Captioned Figure"/>
    <w:basedOn w:val="Figure"/>
    <w:rsid w:val="00D7586B"/>
    <w:pPr>
      <w:keepNext/>
      <w:pageBreakBefore/>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FB0FF2"/>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FB0FF2"/>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hyperlink" Id="rId24" Target="http://factominer.free.fr/index.html" TargetMode="External" /><Relationship Type="http://schemas.openxmlformats.org/officeDocument/2006/relationships/hyperlink" Id="rId50" Target="https://CRAN.R-project.org/package=FactoMineR" TargetMode="External" /><Relationship Type="http://schemas.openxmlformats.org/officeDocument/2006/relationships/hyperlink" Id="rId45"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9" Target="https://doi.org/10.1016/j.biombioe.2011.10.010" TargetMode="External" /><Relationship Type="http://schemas.openxmlformats.org/officeDocument/2006/relationships/hyperlink" Id="rId56" Target="https://doi.org/10.1016/j.indcrop.2018.03.052" TargetMode="External" /><Relationship Type="http://schemas.openxmlformats.org/officeDocument/2006/relationships/hyperlink" Id="rId43" Target="https://doi.org/10.1071/AR05069" TargetMode="External" /><Relationship Type="http://schemas.openxmlformats.org/officeDocument/2006/relationships/hyperlink" Id="rId41"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2" Target="https://doi.org/10.17660/ActaHortic.2018.1223.12" TargetMode="External" /><Relationship Type="http://schemas.openxmlformats.org/officeDocument/2006/relationships/hyperlink" Id="rId54" Target="https://flavjack.shinyapps.io/germinaquant/" TargetMode="External" /><Relationship Type="http://schemas.openxmlformats.org/officeDocument/2006/relationships/hyperlink" Id="rId61"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50" Target="https://CRAN.R-project.org/package=FactoMineR" TargetMode="External" /><Relationship Type="http://schemas.openxmlformats.org/officeDocument/2006/relationships/hyperlink" Id="rId45"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9" Target="https://doi.org/10.1016/j.biombioe.2011.10.010" TargetMode="External" /><Relationship Type="http://schemas.openxmlformats.org/officeDocument/2006/relationships/hyperlink" Id="rId56" Target="https://doi.org/10.1016/j.indcrop.2018.03.052" TargetMode="External" /><Relationship Type="http://schemas.openxmlformats.org/officeDocument/2006/relationships/hyperlink" Id="rId43" Target="https://doi.org/10.1071/AR05069" TargetMode="External" /><Relationship Type="http://schemas.openxmlformats.org/officeDocument/2006/relationships/hyperlink" Id="rId41"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2" Target="https://doi.org/10.17660/ActaHortic.2018.1223.12" TargetMode="External" /><Relationship Type="http://schemas.openxmlformats.org/officeDocument/2006/relationships/hyperlink" Id="rId54" Target="https://flavjack.shinyapps.io/germinaquant/" TargetMode="External" /><Relationship Type="http://schemas.openxmlformats.org/officeDocument/2006/relationships/hyperlink" Id="rId61"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Breeding program for quinoa (Chenopodium quinoa) using landraces for breeding improved varieties in the highland from Peru</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dc:description>document template for scientific report</dc:description>
  <cp:keywords/>
  <dcterms:created xsi:type="dcterms:W3CDTF">2019-11-12T14:24:58Z</dcterms:created>
  <dcterms:modified xsi:type="dcterms:W3CDTF">2019-11-12T14:24:58Z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https://www.zotero.org/styles/iica-catie</vt:lpwstr>
  </property>
  <property fmtid="{D5CDD505-2E9C-101B-9397-08002B2CF9AE}" pid="7" name="date">
    <vt:lpwstr/>
  </property>
  <property fmtid="{D5CDD505-2E9C-101B-9397-08002B2CF9AE}" pid="8" name="documentclass">
    <vt:lpwstr>book</vt:lpwstr>
  </property>
  <property fmtid="{D5CDD505-2E9C-101B-9397-08002B2CF9AE}" pid="9" name="favicon">
    <vt:lpwstr>img/icon.png</vt:lpwstr>
  </property>
  <property fmtid="{D5CDD505-2E9C-101B-9397-08002B2CF9AE}" pid="10" name="github-repo">
    <vt:lpwstr>flavjack/rticles/issues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www.quipo.org</vt:lpwstr>
  </property>
</Properties>
</file>