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png" ContentType="image/png"/>
  <Override PartName="/word/media/rId63.png" ContentType="image/png"/>
  <Override PartName="/word/media/rId64.png" ContentType="image/png"/>
  <Override PartName="/word/media/rId6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www.quipo.org</w:t>
      </w:r>
    </w:p>
    <w:p>
      <w:pPr>
        <w:pStyle w:val="Author"/>
      </w:pPr>
      <w:r>
        <w:t xml:space="preserve">Flavio</w:t>
      </w:r>
      <w:r>
        <w:t xml:space="preserve"> </w:t>
      </w:r>
      <w:r>
        <w:t xml:space="preserve">Lozano-Isla</w:t>
      </w:r>
      <w:r>
        <w:t xml:space="preserve"> </w:t>
      </w:r>
      <m:oMath>
        <m:sSup>
          <m:e>
            <m:r>
              <m:t>​</m:t>
            </m:r>
          </m:e>
          <m:sup>
            <m:r>
              <m:t>1</m:t>
            </m:r>
            <m:r>
              <m:t>*</m:t>
            </m:r>
          </m:sup>
        </m:sSup>
      </m:oMath>
      <w:r>
        <w:t xml:space="preserve">,</w:t>
      </w:r>
      <w:r>
        <w:t xml:space="preserve"> </w:t>
      </w:r>
      <w:r>
        <w:t xml:space="preserve">Jimmy</w:t>
      </w:r>
      <w:r>
        <w:t xml:space="preserve"> </w:t>
      </w:r>
      <w:r>
        <w:t xml:space="preserve">Gomez</w:t>
      </w:r>
      <w:r>
        <w:t xml:space="preserve"> </w:t>
      </w:r>
      <m:oMath>
        <m:sSup>
          <m:e>
            <m:r>
              <m:t>​</m:t>
            </m:r>
          </m:e>
          <m:sup>
            <m:r>
              <m:t>2</m:t>
            </m:r>
          </m:sup>
        </m:sSup>
      </m:oMath>
    </w:p>
    <w:p>
      <w:pPr>
        <w:pStyle w:val="Author"/>
      </w:pPr>
      <m:oMath>
        <m:sSup>
          <m:e>
            <m:r>
              <m:t>​</m:t>
            </m:r>
          </m:e>
          <m:sup>
            <m:r>
              <m:t>2</m:t>
            </m:r>
          </m:sup>
        </m:sSup>
      </m:oMath>
      <w:r>
        <w:t xml:space="preserve"> </w:t>
      </w:r>
      <w:r>
        <w:t xml:space="preserve">Agronomist,</w:t>
      </w:r>
      <w:r>
        <w:t xml:space="preserve"> </w:t>
      </w:r>
      <w:r>
        <w:t xml:space="preserve">Co-founder</w:t>
      </w:r>
      <w:r>
        <w:t xml:space="preserve"> </w:t>
      </w:r>
      <w:r>
        <w:t xml:space="preserve">quipo.org</w:t>
      </w:r>
    </w:p>
    <w:p>
      <w:pPr>
        <w:pStyle w:val="Author"/>
      </w:pPr>
      <m:oMath>
        <m:sSup>
          <m:e>
            <m:r>
              <m:t>​</m:t>
            </m:r>
          </m:e>
          <m:sup>
            <m:r>
              <m:t>1</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&amp;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2019</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2019</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2019</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2019</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references"/>
      <w:r>
        <w:t xml:space="preserve">References</w:t>
      </w:r>
      <w:bookmarkEnd w:id="36"/>
    </w:p>
    <w:bookmarkStart w:id="60" w:name="refs"/>
    <w:bookmarkStart w:id="38" w:name="ref-avenot2009Characterizationa"/>
    <w:p>
      <w:pPr>
        <w:pStyle w:val="Bibliografa"/>
      </w:pPr>
      <w:r>
        <w:t xml:space="preserve">Avenot, H., Sellam, A., &amp; Michailides, T. (2009). Characterization of mutations in the membrane-anchored subunits AaSDHC and AaSDHD of succinate dehydrogenase from Alternaria alternata isolates conferring field resistance to the fungicide boscalid.</w:t>
      </w:r>
      <w:r>
        <w:t xml:space="preserve"> </w:t>
      </w:r>
      <w:r>
        <w:rPr>
          <w:i/>
        </w:rPr>
        <w:t xml:space="preserve">Plant Pathology</w:t>
      </w:r>
      <w:r>
        <w:t xml:space="preserve">,</w:t>
      </w:r>
      <w:r>
        <w:t xml:space="preserve"> </w:t>
      </w:r>
      <w:r>
        <w:rPr>
          <w:i/>
        </w:rPr>
        <w:t xml:space="preserve">58</w:t>
      </w:r>
      <w:r>
        <w:t xml:space="preserve">(6), 1134–1143.</w:t>
      </w:r>
      <w:r>
        <w:t xml:space="preserve"> </w:t>
      </w:r>
      <w:hyperlink r:id="rId37">
        <w:r>
          <w:rPr>
            <w:rStyle w:val="Hipervnculo"/>
          </w:rPr>
          <w:t xml:space="preserve">https://doi.org/10.1111/j.1365-3059.2009.02154.x</w:t>
        </w:r>
      </w:hyperlink>
    </w:p>
    <w:bookmarkEnd w:id="38"/>
    <w:bookmarkStart w:id="40" w:name="ref-blum2005Drought"/>
    <w:p>
      <w:pPr>
        <w:pStyle w:val="Bibliografa"/>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39">
        <w:r>
          <w:rPr>
            <w:rStyle w:val="Hipervnculo"/>
          </w:rPr>
          <w:t xml:space="preserve">https://doi.org/10.1071/AR05069</w:t>
        </w:r>
      </w:hyperlink>
    </w:p>
    <w:bookmarkEnd w:id="40"/>
    <w:bookmarkStart w:id="42" w:name="ref-R-agricolae"/>
    <w:p>
      <w:pPr>
        <w:pStyle w:val="Bibliografa"/>
      </w:pPr>
      <w:r>
        <w:t xml:space="preserve">de Mendiburu, F. (2019).</w:t>
      </w:r>
      <w:r>
        <w:t xml:space="preserve"> </w:t>
      </w:r>
      <w:r>
        <w:rPr>
          <w:i/>
        </w:rPr>
        <w:t xml:space="preserve">Agricolae: Statistical procedures for agricultural research</w:t>
      </w:r>
      <w:r>
        <w:t xml:space="preserve">.</w:t>
      </w:r>
      <w:r>
        <w:t xml:space="preserve"> </w:t>
      </w:r>
      <w:hyperlink r:id="rId41">
        <w:r>
          <w:rPr>
            <w:rStyle w:val="Hipervnculo"/>
          </w:rPr>
          <w:t xml:space="preserve">https://CRAN.R-project.org/package=agricolae</w:t>
        </w:r>
      </w:hyperlink>
    </w:p>
    <w:bookmarkEnd w:id="42"/>
    <w:bookmarkStart w:id="43" w:name="ref-dixit2015Adaptacion"/>
    <w:p>
      <w:pPr>
        <w:pStyle w:val="Bibliografa"/>
      </w:pPr>
      <w:r>
        <w:t xml:space="preserve">Dixit, A. (2015).</w:t>
      </w:r>
      <w:r>
        <w:t xml:space="preserve"> </w:t>
      </w:r>
      <w:r>
        <w:rPr>
          <w:i/>
        </w:rPr>
        <w:t xml:space="preserve">Adaptación al cambio climático: aumento de la producción de quinua mediante técnicas nucleares</w:t>
      </w:r>
      <w:r>
        <w:t xml:space="preserve">.</w:t>
      </w:r>
    </w:p>
    <w:bookmarkEnd w:id="43"/>
    <w:bookmarkStart w:id="45" w:name="ref-gutierrez2018Contribution"/>
    <w:p>
      <w:pPr>
        <w:pStyle w:val="Bibliografa"/>
      </w:pPr>
      <w:r>
        <w:t xml:space="preserve">Gutierrez, P., Vega, R., Garc</w:t>
      </w:r>
      <w:r>
        <w:t xml:space="preserve">’ıa, S., &amp;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w:t>
      </w:r>
      <w:r>
        <w:t xml:space="preserve"> </w:t>
      </w:r>
      <w:r>
        <w:rPr>
          <w:i/>
        </w:rPr>
        <w:t xml:space="preserve">Acta Horticulturae</w:t>
      </w:r>
      <w:r>
        <w:t xml:space="preserve">,</w:t>
      </w:r>
      <w:r>
        <w:t xml:space="preserve"> </w:t>
      </w:r>
      <w:r>
        <w:rPr>
          <w:i/>
        </w:rPr>
        <w:t xml:space="preserve">1217</w:t>
      </w:r>
      <w:r>
        <w:t xml:space="preserve">, 327–334.</w:t>
      </w:r>
      <w:r>
        <w:t xml:space="preserve"> </w:t>
      </w:r>
      <w:hyperlink r:id="rId44">
        <w:r>
          <w:rPr>
            <w:rStyle w:val="Hipervnculo"/>
          </w:rPr>
          <w:t xml:space="preserve">https://doi.org/10.17660/ActaHortic.2018.1217.41</w:t>
        </w:r>
      </w:hyperlink>
    </w:p>
    <w:bookmarkEnd w:id="45"/>
    <w:bookmarkStart w:id="47" w:name="ref-R-FactoMineR"/>
    <w:p>
      <w:pPr>
        <w:pStyle w:val="Bibliografa"/>
      </w:pPr>
      <w:r>
        <w:t xml:space="preserve">Husson, F., Josse, J., Le, S., &amp; Mazet, J. (2019).</w:t>
      </w:r>
      <w:r>
        <w:t xml:space="preserve"> </w:t>
      </w:r>
      <w:r>
        <w:rPr>
          <w:i/>
        </w:rPr>
        <w:t xml:space="preserve">FactoMineR: Multivariate exploratory data analysis and data mining</w:t>
      </w:r>
      <w:r>
        <w:t xml:space="preserve">.</w:t>
      </w:r>
      <w:r>
        <w:t xml:space="preserve"> </w:t>
      </w:r>
      <w:hyperlink r:id="rId46">
        <w:r>
          <w:rPr>
            <w:rStyle w:val="Hipervnculo"/>
          </w:rPr>
          <w:t xml:space="preserve">https://CRAN.R-project.org/package=FactoMineR</w:t>
        </w:r>
      </w:hyperlink>
    </w:p>
    <w:bookmarkEnd w:id="47"/>
    <w:bookmarkStart w:id="49" w:name="ref-leon2018Nitrogen"/>
    <w:p>
      <w:pPr>
        <w:pStyle w:val="Bibliografa"/>
      </w:pPr>
      <w:r>
        <w:t xml:space="preserve">León, D., Gutierrez, P., Riojas, R., &amp; Casas, A. (2018). Nitrogen, phosphorus and potassium levels in asparagus production.</w:t>
      </w:r>
      <w:r>
        <w:t xml:space="preserve"> </w:t>
      </w:r>
      <w:r>
        <w:rPr>
          <w:i/>
        </w:rPr>
        <w:t xml:space="preserve">Acta Horticulturae</w:t>
      </w:r>
      <w:r>
        <w:t xml:space="preserve">,</w:t>
      </w:r>
      <w:r>
        <w:t xml:space="preserve"> </w:t>
      </w:r>
      <w:r>
        <w:rPr>
          <w:i/>
        </w:rPr>
        <w:t xml:space="preserve">1223</w:t>
      </w:r>
      <w:r>
        <w:t xml:space="preserve">, 81–87.</w:t>
      </w:r>
      <w:r>
        <w:t xml:space="preserve"> </w:t>
      </w:r>
      <w:hyperlink r:id="rId48">
        <w:r>
          <w:rPr>
            <w:rStyle w:val="Hipervnculo"/>
          </w:rPr>
          <w:t xml:space="preserve">https://doi.org/10.17660/ActaHortic.2018.1223.12</w:t>
        </w:r>
      </w:hyperlink>
    </w:p>
    <w:bookmarkEnd w:id="49"/>
    <w:bookmarkStart w:id="51" w:name="ref-R-GerminaR"/>
    <w:p>
      <w:pPr>
        <w:pStyle w:val="Bibliografa"/>
      </w:pPr>
      <w:r>
        <w:t xml:space="preserve">Lozano Isla, F., Benites Alfaro, O., &amp; Pompelli, M. F. (2019).</w:t>
      </w:r>
      <w:r>
        <w:t xml:space="preserve"> </w:t>
      </w:r>
      <w:r>
        <w:rPr>
          <w:i/>
        </w:rPr>
        <w:t xml:space="preserve">GerminaR: Germination indices and graphics for seed germination in ecophysiological studies</w:t>
      </w:r>
      <w:r>
        <w:t xml:space="preserve">.</w:t>
      </w:r>
      <w:r>
        <w:t xml:space="preserve"> </w:t>
      </w:r>
      <w:hyperlink r:id="rId50">
        <w:r>
          <w:rPr>
            <w:rStyle w:val="Hipervnculo"/>
          </w:rPr>
          <w:t xml:space="preserve">https://flavjack.shinyapps.io/germinaquant/</w:t>
        </w:r>
      </w:hyperlink>
    </w:p>
    <w:bookmarkEnd w:id="51"/>
    <w:bookmarkStart w:id="53" w:name="ref-lozano-isla2018Effects"/>
    <w:p>
      <w:pPr>
        <w:pStyle w:val="Bibliografa"/>
      </w:pPr>
      <w:r>
        <w:t xml:space="preserve">Lozano-Isla, F., Campos, M. L. O.,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2">
        <w:r>
          <w:rPr>
            <w:rStyle w:val="Hipervnculo"/>
          </w:rPr>
          <w:t xml:space="preserve">https://doi.org/10.1016/j.indcrop.2018.03.052</w:t>
        </w:r>
      </w:hyperlink>
    </w:p>
    <w:bookmarkEnd w:id="53"/>
    <w:bookmarkStart w:id="54" w:name="ref-maluszynski2009Methodologies"/>
    <w:p>
      <w:pPr>
        <w:pStyle w:val="Bibliografa"/>
      </w:pPr>
      <w:r>
        <w:t xml:space="preserve">Maluszynski, M., Szarejko, I., Bhatia, C. R., Nichterlein, K., &amp; Lagoda, P. J. L. (2009). Methodologies for generating variability. Part 4: Mutation techniques.</w:t>
      </w:r>
      <w:r>
        <w:t xml:space="preserve"> </w:t>
      </w:r>
      <w:r>
        <w:rPr>
          <w:i/>
        </w:rPr>
        <w:t xml:space="preserve">Plant Breeding and Farmer Participation</w:t>
      </w:r>
      <w:r>
        <w:t xml:space="preserve">, 159–194.</w:t>
      </w:r>
    </w:p>
    <w:bookmarkEnd w:id="54"/>
    <w:bookmarkStart w:id="56" w:name="Xebb02d5d081d321a9f857ff47b319bed940052e"/>
    <w:p>
      <w:pPr>
        <w:pStyle w:val="Bibliografa"/>
      </w:pPr>
      <w:r>
        <w:t xml:space="preserve">Pompelli, M. F., Antunes, W. C., Ferreira, D. T. R. G., Cavalcante, P. G. S., Wanderley-Filho, H. C. L., &amp; Endres, L. (2012). Allometric models for non-destructive leaf area estimation of</w:t>
      </w:r>
      <w:r>
        <w:t xml:space="preserve"> </w:t>
      </w:r>
      <w:r>
        <w:rPr>
          <w:i/>
        </w:rPr>
        <w:t xml:space="preserve">Jatropha</w:t>
      </w:r>
      <w:r>
        <w:t xml:space="preserve"> </w:t>
      </w:r>
      <w:r>
        <w:rPr>
          <w:i/>
        </w:rPr>
        <w:t xml:space="preserve">Curcas</w:t>
      </w:r>
      <w:r>
        <w:t xml:space="preserve">.</w:t>
      </w:r>
      <w:r>
        <w:t xml:space="preserve"> </w:t>
      </w:r>
      <w:r>
        <w:rPr>
          <w:i/>
        </w:rPr>
        <w:t xml:space="preserve">Biomass and Bioenergy</w:t>
      </w:r>
      <w:r>
        <w:t xml:space="preserve">,</w:t>
      </w:r>
      <w:r>
        <w:t xml:space="preserve"> </w:t>
      </w:r>
      <w:r>
        <w:rPr>
          <w:i/>
        </w:rPr>
        <w:t xml:space="preserve">36</w:t>
      </w:r>
      <w:r>
        <w:t xml:space="preserve">, 77–85.</w:t>
      </w:r>
      <w:r>
        <w:t xml:space="preserve"> </w:t>
      </w:r>
      <w:hyperlink r:id="rId55">
        <w:r>
          <w:rPr>
            <w:rStyle w:val="Hipervnculo"/>
          </w:rPr>
          <w:t xml:space="preserve">https://doi.org/10.1016/j.biombioe.2011.10.010</w:t>
        </w:r>
      </w:hyperlink>
    </w:p>
    <w:bookmarkEnd w:id="56"/>
    <w:bookmarkStart w:id="58" w:name="ref-R-base"/>
    <w:p>
      <w:pPr>
        <w:pStyle w:val="Bibliografa"/>
      </w:pPr>
      <w:r>
        <w:t xml:space="preserve">R Core Team. (2019).</w:t>
      </w:r>
      <w:r>
        <w:t xml:space="preserve"> </w:t>
      </w:r>
      <w:r>
        <w:rPr>
          <w:i/>
        </w:rPr>
        <w:t xml:space="preserve">R: A language and environment for statistical computing</w:t>
      </w:r>
      <w:r>
        <w:t xml:space="preserve">. R Foundation for Statistical Computing.</w:t>
      </w:r>
      <w:r>
        <w:t xml:space="preserve"> </w:t>
      </w:r>
      <w:hyperlink r:id="rId57">
        <w:r>
          <w:rPr>
            <w:rStyle w:val="Hipervnculo"/>
          </w:rPr>
          <w:t xml:space="preserve">https://www.R-project.org/</w:t>
        </w:r>
      </w:hyperlink>
    </w:p>
    <w:bookmarkEnd w:id="58"/>
    <w:bookmarkStart w:id="59" w:name="ref-zarate2017Respuesta"/>
    <w:p>
      <w:pPr>
        <w:pStyle w:val="Bibliografa"/>
      </w:pPr>
      <w:r>
        <w:t xml:space="preserve">Zárate, C., &amp; Gianina, M. (2017).</w:t>
      </w:r>
      <w:r>
        <w:t xml:space="preserve"> </w:t>
      </w:r>
      <w:r>
        <w:rPr>
          <w:i/>
        </w:rPr>
        <w:t xml:space="preserve">Respuesta de 100 accesiones de quinua a la infección natural de mildiu (Peronospora variabilis Gäum) en el Valle del Mantaro</w:t>
      </w:r>
      <w:r>
        <w:t xml:space="preserve">.</w:t>
      </w:r>
    </w:p>
    <w:bookmarkEnd w:id="59"/>
    <w:bookmarkEnd w:id="60"/>
    <w:p>
      <w:r>
        <w:br w:type="page"/>
      </w:r>
    </w:p>
    <w:p>
      <w:pPr>
        <w:pStyle w:val="TableCaption"/>
      </w:pPr>
      <w:r>
        <w:t xml:space="preserve">Table 1: Germination dataset import from a googlesheet</w:t>
      </w:r>
    </w:p>
    <w:tbl>
      <w:tblPr>
        <w:tblStyle w:val="Table"/>
        <w:tblW w:type="pct" w:w="0.0"/>
        <w:tblLook w:firstRow="1"/>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r>
        <w:br w:type="page"/>
      </w:r>
    </w:p>
    <w:p>
      <w:pPr>
        <w:pStyle w:val="BodyText"/>
      </w:pPr>
      <w:r>
        <w:drawing>
          <wp:inline>
            <wp:extent cx="5969000" cy="3462020"/>
            <wp:effectExtent b="0" l="0" r="0" t="0"/>
            <wp:docPr descr="" title="" id="1" name="Picture"/>
            <a:graphic>
              <a:graphicData uri="http://schemas.openxmlformats.org/drawingml/2006/picture">
                <pic:pic>
                  <pic:nvPicPr>
                    <pic:cNvPr descr="rticles_files/figure-docx/unnamed-chunk-1-1.png" id="0" name="Picture"/>
                    <pic:cNvPicPr>
                      <a:picLocks noChangeArrowheads="1" noChangeAspect="1"/>
                    </pic:cNvPicPr>
                  </pic:nvPicPr>
                  <pic:blipFill>
                    <a:blip r:embed="rId61"/>
                    <a:stretch>
                      <a:fillRect/>
                    </a:stretch>
                  </pic:blipFill>
                  <pic:spPr bwMode="auto">
                    <a:xfrm>
                      <a:off x="0" y="0"/>
                      <a:ext cx="5969000" cy="3462020"/>
                    </a:xfrm>
                    <a:prstGeom prst="rect">
                      <a:avLst/>
                    </a:prstGeom>
                    <a:noFill/>
                    <a:ln w="9525">
                      <a:noFill/>
                      <a:headEnd/>
                      <a:tailEnd/>
                    </a:ln>
                  </pic:spPr>
                </pic:pic>
              </a:graphicData>
            </a:graphic>
          </wp:inline>
        </w:drawing>
      </w:r>
    </w:p>
    <w:p>
      <w:r>
        <w:br w:type="page"/>
      </w:r>
    </w:p>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files/fig_gerplot.png" id="0" name="Picture"/>
                    <pic:cNvPicPr>
                      <a:picLocks noChangeArrowheads="1" noChangeAspect="1"/>
                    </pic:cNvPicPr>
                  </pic:nvPicPr>
                  <pic:blipFill>
                    <a:blip r:embed="rId62"/>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files/fig_jcurcas.png" id="0" name="Picture"/>
                    <pic:cNvPicPr>
                      <a:picLocks noChangeArrowheads="1" noChangeAspect="1"/>
                    </pic:cNvPicPr>
                  </pic:nvPicPr>
                  <pic:blipFill>
                    <a:blip r:embed="rId63"/>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files/fig_mv.png" id="0" name="Picture"/>
                    <pic:cNvPicPr>
                      <a:picLocks noChangeArrowheads="1" noChangeAspect="1"/>
                    </pic:cNvPicPr>
                  </pic:nvPicPr>
                  <pic:blipFill>
                    <a:blip r:embed="rId64"/>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sectPr w:rsidR="00903246" w:rsidRPr="00796E4F"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C0D1C1" w14:textId="77777777" w:rsidR="00A04089" w:rsidRPr="00750171" w:rsidRDefault="009F3A14">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513B8DF0" w14:textId="77777777" w:rsidR="00A04089" w:rsidRDefault="009F3A14">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BDE21FD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8AA8B1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0756CE8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BA6E9B6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CC40AD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28CDA2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46EC5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02CCC11A"/>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DB249FF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94D2D72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6C73"/>
    <w:pPr>
      <w:spacing w:before="120" w:after="120" w:line="360" w:lineRule="auto"/>
    </w:pPr>
    <w:rPr>
      <w:rFonts w:ascii="Courier New" w:hAnsi="Courier New"/>
      <w:sz w:val="22"/>
    </w:rPr>
  </w:style>
  <w:style w:type="paragraph" w:styleId="Ttulo1">
    <w:name w:val="heading 1"/>
    <w:basedOn w:val="Normal"/>
    <w:next w:val="Normal"/>
    <w:uiPriority w:val="9"/>
    <w:qFormat/>
    <w:rsid w:val="00627AE5"/>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43225"/>
    <w:pPr>
      <w:spacing w:before="36" w:after="36"/>
    </w:pPr>
    <w:rPr>
      <w:sz w:val="16"/>
    </w:rPr>
  </w:style>
  <w:style w:type="paragraph" w:styleId="Ttulo">
    <w:name w:val="Title"/>
    <w:basedOn w:val="Normal"/>
    <w:next w:val="Normal"/>
    <w:qFormat/>
    <w:rsid w:val="0015183D"/>
    <w:pPr>
      <w:keepNext/>
      <w:keepLines/>
      <w:spacing w:before="0" w:after="100"/>
      <w:jc w:val="left"/>
    </w:pPr>
    <w:rPr>
      <w:rFonts w:eastAsiaTheme="majorEastAsia" w:cstheme="majorBidi"/>
      <w:b/>
      <w:bCs/>
      <w:sz w:val="24"/>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556C73"/>
    <w:pPr>
      <w:keepNext/>
      <w:keepLines/>
      <w:spacing w:before="240" w:after="340"/>
      <w:jc w:val="left"/>
    </w:pPr>
    <w:rPr>
      <w:rFonts w:ascii="Courier New" w:hAnsi="Courier New"/>
      <w:b/>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647EB9"/>
    <w:pPr>
      <w:spacing w:before="240" w:after="240"/>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C4612C"/>
    <w:pPr>
      <w:keepNext/>
    </w:pPr>
    <w:rPr>
      <w:i w:val="0"/>
    </w:rPr>
  </w:style>
  <w:style w:type="paragraph" w:customStyle="1" w:styleId="ImageCaption">
    <w:name w:val="Image Caption"/>
    <w:basedOn w:val="Descripcin"/>
    <w:rsid w:val="00C4612C"/>
    <w:rPr>
      <w:i w:val="0"/>
    </w:rPr>
  </w:style>
  <w:style w:type="paragraph" w:customStyle="1" w:styleId="Figure">
    <w:name w:val="Figure"/>
    <w:basedOn w:val="Normal"/>
  </w:style>
  <w:style w:type="paragraph" w:customStyle="1" w:styleId="CaptionedFigure">
    <w:name w:val="Captioned Figure"/>
    <w:basedOn w:val="Figure"/>
    <w:rsid w:val="00B2600A"/>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0" Target="https://flavjack.shinyapps.io/germinaquant/"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0" Target="https://flavjack.shinyapps.io/germinaquant/"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Flavio Lozano-Isla ^{1*}, Jimmy Gomez ^{2}; ^{2} Agronomist, Co-founder quipo.org; ^{1} Agronomist MSc, E-mail: flavjack@gmail.com</dc:creator>
  <dc:description>document template for scientific report</dc:description>
  <cp:keywords/>
  <dcterms:created xsi:type="dcterms:W3CDTF">2020-01-19T19:49:39Z</dcterms:created>
  <dcterms:modified xsi:type="dcterms:W3CDTF">2020-01-19T19:49:39Z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favicon">
    <vt:lpwstr>cnfg/icons/favicon.png</vt:lpwstr>
  </property>
  <property fmtid="{D5CDD505-2E9C-101B-9397-08002B2CF9AE}" pid="10" name="github-repo">
    <vt:lpwstr>flavjack/rticles/issues</vt:lpwstr>
  </property>
  <property fmtid="{D5CDD505-2E9C-101B-9397-08002B2CF9AE}" pid="11" name="link-citations">
    <vt:lpwstr>True</vt:lpwstr>
  </property>
  <property fmtid="{D5CDD505-2E9C-101B-9397-08002B2CF9AE}" pid="12" name="output">
    <vt:lpwstr/>
  </property>
  <property fmtid="{D5CDD505-2E9C-101B-9397-08002B2CF9AE}" pid="13" name="site">
    <vt:lpwstr>bookdown::bookdown_site</vt:lpwstr>
  </property>
  <property fmtid="{D5CDD505-2E9C-101B-9397-08002B2CF9AE}" pid="14" name="subtitle">
    <vt:lpwstr>www.quipo.org</vt:lpwstr>
  </property>
</Properties>
</file>