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0.png" ContentType="image/png"/>
  <Override PartName="/word/media/rId41.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package</w:t>
      </w:r>
    </w:p>
    <w:p>
      <w:pPr>
        <w:pStyle w:val="Author"/>
      </w:pPr>
      <w:r>
        <w:t xml:space="preserve">Lozano-Isla,</w:t>
      </w:r>
      <w:r>
        <w:t xml:space="preserve"> </w:t>
      </w:r>
      <w:r>
        <w:t xml:space="preserve">Flavio</w:t>
      </w:r>
      <w:r>
        <w:rPr>
          <w:vertAlign w:val="superscript"/>
        </w:rPr>
        <w:t xml:space="preserve">(1,</w:t>
      </w:r>
      <w:r>
        <w:t xml:space="preserve">*</w:t>
      </w:r>
      <w:r>
        <w:rPr>
          <w:vertAlign w:val="superscript"/>
        </w:rPr>
        <w:t xml:space="preserve">)</w:t>
      </w:r>
      <w:r>
        <w:t xml:space="preserve">;</w:t>
      </w:r>
      <w:r>
        <w:t xml:space="preserve"> </w:t>
      </w:r>
      <w:r>
        <w:t xml:space="preserve">Gomez,</w:t>
      </w:r>
      <w:r>
        <w:t xml:space="preserve"> </w:t>
      </w:r>
      <w:r>
        <w:t xml:space="preserve">Jimmy</w:t>
      </w:r>
      <w:r>
        <w:rPr>
          <w:vertAlign w:val="superscript"/>
        </w:rPr>
        <w:t xml:space="preserve">(1)</w:t>
      </w:r>
    </w:p>
    <w:p>
      <w:pPr>
        <w:pStyle w:val="Fecha"/>
      </w:pPr>
      <w:r>
        <w:t xml:space="preserve">2018-10-04</w:t>
      </w:r>
    </w:p>
    <w:p>
      <w:pPr>
        <w:pStyle w:val="Ttulo1"/>
      </w:pPr>
      <w:bookmarkStart w:id="21" w:name="affiliation"/>
      <w:bookmarkEnd w:id="21"/>
      <w:r>
        <w:t xml:space="preserve">Affiliation</w:t>
      </w:r>
    </w:p>
    <w:p>
      <w:pPr>
        <w:pStyle w:val="Compact"/>
        <w:numPr>
          <w:numId w:val="1001"/>
          <w:ilvl w:val="0"/>
        </w:numPr>
      </w:pPr>
      <w:r>
        <w:t xml:space="preserve">Agronomist, Co-founder of Quipo.org, Lima, Perú.</w:t>
      </w:r>
    </w:p>
    <w:p>
      <w:pPr>
        <w:pStyle w:val="FirstParagraph"/>
      </w:pPr>
      <w:r>
        <w:rPr>
          <w:rStyle w:val="VerbatimChar"/>
        </w:rPr>
        <w:t xml:space="preserve">*</w:t>
      </w:r>
      <w:r>
        <w:t xml:space="preserve"> </w:t>
      </w:r>
      <w:r>
        <w:t xml:space="preserve">Corresponding author. E-mail address:</w:t>
      </w:r>
      <w:r>
        <w:t xml:space="preserve"> </w:t>
      </w:r>
      <w:hyperlink r:id="rId22">
        <w:r>
          <w:rPr>
            <w:rStyle w:val="Hipervnculo"/>
          </w:rPr>
          <w:t xml:space="preserve">flavjack@gmail.com</w:t>
        </w:r>
      </w:hyperlink>
      <w:r>
        <w:t xml:space="preserve"> </w:t>
      </w:r>
      <w:r>
        <w:t xml:space="preserve">(F. Lozano-Isla). Tel.: +51 999997400</w:t>
      </w:r>
    </w:p>
    <w:p>
      <w:pPr>
        <w:pStyle w:val="Ttulo1"/>
      </w:pPr>
      <w:bookmarkStart w:id="23" w:name="abstract"/>
      <w:bookmarkEnd w:id="23"/>
      <w:r>
        <w:t xml:space="preserve">Abstract</w:t>
      </w:r>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Textoindependiente"/>
      </w:pPr>
      <w:r>
        <w:rPr>
          <w:b/>
        </w:rPr>
        <w:t xml:space="preserve">Key words:</w:t>
      </w:r>
      <w:r>
        <w:t xml:space="preserve"> </w:t>
      </w:r>
      <w:r>
        <w:t xml:space="preserve">Lorem, ipsum, dolor, sit amet, consectetur.</w:t>
      </w:r>
    </w:p>
    <w:p>
      <w:pPr>
        <w:pStyle w:val="Ttulo1"/>
      </w:pPr>
      <w:bookmarkStart w:id="24" w:name="introduction"/>
      <w:bookmarkEnd w:id="24"/>
      <w:r>
        <w:t xml:space="preserve">Introduction</w:t>
      </w:r>
    </w:p>
    <w:p>
      <w:pPr>
        <w:pStyle w:val="FirstParagraph"/>
      </w:pPr>
      <w:r>
        <w:t xml:space="preserve">Lorem ipsum</w:t>
      </w:r>
      <w:r>
        <w:t xml:space="preserve"> </w:t>
      </w:r>
      <w:r>
        <w:t xml:space="preserve">Lozano-Isla, Campos, Endres, Bezerra-Neto, &amp; Pompelli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(Arroyo-Hern</w:t>
      </w:r>
      <w:r>
        <w:t xml:space="preserve">’andez, De la Cruz, &amp; Miranda-Soberon,</w:t>
      </w:r>
      <w:r>
        <w:t xml:space="preserve"> </w:t>
      </w:r>
      <w:hyperlink w:anchor="ref-arroyo-hernandez2008Dificultades">
        <w:r>
          <w:rPr>
            <w:rStyle w:val="Hipervnculo"/>
          </w:rPr>
          <w:t xml:space="preserve">2008</w:t>
        </w:r>
      </w:hyperlink>
      <w:r>
        <w:t xml:space="preserve">; Bhatnagar-Mathur et al.,</w:t>
      </w:r>
      <w:r>
        <w:t xml:space="preserve"> </w:t>
      </w:r>
      <w:hyperlink w:anchor="ref-bhatnagar-mathur2007Stressinducible">
        <w:r>
          <w:rPr>
            <w:rStyle w:val="Hipervnculo"/>
          </w:rPr>
          <w:t xml:space="preserve">2007</w:t>
        </w:r>
      </w:hyperlink>
      <w:r>
        <w:t xml:space="preserve">; Salas,</w:t>
      </w:r>
      <w:r>
        <w:t xml:space="preserve"> </w:t>
      </w:r>
      <w:hyperlink w:anchor="ref-salas2008Por">
        <w:r>
          <w:rPr>
            <w:rStyle w:val="Hipervnculo"/>
          </w:rPr>
          <w:t xml:space="preserve">2008</w:t>
        </w:r>
      </w:hyperlink>
      <w:r>
        <w:t xml:space="preserve">)</w:t>
      </w:r>
      <w:r>
        <w:t xml:space="preserve">.</w:t>
      </w:r>
    </w:p>
    <w:p>
      <w:pPr>
        <w:pStyle w:val="Textoindependiente"/>
      </w:pPr>
      <w:r>
        <w:t xml:space="preserve">Curabitur tortor</w:t>
      </w:r>
      <w:r>
        <w:t xml:space="preserve"> </w:t>
      </w:r>
      <w:r>
        <w:t xml:space="preserve">(Deblonde, Haverkort, &amp; Ledent,</w:t>
      </w:r>
      <w:r>
        <w:t xml:space="preserve"> </w:t>
      </w:r>
      <w:hyperlink w:anchor="ref-deblonde1999Responses">
        <w:r>
          <w:rPr>
            <w:rStyle w:val="Hipervnculo"/>
          </w:rPr>
          <w:t xml:space="preserve">1999</w:t>
        </w:r>
      </w:hyperlink>
      <w:r>
        <w:t xml:space="preserve">; Stark et al.,</w:t>
      </w:r>
      <w:r>
        <w:t xml:space="preserve"> </w:t>
      </w:r>
      <w:hyperlink w:anchor="ref-stark2013Potato">
        <w:r>
          <w:rPr>
            <w:rStyle w:val="Hipervnculo"/>
          </w:rPr>
          <w:t xml:space="preserve">2013</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5" w:name="materials-and-methods"/>
      <w:bookmarkEnd w:id="25"/>
      <w:r>
        <w:t xml:space="preserve">Materials and Methods</w:t>
      </w:r>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2018</w:t>
        </w:r>
      </w:hyperlink>
      <w:r>
        <w:t xml:space="preserve">)</w:t>
      </w:r>
      <w:r>
        <w:t xml:space="preserve">. The germination analysis and graphics was carried out with the package GerminaR</w:t>
      </w:r>
      <w:r>
        <w:t xml:space="preserve"> </w:t>
      </w:r>
      <w:r>
        <w:t xml:space="preserve">(Lozano Isla, Benites Alfaro, &amp; Pompelli,</w:t>
      </w:r>
      <w:r>
        <w:t xml:space="preserve"> </w:t>
      </w:r>
      <w:hyperlink w:anchor="ref-R-GerminaR">
        <w:r>
          <w:rPr>
            <w:rStyle w:val="Hipervnculo"/>
          </w:rPr>
          <w:t xml:space="preserve">2017</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2017</w:t>
        </w:r>
      </w:hyperlink>
      <w:r>
        <w:t xml:space="preserve">)</w:t>
      </w:r>
      <w:r>
        <w:t xml:space="preserve">. For the multivariate analysis, the principal components analysis (PCA) and cluster hierarchical classification analysis (HCPC) will be used</w:t>
      </w:r>
      <w:r>
        <w:t xml:space="preserve"> </w:t>
      </w:r>
      <w:r>
        <w:t xml:space="preserve">(Husson, Josse, Le, &amp; Mazet,</w:t>
      </w:r>
      <w:r>
        <w:t xml:space="preserve"> </w:t>
      </w:r>
      <w:hyperlink w:anchor="ref-R-FactoMineR">
        <w:r>
          <w:rPr>
            <w:rStyle w:val="Hipervnculo"/>
          </w:rPr>
          <w:t xml:space="preserve">2018</w:t>
        </w:r>
      </w:hyperlink>
      <w:r>
        <w:t xml:space="preserve">)</w:t>
      </w:r>
      <w:r>
        <w:t xml:space="preserve">. The report was generated with the FactoInvestigate package</w:t>
      </w:r>
      <w:r>
        <w:t xml:space="preserve"> </w:t>
      </w:r>
      <w:r>
        <w:t xml:space="preserve">(Thuleau &amp; Husson,</w:t>
      </w:r>
      <w:r>
        <w:t xml:space="preserve"> </w:t>
      </w:r>
      <w:hyperlink w:anchor="ref-R-FactoInvestigate">
        <w:r>
          <w:rPr>
            <w:rStyle w:val="Hipervnculo"/>
          </w:rPr>
          <w:t xml:space="preserve">2018</w:t>
        </w:r>
      </w:hyperlink>
      <w:r>
        <w:t xml:space="preserve">)</w:t>
      </w:r>
      <w:r>
        <w:t xml:space="preserve">.</w:t>
      </w:r>
    </w:p>
    <w:p>
      <w:pPr>
        <w:pStyle w:val="Textoindependiente"/>
      </w:pPr>
      <w:r>
        <w:t xml:space="preserve">The vertical bars represent the means (±SE). The mean differences between the groups are represented by different capital letters and into the group different lowercase letters (SNK, p = 0.05).</w:t>
      </w:r>
    </w:p>
    <w:p>
      <w:pPr>
        <w:pStyle w:val="Textoindependiente"/>
      </w:pPr>
      <w:r>
        <w:t xml:space="preserve">More information about multivarite analysis in</w:t>
      </w:r>
      <w:r>
        <w:t xml:space="preserve"> </w:t>
      </w:r>
      <w:hyperlink r:id="rId26">
        <w:r>
          <w:rPr>
            <w:rStyle w:val="Hipervnculo"/>
          </w:rPr>
          <w:t xml:space="preserve">http://factominer.free.fr/index.html</w:t>
        </w:r>
      </w:hyperlink>
      <w:r>
        <w:t xml:space="preserve">. Explanation for intepretation and analysis:</w:t>
      </w:r>
    </w:p>
    <w:p>
      <w:pPr>
        <w:pStyle w:val="Textoindependiente"/>
      </w:pPr>
      <w:r>
        <w:t xml:space="preserve">PCA:</w:t>
      </w:r>
      <w:r>
        <w:t xml:space="preserve"> </w:t>
      </w:r>
      <w:hyperlink r:id="rId27">
        <w:r>
          <w:rPr>
            <w:rStyle w:val="Hipervnculo"/>
          </w:rPr>
          <w:t xml:space="preserve">https://www.youtube.com/watch?v=pks8m2ka7Pk&amp;feature=youtu.be</w:t>
        </w:r>
      </w:hyperlink>
      <w:r>
        <w:t xml:space="preserve"> </w:t>
      </w:r>
      <w:r>
        <w:t xml:space="preserve">HCPC:</w:t>
      </w:r>
      <w:r>
        <w:t xml:space="preserve"> </w:t>
      </w:r>
      <w:hyperlink r:id="rId28">
        <w:r>
          <w:rPr>
            <w:rStyle w:val="Hipervnculo"/>
          </w:rPr>
          <w:t xml:space="preserve">https://www.youtube.com/watch?v=4XrgWmN9erg</w:t>
        </w:r>
      </w:hyperlink>
    </w:p>
    <w:p>
      <w:pPr>
        <w:pStyle w:val="Ttulo2"/>
      </w:pPr>
      <w:bookmarkStart w:id="29" w:name="data-set"/>
      <w:bookmarkEnd w:id="29"/>
      <w:r>
        <w:t xml:space="preserve">Data set</w:t>
      </w:r>
    </w:p>
    <w:p>
      <w:pPr>
        <w:pStyle w:val="FirstParagraph"/>
      </w:pPr>
      <w:r>
        <w:t xml:space="preserve">The data set used for this analysis is available in the following link:</w:t>
      </w:r>
      <w:r>
        <w:t xml:space="preserve"> </w:t>
      </w:r>
      <w:hyperlink r:id="rId30">
        <w:r>
          <w:rPr>
            <w:rStyle w:val="Hipervnculo"/>
          </w:rPr>
          <w:t xml:space="preserve">DATA SET</w:t>
        </w:r>
      </w:hyperlink>
    </w:p>
    <w:p>
      <w:pPr>
        <w:pStyle w:val="Ttulo2"/>
      </w:pPr>
      <w:bookmarkStart w:id="31" w:name="nulla-metus-metus"/>
      <w:bookmarkEnd w:id="31"/>
      <w:r>
        <w:t xml:space="preserve">Nulla metus metus</w:t>
      </w:r>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2" w:name="result"/>
      <w:bookmarkEnd w:id="32"/>
      <w:r>
        <w:t xml:space="preserve">Result</w:t>
      </w:r>
    </w:p>
    <w:p>
      <w:pPr>
        <w:pStyle w:val="Ttulo2"/>
      </w:pPr>
      <w:bookmarkStart w:id="33" w:name="sed-convallis-tristique-sem"/>
      <w:bookmarkEnd w:id="33"/>
      <w:r>
        <w:t xml:space="preserve">Sed convallis tristique sem</w:t>
      </w:r>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Textoindependiente"/>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type="textWrapping"/>
      </w:r>
      <w:r>
        <w:br w:type="textWrapping"/>
      </w:r>
      <w:r>
        <w:rPr>
          <w:rStyle w:val="KeywordTok"/>
        </w:rPr>
        <w:t xml:space="preserve">library</w:t>
      </w:r>
      <w:r>
        <w:rPr>
          <w:rStyle w:val="NormalTok"/>
        </w:rPr>
        <w:t xml:space="preserve">(GerminaR)</w:t>
      </w:r>
      <w:r>
        <w:br w:type="textWrapping"/>
      </w:r>
      <w:r>
        <w:br w:type="textWrapping"/>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mutate</w:t>
      </w:r>
      <w:r>
        <w:rPr>
          <w:rStyle w:val="NormalTok"/>
        </w:rPr>
        <w:t xml:space="preserve">( </w:t>
      </w:r>
      <w:r>
        <w:rPr>
          <w:rStyle w:val="DataTypeTok"/>
        </w:rPr>
        <w:t xml:space="preserve">nacl =</w:t>
      </w:r>
      <w:r>
        <w:rPr>
          <w:rStyle w:val="NormalTok"/>
        </w:rPr>
        <w:t xml:space="preserve"> </w:t>
      </w:r>
      <w:r>
        <w:rPr>
          <w:rStyle w:val="KeywordTok"/>
        </w:rPr>
        <w:t xml:space="preserve">as.factor</w:t>
      </w:r>
      <w:r>
        <w:rPr>
          <w:rStyle w:val="NormalTok"/>
        </w:rPr>
        <w:t xml:space="preserve">(nacl), </w:t>
      </w:r>
      <w:r>
        <w:rPr>
          <w:rStyle w:val="DataTypeTok"/>
        </w:rPr>
        <w:t xml:space="preserve">temp =</w:t>
      </w:r>
      <w:r>
        <w:rPr>
          <w:rStyle w:val="NormalTok"/>
        </w:rPr>
        <w:t xml:space="preserve"> </w:t>
      </w:r>
      <w:r>
        <w:rPr>
          <w:rStyle w:val="KeywordTok"/>
        </w:rPr>
        <w:t xml:space="preserve">as.factor</w:t>
      </w:r>
      <w:r>
        <w:rPr>
          <w:rStyle w:val="NormalTok"/>
        </w:rPr>
        <w:t xml:space="preserve">(temp), </w:t>
      </w:r>
      <w:r>
        <w:rPr>
          <w:rStyle w:val="DataTypeTok"/>
        </w:rPr>
        <w:t xml:space="preserve">rep =</w:t>
      </w:r>
      <w:r>
        <w:rPr>
          <w:rStyle w:val="NormalTok"/>
        </w:rPr>
        <w:t xml:space="preserve"> </w:t>
      </w:r>
      <w:r>
        <w:rPr>
          <w:rStyle w:val="KeywordTok"/>
        </w:rPr>
        <w:t xml:space="preserve">as.factor</w:t>
      </w:r>
      <w:r>
        <w:rPr>
          <w:rStyle w:val="NormalTok"/>
        </w:rPr>
        <w:t xml:space="preserve">(rep))</w:t>
      </w:r>
      <w:r>
        <w:br w:type="textWrapping"/>
      </w:r>
      <w:r>
        <w:br w:type="textWrapping"/>
      </w:r>
      <w:r>
        <w:rPr>
          <w:rStyle w:val="CommentTok"/>
        </w:rPr>
        <w:t xml:space="preserve"># germination analysis</w:t>
      </w:r>
      <w:r>
        <w:br w:type="textWrapping"/>
      </w:r>
      <w:r>
        <w:br w:type="textWrapping"/>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type="textWrapping"/>
      </w:r>
      <w:r>
        <w:rPr>
          <w:rStyle w:val="KeywordTok"/>
        </w:rPr>
        <w:t xml:space="preserve">str</w:t>
      </w:r>
      <w:r>
        <w:rPr>
          <w:rStyle w:val="NormalTok"/>
        </w:rPr>
        <w:t xml:space="preserve">(gsm)</w:t>
      </w:r>
      <w:r>
        <w:br w:type="textWrapping"/>
      </w:r>
      <w:r>
        <w:br w:type="textWrapping"/>
      </w:r>
      <w:r>
        <w:rPr>
          <w:rStyle w:val="CommentTok"/>
        </w:rPr>
        <w:t xml:space="preserve"># analisys of variance</w:t>
      </w:r>
      <w:r>
        <w:br w:type="textWrapping"/>
      </w:r>
      <w:r>
        <w:br w:type="textWrapping"/>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type="textWrapping"/>
      </w:r>
      <w:r>
        <w:rPr>
          <w:rStyle w:val="KeywordTok"/>
        </w:rPr>
        <w:t xml:space="preserve">summary</w:t>
      </w:r>
      <w:r>
        <w:rPr>
          <w:rStyle w:val="NormalTok"/>
        </w:rPr>
        <w:t xml:space="preserve">(av)</w:t>
      </w:r>
      <w:r>
        <w:br w:type="textWrapping"/>
      </w:r>
      <w:r>
        <w:br w:type="textWrapping"/>
      </w:r>
      <w:r>
        <w:rPr>
          <w:rStyle w:val="CommentTok"/>
        </w:rPr>
        <w:t xml:space="preserve"># mean comparision test</w:t>
      </w:r>
      <w:r>
        <w:br w:type="textWrapping"/>
      </w:r>
      <w:r>
        <w:br w:type="textWrapping"/>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4" w:name="class-aptent-taciti"/>
      <w:bookmarkEnd w:id="34"/>
      <w:r>
        <w:t xml:space="preserve">Class aptent taciti</w:t>
      </w:r>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5" w:name="discussion"/>
      <w:bookmarkEnd w:id="35"/>
      <w:r>
        <w:t xml:space="preserve">Discussion</w:t>
      </w:r>
    </w:p>
    <w:p>
      <w:pPr>
        <w:pStyle w:val="FirstParagraph"/>
      </w:pPr>
      <w:r>
        <w:t xml:space="preserve">Curabitur tortor</w:t>
      </w:r>
      <w:r>
        <w:t xml:space="preserve"> </w:t>
      </w:r>
      <w:r>
        <w:t xml:space="preserve">Lozano Isla, Gomez Carrion, Benites Alfaro, &amp; De Mendiburu (</w:t>
      </w:r>
      <w:hyperlink w:anchor="ref-lozano-isla2018Yupana">
        <w:r>
          <w:rPr>
            <w:rStyle w:val="Hipervnculo"/>
          </w:rPr>
          <w:t xml:space="preserve">2018</w:t>
        </w:r>
      </w:hyperlink>
      <w:r>
        <w:t xml:space="preserve">)</w:t>
      </w:r>
      <w:r>
        <w:t xml:space="preserve">,</w:t>
      </w:r>
      <w:r>
        <w:t xml:space="preserve"> </w:t>
      </w:r>
      <w:r>
        <w:t xml:space="preserve">Lozano-Isla et al. (</w:t>
      </w:r>
      <w:hyperlink w:anchor="ref-lozano-isla2018Effects">
        <w:r>
          <w:rPr>
            <w:rStyle w:val="Hipervnculo"/>
          </w:rPr>
          <w:t xml:space="preserve">2018</w:t>
        </w:r>
      </w:hyperlink>
      <w:r>
        <w:t xml:space="preserve">)</w:t>
      </w:r>
      <w:r>
        <w:t xml:space="preserve">, and</w:t>
      </w:r>
      <w:r>
        <w:t xml:space="preserve"> </w:t>
      </w:r>
      <w:r>
        <w:t xml:space="preserve">Tan, Truong, Thanh, &amp; Tuyet (</w:t>
      </w:r>
      <w:hyperlink w:anchor="ref-tan2014effects">
        <w:r>
          <w:rPr>
            <w:rStyle w:val="Hipervnculo"/>
          </w:rPr>
          <w:t xml:space="preserve">2014</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extoindependiente"/>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(Arroyo-Hern</w:t>
      </w:r>
      <w:r>
        <w:t xml:space="preserve">’andez et al.,</w:t>
      </w:r>
      <w:r>
        <w:t xml:space="preserve"> </w:t>
      </w:r>
      <w:hyperlink w:anchor="ref-arroyo-hernandez2008Dificultades">
        <w:r>
          <w:rPr>
            <w:rStyle w:val="Hipervnculo"/>
          </w:rPr>
          <w:t xml:space="preserve">2008</w:t>
        </w:r>
      </w:hyperlink>
      <w:r>
        <w:t xml:space="preserve">; Blum,</w:t>
      </w:r>
      <w:r>
        <w:t xml:space="preserve"> </w:t>
      </w:r>
      <w:hyperlink w:anchor="ref-blum2005Drought">
        <w:r>
          <w:rPr>
            <w:rStyle w:val="Hipervnculo"/>
          </w:rPr>
          <w:t xml:space="preserve">2005</w:t>
        </w:r>
      </w:hyperlink>
      <w:r>
        <w:t xml:space="preserve">; Liu, Jensen, Shahanzari, Andersen, &amp; Jacobsen,</w:t>
      </w:r>
      <w:r>
        <w:t xml:space="preserve"> </w:t>
      </w:r>
      <w:hyperlink w:anchor="ref-liu2005ABA">
        <w:r>
          <w:rPr>
            <w:rStyle w:val="Hipervnculo"/>
          </w:rPr>
          <w:t xml:space="preserve">2005</w:t>
        </w:r>
      </w:hyperlink>
      <w:r>
        <w:t xml:space="preserve">)</w:t>
      </w:r>
      <w:r>
        <w:t xml:space="preserve">.</w:t>
      </w:r>
    </w:p>
    <w:p>
      <w:pPr>
        <w:pStyle w:val="Ttulo1"/>
      </w:pPr>
      <w:bookmarkStart w:id="36" w:name="conclusions"/>
      <w:bookmarkEnd w:id="36"/>
      <w:r>
        <w:t xml:space="preserve">Conclusions</w:t>
      </w:r>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7" w:name="acknowledgments"/>
      <w:bookmarkEnd w:id="37"/>
      <w:r>
        <w:t xml:space="preserve">Acknowledgments</w:t>
      </w:r>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8" w:name="tables"/>
      <w:bookmarkEnd w:id="38"/>
      <w:r>
        <w:t xml:space="preserve">Tables</w:t>
      </w:r>
    </w:p>
    <w:p>
      <w:pPr>
        <w:pStyle w:val="TableCaption"/>
      </w:pPr>
      <w:r>
        <w:t xml:space="preserve">Table 1 Main functions in the GerminaR R package for seed germination variables and graphical analysis.</w:t>
      </w:r>
    </w:p>
    <w:tbl>
      <w:tblPr>
        <w:tblStyle w:val="TableNormal"/>
        <w:tblW w:type="pct" w:w="0.0"/>
        <w:tblLook w:firstRow="1"/>
        <w:tblCaption w:val="Table 1 Main functions in the GerminaR R package for seed germination variables and graphical analysis."/>
      </w:tblPr>
      <w:tblGrid/>
      <w:tr>
        <w:trPr>
          <w:cnfStyle w:firstRow="1"/>
        </w:trPr>
        <w:tc>
          <w:tcPr>
            <w:tcBorders>
              <w:bottom w:val="single"/>
            </w:tcBorders>
            <w:vAlign w:val="bottom"/>
          </w:tcPr>
          <w:p>
            <w:pPr>
              <w:pStyle w:val="Compact"/>
              <w:jc w:val="left"/>
            </w:pPr>
            <w:r>
              <w:t xml:space="preserve">Function</w:t>
            </w:r>
          </w:p>
        </w:tc>
        <w:tc>
          <w:tcPr>
            <w:tcBorders>
              <w:bottom w:val="single"/>
            </w:tcBorders>
            <w:vAlign w:val="bottom"/>
          </w:tcPr>
          <w:p>
            <w:pPr>
              <w:pStyle w:val="Compact"/>
              <w:jc w:val="left"/>
            </w:pPr>
            <w:r>
              <w:t xml:space="preserve">Description</w:t>
            </w:r>
          </w:p>
        </w:tc>
      </w:tr>
      <w:tr>
        <w:tc>
          <w:p>
            <w:pPr>
              <w:pStyle w:val="Compact"/>
              <w:jc w:val="left"/>
            </w:pPr>
            <w:r>
              <w:t xml:space="preserve">ger_summary</w:t>
            </w:r>
          </w:p>
        </w:tc>
        <w:tc>
          <w:p>
            <w:pPr>
              <w:pStyle w:val="Compact"/>
              <w:jc w:val="left"/>
            </w:pPr>
            <w:r>
              <w:t xml:space="preserve">Calculate ten germination indices maintaining the factors levels for analysis of variance</w:t>
            </w:r>
          </w:p>
        </w:tc>
      </w:tr>
      <w:tr>
        <w:tc>
          <w:p>
            <w:pPr>
              <w:pStyle w:val="Compact"/>
              <w:jc w:val="left"/>
            </w:pPr>
            <w:r>
              <w:t xml:space="preserve">ger_intime</w:t>
            </w:r>
          </w:p>
        </w:tc>
        <w:tc>
          <w:p>
            <w:pPr>
              <w:pStyle w:val="Compact"/>
              <w:jc w:val="left"/>
            </w:pPr>
            <w:r>
              <w:t xml:space="preserve">Calculates and displays cumulative germination data.</w:t>
            </w:r>
          </w:p>
        </w:tc>
      </w:tr>
      <w:tr>
        <w:tc>
          <w:p>
            <w:pPr>
              <w:pStyle w:val="Compact"/>
              <w:jc w:val="left"/>
            </w:pPr>
            <w:r>
              <w:t xml:space="preserve">fplot</w:t>
            </w:r>
          </w:p>
        </w:tc>
        <w:tc>
          <w:p>
            <w:pPr>
              <w:pStyle w:val="Compact"/>
              <w:jc w:val="left"/>
            </w:pPr>
            <w:r>
              <w:t xml:space="preserve">Function that allows to graphic the results in bar or line plot.</w:t>
            </w:r>
          </w:p>
        </w:tc>
      </w:tr>
      <w:tr>
        <w:tc>
          <w:p>
            <w:pPr>
              <w:pStyle w:val="Compact"/>
              <w:jc w:val="left"/>
            </w:pPr>
            <w:r>
              <w:t xml:space="preserve">GerminaQuant</w:t>
            </w:r>
          </w:p>
        </w:tc>
        <w:tc>
          <w:p>
            <w:pPr>
              <w:pStyle w:val="Compact"/>
              <w:jc w:val="left"/>
            </w:pPr>
            <w:r>
              <w:t xml:space="preserve">Runs the interactive application in offline mode for use on a personal computer.</w:t>
            </w:r>
          </w:p>
        </w:tc>
      </w:tr>
      <w:tr>
        <w:tc>
          <w:p>
            <w:pPr>
              <w:pStyle w:val="Compact"/>
              <w:jc w:val="left"/>
            </w:pPr>
            <w:r>
              <w:t xml:space="preserve">prosopis</w:t>
            </w:r>
          </w:p>
        </w:tc>
        <w:tc>
          <w:p>
            <w:pPr>
              <w:pStyle w:val="Compact"/>
              <w:jc w:val="left"/>
            </w:pPr>
            <w:r>
              <w:t xml:space="preserve">Dataset with germination experiment in</w:t>
            </w:r>
            <w:r>
              <w:t xml:space="preserve"> </w:t>
            </w:r>
            <w:r>
              <w:rPr>
                <w:i/>
              </w:rPr>
              <w:t xml:space="preserve">Prosopis juliflor</w:t>
            </w:r>
            <w:r>
              <w:t xml:space="preserve"> </w:t>
            </w:r>
            <w:r>
              <w:t xml:space="preserve">seeds under under different osmotic potentials and temperatures.</w:t>
            </w:r>
          </w:p>
        </w:tc>
      </w:tr>
    </w:tbl>
    <w:p>
      <w:pPr>
        <w:pStyle w:val="Ttulo1"/>
      </w:pPr>
      <w:bookmarkStart w:id="39" w:name="figures"/>
      <w:bookmarkEnd w:id="39"/>
      <w:r>
        <w:t xml:space="preserve">Figures</w:t>
      </w:r>
    </w:p>
    <w:p>
      <w:pPr>
        <w:pStyle w:val="FigureWithCaption"/>
      </w:pPr>
      <w:r>
        <w:drawing>
          <wp:inline>
            <wp:extent cx="5397500" cy="3392783"/>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img/fig_gerplot.png" id="0" name="Picture"/>
                    <pic:cNvPicPr>
                      <a:picLocks noChangeArrowheads="1" noChangeAspect="1"/>
                    </pic:cNvPicPr>
                  </pic:nvPicPr>
                  <pic:blipFill>
                    <a:blip r:embed="rId40"/>
                    <a:stretch>
                      <a:fillRect/>
                    </a:stretch>
                  </pic:blipFill>
                  <pic:spPr bwMode="auto">
                    <a:xfrm>
                      <a:off x="0" y="0"/>
                      <a:ext cx="5397500" cy="3392783"/>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pPr>
        <w:pStyle w:val="FigureWithCaption"/>
      </w:pPr>
      <w:r>
        <w:drawing>
          <wp:inline>
            <wp:extent cx="3792160" cy="3217220"/>
            <wp:effectExtent b="0" l="0" r="0" t="0"/>
            <wp:docPr descr="Figure 2 Plant of Jatropha curcas. A) Foliage, B) Leaf, C) Fruit." title="" id="1" name="Picture"/>
            <a:graphic>
              <a:graphicData uri="http://schemas.openxmlformats.org/drawingml/2006/picture">
                <pic:pic>
                  <pic:nvPicPr>
                    <pic:cNvPr descr="img/fig_jcurcas.png" id="0" name="Picture"/>
                    <pic:cNvPicPr>
                      <a:picLocks noChangeArrowheads="1" noChangeAspect="1"/>
                    </pic:cNvPicPr>
                  </pic:nvPicPr>
                  <pic:blipFill>
                    <a:blip r:embed="rId41"/>
                    <a:stretch>
                      <a:fillRect/>
                    </a:stretch>
                  </pic:blipFill>
                  <pic:spPr bwMode="auto">
                    <a:xfrm>
                      <a:off x="0" y="0"/>
                      <a:ext cx="3792160" cy="3217220"/>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pPr>
        <w:pStyle w:val="FigureWithCaption"/>
      </w:pPr>
      <w:r>
        <w:drawing>
          <wp:inline>
            <wp:extent cx="5397500" cy="5343089"/>
            <wp:effectExtent b="0" l="0" r="0" t="0"/>
            <wp:docPr descr="Figure 3 Multivariate Analysis: Principal component Analysis and Hierarchical Clustering Analysis." title="" id="1" name="Picture"/>
            <a:graphic>
              <a:graphicData uri="http://schemas.openxmlformats.org/drawingml/2006/picture">
                <pic:pic>
                  <pic:nvPicPr>
                    <pic:cNvPr descr="img/fig_mv.png" id="0" name="Picture"/>
                    <pic:cNvPicPr>
                      <a:picLocks noChangeArrowheads="1" noChangeAspect="1"/>
                    </pic:cNvPicPr>
                  </pic:nvPicPr>
                  <pic:blipFill>
                    <a:blip r:embed="rId42"/>
                    <a:stretch>
                      <a:fillRect/>
                    </a:stretch>
                  </pic:blipFill>
                  <pic:spPr bwMode="auto">
                    <a:xfrm>
                      <a:off x="0" y="0"/>
                      <a:ext cx="5397500" cy="5343089"/>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p>
      <w:pPr>
        <w:pStyle w:val="Compact"/>
      </w:pPr>
    </w:p>
    <w:p>
      <w:pPr>
        <w:pStyle w:val="Compact"/>
      </w:pPr>
      <w:r>
        <w:t xml:space="preserve">Download</w:t>
      </w:r>
    </w:p>
    <w:p>
      <w:pPr>
        <w:pStyle w:val="Textoindependiente"/>
      </w:pPr>
    </w:p>
    <w:p>
      <w:pPr>
        <w:pStyle w:val="Ttulo1"/>
      </w:pPr>
      <w:bookmarkStart w:id="43" w:name="references"/>
      <w:bookmarkEnd w:id="43"/>
      <w:r>
        <w:t xml:space="preserve">References</w:t>
      </w:r>
    </w:p>
    <w:p>
      <w:pPr>
        <w:pStyle w:val="Bibliografa"/>
      </w:pPr>
      <w:r>
        <w:t xml:space="preserve">Arroyo-Hern</w:t>
      </w:r>
      <w:r>
        <w:t xml:space="preserve">’andez, C. H., De la Cruz, W., &amp; Miranda-Soberon, U. E. (2008). Dificultades para el desarrollo de investigaciones en pregrado en una universidad pública de provincia, Perú.</w:t>
      </w:r>
      <w:r>
        <w:t xml:space="preserve"> </w:t>
      </w:r>
      <w:r>
        <w:rPr>
          <w:i/>
        </w:rPr>
        <w:t xml:space="preserve">Revista Peruana de Medicina Experimental Y Salud Publica</w:t>
      </w:r>
      <w:r>
        <w:t xml:space="preserve">,</w:t>
      </w:r>
      <w:r>
        <w:t xml:space="preserve"> </w:t>
      </w:r>
      <w:r>
        <w:rPr>
          <w:i/>
        </w:rPr>
        <w:t xml:space="preserve">25</w:t>
      </w:r>
      <w:r>
        <w:t xml:space="preserve">(4), 448–448.</w:t>
      </w:r>
    </w:p>
    <w:p>
      <w:pPr>
        <w:pStyle w:val="Bibliografa"/>
      </w:pPr>
      <w:r>
        <w:t xml:space="preserve">Bhatnagar-Mathur, P., Devi, M. J., Reddy, D. S., Lavanya, M., Vadez, V., Serraj, R., … Sharma, K. K. (2007). Stress-inducible expression of At DREB1A in transgenic peanut (Arachis hypogaea L.) increases transpiration efficiency under water-limiting conditions.</w:t>
      </w:r>
      <w:r>
        <w:t xml:space="preserve"> </w:t>
      </w:r>
      <w:r>
        <w:rPr>
          <w:i/>
        </w:rPr>
        <w:t xml:space="preserve">Plant Cell Reports</w:t>
      </w:r>
      <w:r>
        <w:t xml:space="preserve">,</w:t>
      </w:r>
      <w:r>
        <w:t xml:space="preserve"> </w:t>
      </w:r>
      <w:r>
        <w:rPr>
          <w:i/>
        </w:rPr>
        <w:t xml:space="preserve">26</w:t>
      </w:r>
      <w:r>
        <w:t xml:space="preserve">(12), 2071–2082.</w:t>
      </w:r>
      <w:r>
        <w:t xml:space="preserve"> </w:t>
      </w:r>
      <w:hyperlink r:id="rId44">
        <w:r>
          <w:rPr>
            <w:rStyle w:val="Hipervnculo"/>
          </w:rPr>
          <w:t xml:space="preserve">https://doi.org/10.1007/s00299-007-0406-8</w:t>
        </w:r>
      </w:hyperlink>
    </w:p>
    <w:p>
      <w:pPr>
        <w:pStyle w:val="Bibliografa"/>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45">
        <w:r>
          <w:rPr>
            <w:rStyle w:val="Hipervnculo"/>
          </w:rPr>
          <w:t xml:space="preserve">https://doi.org/10.1071/AR05069</w:t>
        </w:r>
      </w:hyperlink>
    </w:p>
    <w:p>
      <w:pPr>
        <w:pStyle w:val="Bibliografa"/>
      </w:pPr>
      <w:r>
        <w:t xml:space="preserve">de Mendiburu, F. (2017).</w:t>
      </w:r>
      <w:r>
        <w:t xml:space="preserve"> </w:t>
      </w:r>
      <w:r>
        <w:rPr>
          <w:i/>
        </w:rPr>
        <w:t xml:space="preserve">Agricolae: Statistical procedures for agricultural research</w:t>
      </w:r>
      <w:r>
        <w:t xml:space="preserve">. Retrieved from</w:t>
      </w:r>
      <w:r>
        <w:t xml:space="preserve"> </w:t>
      </w:r>
      <w:hyperlink r:id="rId46">
        <w:r>
          <w:rPr>
            <w:rStyle w:val="Hipervnculo"/>
          </w:rPr>
          <w:t xml:space="preserve">https://CRAN.R-project.org/package=agricolae</w:t>
        </w:r>
      </w:hyperlink>
    </w:p>
    <w:p>
      <w:pPr>
        <w:pStyle w:val="Bibliografa"/>
      </w:pPr>
      <w:r>
        <w:t xml:space="preserve">Deblonde, P., Haverkort, A., &amp; Ledent, J. (1999). Responses of early and late potato cultivars to moderate drought conditions: Agronomic parameters and carbon isotope discrimination.</w:t>
      </w:r>
      <w:r>
        <w:t xml:space="preserve"> </w:t>
      </w:r>
      <w:r>
        <w:rPr>
          <w:i/>
        </w:rPr>
        <w:t xml:space="preserve">European Journal of Agronomy</w:t>
      </w:r>
      <w:r>
        <w:t xml:space="preserve">,</w:t>
      </w:r>
      <w:r>
        <w:t xml:space="preserve"> </w:t>
      </w:r>
      <w:r>
        <w:rPr>
          <w:i/>
        </w:rPr>
        <w:t xml:space="preserve">11</w:t>
      </w:r>
      <w:r>
        <w:t xml:space="preserve">(2), 91–105.</w:t>
      </w:r>
      <w:r>
        <w:t xml:space="preserve"> </w:t>
      </w:r>
      <w:hyperlink r:id="rId47">
        <w:r>
          <w:rPr>
            <w:rStyle w:val="Hipervnculo"/>
          </w:rPr>
          <w:t xml:space="preserve">https://doi.org/10.1016/S1161-0301(99)00019-2</w:t>
        </w:r>
      </w:hyperlink>
    </w:p>
    <w:p>
      <w:pPr>
        <w:pStyle w:val="Bibliografa"/>
      </w:pPr>
      <w:r>
        <w:t xml:space="preserve">Husson, F., Josse, J., Le, S., &amp; Mazet, J. (2018).</w:t>
      </w:r>
      <w:r>
        <w:t xml:space="preserve"> </w:t>
      </w:r>
      <w:r>
        <w:rPr>
          <w:i/>
        </w:rPr>
        <w:t xml:space="preserve">FactoMineR: Multivariate exploratory data analysis and data mining</w:t>
      </w:r>
      <w:r>
        <w:t xml:space="preserve">. Retrieved from</w:t>
      </w:r>
      <w:r>
        <w:t xml:space="preserve"> </w:t>
      </w:r>
      <w:hyperlink r:id="rId48">
        <w:r>
          <w:rPr>
            <w:rStyle w:val="Hipervnculo"/>
          </w:rPr>
          <w:t xml:space="preserve">https://CRAN.R-project.org/package=FactoMineR</w:t>
        </w:r>
      </w:hyperlink>
    </w:p>
    <w:p>
      <w:pPr>
        <w:pStyle w:val="Bibliografa"/>
      </w:pPr>
      <w:r>
        <w:t xml:space="preserve">Liu, F., Jensen, C. R., Shahanzari, A., Andersen, M. N., &amp; Jacobsen, S.-E. (2005). ABA regulated stomatal control and photosynthetic water use efficiency of potato (Solanum tuberosum L.) during progressive soil drying.</w:t>
      </w:r>
      <w:r>
        <w:t xml:space="preserve"> </w:t>
      </w:r>
      <w:r>
        <w:rPr>
          <w:i/>
        </w:rPr>
        <w:t xml:space="preserve">Plant Science</w:t>
      </w:r>
      <w:r>
        <w:t xml:space="preserve">,</w:t>
      </w:r>
      <w:r>
        <w:t xml:space="preserve"> </w:t>
      </w:r>
      <w:r>
        <w:rPr>
          <w:i/>
        </w:rPr>
        <w:t xml:space="preserve">168</w:t>
      </w:r>
      <w:r>
        <w:t xml:space="preserve">(3), 831–836.</w:t>
      </w:r>
      <w:r>
        <w:t xml:space="preserve"> </w:t>
      </w:r>
      <w:hyperlink r:id="rId49">
        <w:r>
          <w:rPr>
            <w:rStyle w:val="Hipervnculo"/>
          </w:rPr>
          <w:t xml:space="preserve">https://doi.org/10.1016/j.plantsci.2004.10.016</w:t>
        </w:r>
      </w:hyperlink>
    </w:p>
    <w:p>
      <w:pPr>
        <w:pStyle w:val="Bibliografa"/>
      </w:pPr>
      <w:r>
        <w:t xml:space="preserve">Lozano Isla, F., Benites Alfaro, O., &amp; Pompelli, M. F. (2017).</w:t>
      </w:r>
      <w:r>
        <w:t xml:space="preserve"> </w:t>
      </w:r>
      <w:r>
        <w:rPr>
          <w:i/>
        </w:rPr>
        <w:t xml:space="preserve">GerminaR: Germination indexes for seed germination variables for ecophysiological studies</w:t>
      </w:r>
      <w:r>
        <w:t xml:space="preserve">. Retrieved from</w:t>
      </w:r>
      <w:r>
        <w:t xml:space="preserve"> </w:t>
      </w:r>
      <w:hyperlink r:id="rId50">
        <w:r>
          <w:rPr>
            <w:rStyle w:val="Hipervnculo"/>
          </w:rPr>
          <w:t xml:space="preserve">https://CRAN.R-project.org/package=GerminaR</w:t>
        </w:r>
      </w:hyperlink>
    </w:p>
    <w:p>
      <w:pPr>
        <w:pStyle w:val="Bibliografa"/>
      </w:pPr>
      <w:r>
        <w:t xml:space="preserve">Lozano Isla, F., Gomez Carrion, J., Benites Alfaro, O., &amp; De Mendiburu, F. (2018). Yupana: Herramienta web interactiva para el análisis de datos en la investigación agropecuario e industrial. Perú: Quipo.org.</w:t>
      </w:r>
    </w:p>
    <w:p>
      <w:pPr>
        <w:pStyle w:val="Bibliografa"/>
      </w:pPr>
      <w:r>
        <w:t xml:space="preserve">Lozano-Isla, F., Campos, M. L.,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1">
        <w:r>
          <w:rPr>
            <w:rStyle w:val="Hipervnculo"/>
          </w:rPr>
          <w:t xml:space="preserve">https://doi.org/10.1016/j.indcrop.2018.03.052</w:t>
        </w:r>
      </w:hyperlink>
    </w:p>
    <w:p>
      <w:pPr>
        <w:pStyle w:val="Bibliografa"/>
      </w:pPr>
      <w:r>
        <w:t xml:space="preserve">R Core Team. (2018).</w:t>
      </w:r>
      <w:r>
        <w:t xml:space="preserve"> </w:t>
      </w:r>
      <w:r>
        <w:rPr>
          <w:i/>
        </w:rPr>
        <w:t xml:space="preserve">R: A language and environment for statistical computing</w:t>
      </w:r>
      <w:r>
        <w:t xml:space="preserve">. Vienna, Austria: R Foundation for Statistical Computing. Retrieved from</w:t>
      </w:r>
      <w:r>
        <w:t xml:space="preserve"> </w:t>
      </w:r>
      <w:hyperlink r:id="rId52">
        <w:r>
          <w:rPr>
            <w:rStyle w:val="Hipervnculo"/>
          </w:rPr>
          <w:t xml:space="preserve">https://www.R-project.org/</w:t>
        </w:r>
      </w:hyperlink>
    </w:p>
    <w:p>
      <w:pPr>
        <w:pStyle w:val="Bibliografa"/>
      </w:pPr>
      <w:r>
        <w:t xml:space="preserve">Salas, C. (2008). Por Qué comprar un programa estadístico si existe R?</w:t>
      </w:r>
      <w:r>
        <w:t xml:space="preserve"> </w:t>
      </w:r>
      <w:r>
        <w:rPr>
          <w:i/>
        </w:rPr>
        <w:t xml:space="preserve">Ecología Austral</w:t>
      </w:r>
      <w:r>
        <w:t xml:space="preserve">,</w:t>
      </w:r>
      <w:r>
        <w:t xml:space="preserve"> </w:t>
      </w:r>
      <w:r>
        <w:rPr>
          <w:i/>
        </w:rPr>
        <w:t xml:space="preserve">18</w:t>
      </w:r>
      <w:r>
        <w:t xml:space="preserve">(2), 223–231.</w:t>
      </w:r>
    </w:p>
    <w:p>
      <w:pPr>
        <w:pStyle w:val="Bibliografa"/>
      </w:pPr>
      <w:r>
        <w:t xml:space="preserve">Stark, J. C., Love, S. L., King, B. A., Marshall, J. M., Bohl, W. H., &amp; Salaiz, T. (2013). Potato Cultivar Response to Seasonal Drought Patterns.</w:t>
      </w:r>
      <w:r>
        <w:t xml:space="preserve"> </w:t>
      </w:r>
      <w:r>
        <w:rPr>
          <w:i/>
        </w:rPr>
        <w:t xml:space="preserve">American Journal of Potato Research</w:t>
      </w:r>
      <w:r>
        <w:t xml:space="preserve">,</w:t>
      </w:r>
      <w:r>
        <w:t xml:space="preserve"> </w:t>
      </w:r>
      <w:r>
        <w:rPr>
          <w:i/>
        </w:rPr>
        <w:t xml:space="preserve">90</w:t>
      </w:r>
      <w:r>
        <w:t xml:space="preserve">(3), 207–216.</w:t>
      </w:r>
      <w:r>
        <w:t xml:space="preserve"> </w:t>
      </w:r>
      <w:hyperlink r:id="rId53">
        <w:r>
          <w:rPr>
            <w:rStyle w:val="Hipervnculo"/>
          </w:rPr>
          <w:t xml:space="preserve">https://doi.org/10.1007/s12230-012-9285-9</w:t>
        </w:r>
      </w:hyperlink>
    </w:p>
    <w:p>
      <w:pPr>
        <w:pStyle w:val="Bibliografa"/>
      </w:pPr>
      <w:r>
        <w:t xml:space="preserve">Tan, Q., Truong, A., Thanh, L., &amp; Tuyet, L. (2014). The effects of ethephon on the ripening of Vietnamese Latundan bananas(Musa sapientum).</w:t>
      </w:r>
      <w:r>
        <w:t xml:space="preserve"> </w:t>
      </w:r>
      <w:r>
        <w:rPr>
          <w:i/>
        </w:rPr>
        <w:t xml:space="preserve">Emirates Journal of Food and Agriculture</w:t>
      </w:r>
      <w:r>
        <w:t xml:space="preserve">,</w:t>
      </w:r>
      <w:r>
        <w:t xml:space="preserve"> </w:t>
      </w:r>
      <w:r>
        <w:rPr>
          <w:i/>
        </w:rPr>
        <w:t xml:space="preserve">26</w:t>
      </w:r>
      <w:r>
        <w:t xml:space="preserve">(3), 229.</w:t>
      </w:r>
      <w:r>
        <w:t xml:space="preserve"> </w:t>
      </w:r>
      <w:hyperlink r:id="rId54">
        <w:r>
          <w:rPr>
            <w:rStyle w:val="Hipervnculo"/>
          </w:rPr>
          <w:t xml:space="preserve">https://doi.org/10.9755/ejfa.v26i3.15853</w:t>
        </w:r>
      </w:hyperlink>
    </w:p>
    <w:p>
      <w:pPr>
        <w:pStyle w:val="Bibliografa"/>
      </w:pPr>
      <w:r>
        <w:t xml:space="preserve">Thuleau, S., &amp; Husson, F. (2018).</w:t>
      </w:r>
      <w:r>
        <w:t xml:space="preserve"> </w:t>
      </w:r>
      <w:r>
        <w:rPr>
          <w:i/>
        </w:rPr>
        <w:t xml:space="preserve">FactoInvestigate: Automatic description of factorial analysis</w:t>
      </w:r>
      <w:r>
        <w:t xml:space="preserve">. Retrieved from</w:t>
      </w:r>
      <w:r>
        <w:t xml:space="preserve"> </w:t>
      </w:r>
      <w:hyperlink r:id="rId55">
        <w:r>
          <w:rPr>
            <w:rStyle w:val="Hipervnculo"/>
          </w:rPr>
          <w:t xml:space="preserve">https://CRAN.R-project.org/package=FactoInvestigate</w:t>
        </w:r>
      </w:hyperlink>
    </w:p>
    <w:sectPr w:rsidR="0031376F" w:rsidRPr="00B75E73" w:rsidSect="00766059">
      <w:footerReference w:type="default" r:id="rId8"/>
      <w:pgSz w:w="11907" w:h="16840" w:code="9"/>
      <w:pgMar w:top="1701" w:right="1701" w:bottom="1701" w:left="1701"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9366046"/>
      <w:docPartObj>
        <w:docPartGallery w:val="Page Numbers (Bottom of Page)"/>
        <w:docPartUnique/>
      </w:docPartObj>
    </w:sdtPr>
    <w:sdtEndPr/>
    <w:sdtContent>
      <w:p w:rsidR="004A5E64" w:rsidRDefault="00D479C0">
        <w:pPr>
          <w:pStyle w:val="Piedepgina"/>
          <w:jc w:val="center"/>
        </w:pPr>
        <w:r>
          <w:fldChar w:fldCharType="begin"/>
        </w:r>
        <w:r>
          <w:instrText>PAGE   \* MERGEFORMAT</w:instrText>
        </w:r>
        <w:r>
          <w:fldChar w:fldCharType="separate"/>
        </w:r>
        <w:r w:rsidR="00B75E73" w:rsidRPr="00B75E73">
          <w:rPr>
            <w:noProof/>
            <w:lang w:val="es-ES"/>
          </w:rPr>
          <w:t>1</w:t>
        </w:r>
        <w:r>
          <w:fldChar w:fldCharType="end"/>
        </w:r>
      </w:p>
    </w:sdtContent>
  </w:sdt>
  <w:p w:rsidR="004A5E64" w:rsidRDefault="00D479C0">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1598740"/>
    <w:multiLevelType w:val="multilevel"/>
    <w:tmpl w:val="C6C875A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99B86AB6"/>
    <w:multiLevelType w:val="multilevel"/>
    <w:tmpl w:val="C40A44A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A7B962B3"/>
    <w:multiLevelType w:val="multilevel"/>
    <w:tmpl w:val="EFAE987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CA328FD0"/>
    <w:multiLevelType w:val="multilevel"/>
    <w:tmpl w:val="A080E6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CE0AF940"/>
    <w:multiLevelType w:val="multilevel"/>
    <w:tmpl w:val="C4C0705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E17F69BA"/>
    <w:multiLevelType w:val="multilevel"/>
    <w:tmpl w:val="37C03B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FFE2BC2B"/>
    <w:multiLevelType w:val="multilevel"/>
    <w:tmpl w:val="E6CE15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FFFFFF7C"/>
    <w:multiLevelType w:val="singleLevel"/>
    <w:tmpl w:val="8C8086EA"/>
    <w:lvl w:ilvl="0">
      <w:start w:val="1"/>
      <w:numFmt w:val="decimal"/>
      <w:lvlText w:val="%1."/>
      <w:lvlJc w:val="left"/>
      <w:pPr>
        <w:tabs>
          <w:tab w:val="num" w:pos="1492"/>
        </w:tabs>
        <w:ind w:left="1492" w:hanging="360"/>
      </w:pPr>
    </w:lvl>
  </w:abstractNum>
  <w:abstractNum w:abstractNumId="8" w15:restartNumberingAfterBreak="0">
    <w:nsid w:val="FFFFFF7D"/>
    <w:multiLevelType w:val="singleLevel"/>
    <w:tmpl w:val="B10A8186"/>
    <w:lvl w:ilvl="0">
      <w:start w:val="1"/>
      <w:numFmt w:val="decimal"/>
      <w:lvlText w:val="%1."/>
      <w:lvlJc w:val="left"/>
      <w:pPr>
        <w:tabs>
          <w:tab w:val="num" w:pos="1209"/>
        </w:tabs>
        <w:ind w:left="1209" w:hanging="360"/>
      </w:pPr>
    </w:lvl>
  </w:abstractNum>
  <w:abstractNum w:abstractNumId="9" w15:restartNumberingAfterBreak="0">
    <w:nsid w:val="FFFFFF7E"/>
    <w:multiLevelType w:val="singleLevel"/>
    <w:tmpl w:val="3EC0C8BA"/>
    <w:lvl w:ilvl="0">
      <w:start w:val="1"/>
      <w:numFmt w:val="decimal"/>
      <w:lvlText w:val="%1."/>
      <w:lvlJc w:val="left"/>
      <w:pPr>
        <w:tabs>
          <w:tab w:val="num" w:pos="926"/>
        </w:tabs>
        <w:ind w:left="926" w:hanging="360"/>
      </w:pPr>
    </w:lvl>
  </w:abstractNum>
  <w:abstractNum w:abstractNumId="10" w15:restartNumberingAfterBreak="0">
    <w:nsid w:val="FFFFFF7F"/>
    <w:multiLevelType w:val="singleLevel"/>
    <w:tmpl w:val="C92AD730"/>
    <w:lvl w:ilvl="0">
      <w:start w:val="1"/>
      <w:numFmt w:val="decimal"/>
      <w:lvlText w:val="%1."/>
      <w:lvlJc w:val="left"/>
      <w:pPr>
        <w:tabs>
          <w:tab w:val="num" w:pos="643"/>
        </w:tabs>
        <w:ind w:left="643" w:hanging="360"/>
      </w:pPr>
    </w:lvl>
  </w:abstractNum>
  <w:abstractNum w:abstractNumId="11" w15:restartNumberingAfterBreak="0">
    <w:nsid w:val="FFFFFF80"/>
    <w:multiLevelType w:val="singleLevel"/>
    <w:tmpl w:val="B04AAF32"/>
    <w:lvl w:ilvl="0">
      <w:start w:val="1"/>
      <w:numFmt w:val="bullet"/>
      <w:lvlText w:val=""/>
      <w:lvlJc w:val="left"/>
      <w:pPr>
        <w:tabs>
          <w:tab w:val="num" w:pos="1492"/>
        </w:tabs>
        <w:ind w:left="1492" w:hanging="360"/>
      </w:pPr>
      <w:rPr>
        <w:rFonts w:ascii="Symbol" w:hAnsi="Symbol" w:hint="default"/>
      </w:rPr>
    </w:lvl>
  </w:abstractNum>
  <w:abstractNum w:abstractNumId="12" w15:restartNumberingAfterBreak="0">
    <w:nsid w:val="FFFFFF81"/>
    <w:multiLevelType w:val="singleLevel"/>
    <w:tmpl w:val="95D80E18"/>
    <w:lvl w:ilvl="0">
      <w:start w:val="1"/>
      <w:numFmt w:val="bullet"/>
      <w:lvlText w:val=""/>
      <w:lvlJc w:val="left"/>
      <w:pPr>
        <w:tabs>
          <w:tab w:val="num" w:pos="1209"/>
        </w:tabs>
        <w:ind w:left="1209" w:hanging="360"/>
      </w:pPr>
      <w:rPr>
        <w:rFonts w:ascii="Symbol" w:hAnsi="Symbol" w:hint="default"/>
      </w:rPr>
    </w:lvl>
  </w:abstractNum>
  <w:abstractNum w:abstractNumId="13" w15:restartNumberingAfterBreak="0">
    <w:nsid w:val="FFFFFF82"/>
    <w:multiLevelType w:val="singleLevel"/>
    <w:tmpl w:val="3008E794"/>
    <w:lvl w:ilvl="0">
      <w:start w:val="1"/>
      <w:numFmt w:val="bullet"/>
      <w:lvlText w:val=""/>
      <w:lvlJc w:val="left"/>
      <w:pPr>
        <w:tabs>
          <w:tab w:val="num" w:pos="926"/>
        </w:tabs>
        <w:ind w:left="926" w:hanging="360"/>
      </w:pPr>
      <w:rPr>
        <w:rFonts w:ascii="Symbol" w:hAnsi="Symbol" w:hint="default"/>
      </w:rPr>
    </w:lvl>
  </w:abstractNum>
  <w:abstractNum w:abstractNumId="14" w15:restartNumberingAfterBreak="0">
    <w:nsid w:val="FFFFFF83"/>
    <w:multiLevelType w:val="singleLevel"/>
    <w:tmpl w:val="8A30EDC8"/>
    <w:lvl w:ilvl="0">
      <w:start w:val="1"/>
      <w:numFmt w:val="bullet"/>
      <w:lvlText w:val=""/>
      <w:lvlJc w:val="left"/>
      <w:pPr>
        <w:tabs>
          <w:tab w:val="num" w:pos="643"/>
        </w:tabs>
        <w:ind w:left="643" w:hanging="360"/>
      </w:pPr>
      <w:rPr>
        <w:rFonts w:ascii="Symbol" w:hAnsi="Symbol" w:hint="default"/>
      </w:rPr>
    </w:lvl>
  </w:abstractNum>
  <w:abstractNum w:abstractNumId="15" w15:restartNumberingAfterBreak="0">
    <w:nsid w:val="FFFFFF88"/>
    <w:multiLevelType w:val="singleLevel"/>
    <w:tmpl w:val="F9DAD2A0"/>
    <w:lvl w:ilvl="0">
      <w:start w:val="1"/>
      <w:numFmt w:val="decimal"/>
      <w:lvlText w:val="%1."/>
      <w:lvlJc w:val="left"/>
      <w:pPr>
        <w:tabs>
          <w:tab w:val="num" w:pos="360"/>
        </w:tabs>
        <w:ind w:left="360" w:hanging="360"/>
      </w:pPr>
    </w:lvl>
  </w:abstractNum>
  <w:abstractNum w:abstractNumId="16" w15:restartNumberingAfterBreak="0">
    <w:nsid w:val="FFFFFF89"/>
    <w:multiLevelType w:val="singleLevel"/>
    <w:tmpl w:val="AD9CED28"/>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10B8DBDA"/>
    <w:multiLevelType w:val="multilevel"/>
    <w:tmpl w:val="E85498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19D41332"/>
    <w:multiLevelType w:val="multilevel"/>
    <w:tmpl w:val="89EEF03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9" w15:restartNumberingAfterBreak="0">
    <w:nsid w:val="2C74533E"/>
    <w:multiLevelType w:val="multilevel"/>
    <w:tmpl w:val="C3A89A8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0" w15:restartNumberingAfterBreak="0">
    <w:nsid w:val="33528174"/>
    <w:multiLevelType w:val="multilevel"/>
    <w:tmpl w:val="C3D2EB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1" w15:restartNumberingAfterBreak="0">
    <w:nsid w:val="461C314B"/>
    <w:multiLevelType w:val="multilevel"/>
    <w:tmpl w:val="98E2B2F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2" w15:restartNumberingAfterBreak="0">
    <w:nsid w:val="5042FB7E"/>
    <w:multiLevelType w:val="multilevel"/>
    <w:tmpl w:val="580E87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3" w15:restartNumberingAfterBreak="0">
    <w:nsid w:val="57BE9B21"/>
    <w:multiLevelType w:val="multilevel"/>
    <w:tmpl w:val="888607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4" w15:restartNumberingAfterBreak="0">
    <w:nsid w:val="71694DA8"/>
    <w:multiLevelType w:val="multilevel"/>
    <w:tmpl w:val="3104E1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5" w15:restartNumberingAfterBreak="0">
    <w:nsid w:val="7513C0BE"/>
    <w:multiLevelType w:val="multilevel"/>
    <w:tmpl w:val="DDF0DF1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4cab21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31">
    <w:nsid w:val="c8830b3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5"/>
  </w:num>
  <w:num w:numId="2">
    <w:abstractNumId w:val="17"/>
  </w:num>
  <w:num w:numId="3">
    <w:abstractNumId w:val="15"/>
  </w:num>
  <w:num w:numId="4">
    <w:abstractNumId w:val="10"/>
  </w:num>
  <w:num w:numId="5">
    <w:abstractNumId w:val="9"/>
  </w:num>
  <w:num w:numId="6">
    <w:abstractNumId w:val="8"/>
  </w:num>
  <w:num w:numId="7">
    <w:abstractNumId w:val="7"/>
  </w:num>
  <w:num w:numId="8">
    <w:abstractNumId w:val="16"/>
  </w:num>
  <w:num w:numId="9">
    <w:abstractNumId w:val="14"/>
  </w:num>
  <w:num w:numId="10">
    <w:abstractNumId w:val="13"/>
  </w:num>
  <w:num w:numId="11">
    <w:abstractNumId w:val="12"/>
  </w:num>
  <w:num w:numId="12">
    <w:abstractNumId w:val="11"/>
  </w:num>
  <w:num w:numId="13">
    <w:abstractNumId w:val="21"/>
  </w:num>
  <w:num w:numId="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
    <w:abstractNumId w:val="24"/>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23"/>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3"/>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22"/>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0"/>
  </w:num>
  <w:num w:numId="24">
    <w:abstractNumId w:val="2"/>
  </w:num>
  <w:num w:numId="25">
    <w:abstractNumId w:val="20"/>
  </w:num>
  <w:num w:numId="26">
    <w:abstractNumId w:val="1"/>
  </w: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0812"/>
    <w:pPr>
      <w:spacing w:before="120" w:after="120" w:line="360" w:lineRule="auto"/>
      <w:jc w:val="both"/>
    </w:pPr>
    <w:rPr>
      <w:rFonts w:ascii="Times New Roman" w:hAnsi="Times New Roman"/>
    </w:rPr>
  </w:style>
  <w:style w:type="paragraph" w:styleId="Ttulo1">
    <w:name w:val="heading 1"/>
    <w:basedOn w:val="Normal"/>
    <w:next w:val="Textoindependiente"/>
    <w:link w:val="Ttulo1Car"/>
    <w:uiPriority w:val="9"/>
    <w:qFormat/>
    <w:rsid w:val="004C4652"/>
    <w:pPr>
      <w:keepNext/>
      <w:keepLines/>
      <w:outlineLvl w:val="0"/>
    </w:pPr>
    <w:rPr>
      <w:rFonts w:eastAsiaTheme="majorEastAsia" w:cstheme="majorBidi"/>
      <w:b/>
      <w:bCs/>
      <w:szCs w:val="32"/>
    </w:rPr>
  </w:style>
  <w:style w:type="paragraph" w:styleId="Ttulo2">
    <w:name w:val="heading 2"/>
    <w:basedOn w:val="Normal"/>
    <w:next w:val="Textoindependiente"/>
    <w:uiPriority w:val="9"/>
    <w:unhideWhenUsed/>
    <w:qFormat/>
    <w:rsid w:val="007C432B"/>
    <w:pPr>
      <w:keepNext/>
      <w:keepLines/>
      <w:outlineLvl w:val="1"/>
    </w:pPr>
    <w:rPr>
      <w:rFonts w:eastAsiaTheme="majorEastAsia" w:cstheme="majorBidi"/>
      <w:b/>
      <w:bCs/>
      <w:i/>
      <w:color w:val="000000" w:themeColor="text1"/>
      <w:szCs w:val="32"/>
    </w:rPr>
  </w:style>
  <w:style w:type="paragraph" w:styleId="Ttulo3">
    <w:name w:val="heading 3"/>
    <w:basedOn w:val="Normal"/>
    <w:next w:val="Textoindependiente"/>
    <w:uiPriority w:val="9"/>
    <w:unhideWhenUsed/>
    <w:qFormat/>
    <w:rsid w:val="00F40812"/>
    <w:pPr>
      <w:keepNext/>
      <w:keepLines/>
      <w:outlineLvl w:val="2"/>
    </w:pPr>
    <w:rPr>
      <w:rFonts w:eastAsiaTheme="majorEastAsia" w:cstheme="majorBidi"/>
      <w:b/>
      <w:bCs/>
      <w:color w:val="000000" w:themeColor="text1"/>
      <w:szCs w:val="28"/>
    </w:rPr>
  </w:style>
  <w:style w:type="paragraph" w:styleId="Ttulo4">
    <w:name w:val="heading 4"/>
    <w:basedOn w:val="Normal"/>
    <w:next w:val="Textoindependiente"/>
    <w:uiPriority w:val="9"/>
    <w:unhideWhenUsed/>
    <w:qFormat/>
    <w:rsid w:val="00F40812"/>
    <w:pPr>
      <w:keepNext/>
      <w:keepLines/>
      <w:outlineLvl w:val="3"/>
    </w:pPr>
    <w:rPr>
      <w:rFonts w:eastAsiaTheme="majorEastAsia" w:cstheme="majorBidi"/>
      <w:b/>
      <w:bCs/>
      <w:color w:val="000000" w:themeColor="tex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4C4652"/>
  </w:style>
  <w:style w:type="paragraph" w:customStyle="1" w:styleId="FirstParagraph">
    <w:name w:val="First Paragraph"/>
    <w:basedOn w:val="Textoindependiente"/>
    <w:next w:val="Textoindependiente"/>
    <w:qFormat/>
    <w:rsid w:val="00F40812"/>
  </w:style>
  <w:style w:type="paragraph" w:customStyle="1" w:styleId="Compact">
    <w:name w:val="Compact"/>
    <w:basedOn w:val="Textoindependiente"/>
    <w:qFormat/>
    <w:rsid w:val="00EE3C05"/>
    <w:pPr>
      <w:spacing w:before="0" w:after="0"/>
    </w:pPr>
    <w:rPr>
      <w:color w:val="000000" w:themeColor="text1"/>
    </w:rPr>
  </w:style>
  <w:style w:type="paragraph" w:styleId="Ttulo">
    <w:name w:val="Title"/>
    <w:basedOn w:val="Normal"/>
    <w:next w:val="Textoindependiente"/>
    <w:qFormat/>
    <w:rsid w:val="004C4652"/>
    <w:pPr>
      <w:keepNext/>
      <w:keepLines/>
      <w:spacing w:after="0"/>
      <w:jc w:val="center"/>
    </w:pPr>
    <w:rPr>
      <w:rFonts w:eastAsiaTheme="majorEastAsia" w:cstheme="majorBidi"/>
      <w:b/>
      <w:bCs/>
      <w:color w:val="000000" w:themeColor="text1"/>
      <w:sz w:val="28"/>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rsid w:val="004C4652"/>
    <w:pPr>
      <w:keepNext/>
      <w:keepLines/>
      <w:spacing w:after="0" w:line="360" w:lineRule="auto"/>
      <w:jc w:val="center"/>
    </w:pPr>
    <w:rPr>
      <w:rFonts w:ascii="Times New Roman" w:hAnsi="Times New Roman"/>
    </w:rPr>
  </w:style>
  <w:style w:type="paragraph" w:styleId="Fecha">
    <w:name w:val="Date"/>
    <w:next w:val="Textoindependiente"/>
    <w:qFormat/>
    <w:rsid w:val="004C4652"/>
    <w:pPr>
      <w:keepNext/>
      <w:keepLines/>
      <w:spacing w:line="360" w:lineRule="auto"/>
      <w:jc w:val="center"/>
    </w:pPr>
    <w:rPr>
      <w:rFonts w:ascii="Times New Roman" w:hAnsi="Times New Roman"/>
    </w:r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rsid w:val="00EE3C05"/>
    <w:pPr>
      <w:spacing w:before="0" w:after="0"/>
    </w:pPr>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450DED"/>
    <w:pPr>
      <w:keepNext/>
      <w:pageBreakBefore/>
    </w:pPr>
    <w:rPr>
      <w:i w:val="0"/>
    </w:rPr>
  </w:style>
  <w:style w:type="paragraph" w:customStyle="1" w:styleId="ImageCaption">
    <w:name w:val="Image Caption"/>
    <w:basedOn w:val="Descripcin"/>
    <w:rsid w:val="00F40812"/>
    <w:rPr>
      <w:i w:val="0"/>
    </w:rPr>
  </w:style>
  <w:style w:type="paragraph" w:customStyle="1" w:styleId="Figure">
    <w:name w:val="Figure"/>
    <w:basedOn w:val="Normal"/>
    <w:rsid w:val="00450DED"/>
    <w:pPr>
      <w:keepNext/>
      <w:pageBreakBefore/>
    </w:pPr>
  </w:style>
  <w:style w:type="paragraph" w:customStyle="1" w:styleId="FigurewithCaption">
    <w:name w:val="Figure with Caption"/>
    <w:basedOn w:val="Figure"/>
    <w:rsid w:val="00C37F06"/>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492866"/>
    <w:rPr>
      <w:rFonts w:ascii="Times New Roman" w:hAnsi="Times New Roman"/>
      <w:color w:val="000000" w:themeColor="text1"/>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492866"/>
    <w:pPr>
      <w:shd w:val="clear" w:color="auto" w:fill="F8F8F8"/>
      <w:wordWrap w:val="0"/>
      <w:jc w:val="left"/>
    </w:pPr>
    <w:rPr>
      <w:color w:val="000000" w:themeColor="text1"/>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color w:val="000000" w:themeColor="text1"/>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color w:val="000000" w:themeColor="text1"/>
      <w:sz w:val="22"/>
      <w:shd w:val="clear" w:color="auto" w:fill="F8F8F8"/>
    </w:rPr>
  </w:style>
  <w:style w:type="character" w:customStyle="1" w:styleId="ExtensionTok">
    <w:name w:val="ExtensionTok"/>
    <w:basedOn w:val="VerbatimChar"/>
    <w:rPr>
      <w:rFonts w:ascii="Consolas" w:hAnsi="Consolas"/>
      <w:color w:val="000000" w:themeColor="text1"/>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color w:val="000000" w:themeColor="text1"/>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color w:val="000000" w:themeColor="text1"/>
      <w:sz w:val="22"/>
      <w:shd w:val="clear" w:color="auto" w:fill="F8F8F8"/>
    </w:rPr>
  </w:style>
  <w:style w:type="paragraph" w:customStyle="1" w:styleId="test">
    <w:name w:val="test"/>
    <w:basedOn w:val="Ttulo1"/>
    <w:link w:val="testCar"/>
    <w:rsid w:val="00F776F6"/>
  </w:style>
  <w:style w:type="character" w:customStyle="1" w:styleId="TextoindependienteCar">
    <w:name w:val="Texto independiente Car"/>
    <w:basedOn w:val="Fuentedeprrafopredeter"/>
    <w:link w:val="Textoindependiente"/>
    <w:rsid w:val="004C4652"/>
    <w:rPr>
      <w:rFonts w:ascii="Times New Roman" w:hAnsi="Times New Roman"/>
    </w:rPr>
  </w:style>
  <w:style w:type="character" w:customStyle="1" w:styleId="Ttulo1Car">
    <w:name w:val="Título 1 Car"/>
    <w:basedOn w:val="Fuentedeprrafopredeter"/>
    <w:link w:val="Ttulo1"/>
    <w:uiPriority w:val="9"/>
    <w:rsid w:val="004C4652"/>
    <w:rPr>
      <w:rFonts w:ascii="Times New Roman" w:eastAsiaTheme="majorEastAsia" w:hAnsi="Times New Roman" w:cstheme="majorBidi"/>
      <w:b/>
      <w:bCs/>
      <w:szCs w:val="32"/>
    </w:rPr>
  </w:style>
  <w:style w:type="character" w:customStyle="1" w:styleId="testCar">
    <w:name w:val="test Car"/>
    <w:basedOn w:val="Ttulo1Car"/>
    <w:link w:val="test"/>
    <w:rsid w:val="00F776F6"/>
    <w:rPr>
      <w:rFonts w:ascii="Times New Roman" w:eastAsiaTheme="majorEastAsia" w:hAnsi="Times New Roman" w:cstheme="majorBidi"/>
      <w:b/>
      <w:bCs/>
      <w:szCs w:val="32"/>
    </w:rPr>
  </w:style>
  <w:style w:type="paragraph" w:styleId="Encabezado">
    <w:name w:val="header"/>
    <w:basedOn w:val="Normal"/>
    <w:link w:val="EncabezadoCar"/>
    <w:unhideWhenUsed/>
    <w:rsid w:val="004A5E64"/>
    <w:pPr>
      <w:tabs>
        <w:tab w:val="center" w:pos="4252"/>
        <w:tab w:val="right" w:pos="8504"/>
      </w:tabs>
      <w:spacing w:after="0"/>
    </w:pPr>
  </w:style>
  <w:style w:type="character" w:customStyle="1" w:styleId="EncabezadoCar">
    <w:name w:val="Encabezado Car"/>
    <w:basedOn w:val="Fuentedeprrafopredeter"/>
    <w:link w:val="Encabezado"/>
    <w:rsid w:val="004A5E64"/>
  </w:style>
  <w:style w:type="paragraph" w:styleId="Piedepgina">
    <w:name w:val="footer"/>
    <w:basedOn w:val="Normal"/>
    <w:link w:val="PiedepginaCar"/>
    <w:uiPriority w:val="99"/>
    <w:unhideWhenUsed/>
    <w:rsid w:val="004A5E64"/>
    <w:pPr>
      <w:tabs>
        <w:tab w:val="center" w:pos="4252"/>
        <w:tab w:val="right" w:pos="8504"/>
      </w:tabs>
      <w:spacing w:after="0"/>
    </w:pPr>
  </w:style>
  <w:style w:type="character" w:customStyle="1" w:styleId="PiedepginaCar">
    <w:name w:val="Pie de página Car"/>
    <w:basedOn w:val="Fuentedeprrafopredeter"/>
    <w:link w:val="Piedepgina"/>
    <w:uiPriority w:val="99"/>
    <w:rsid w:val="004A5E64"/>
  </w:style>
  <w:style w:type="character" w:styleId="Nmerodelnea">
    <w:name w:val="line number"/>
    <w:basedOn w:val="Fuentedeprrafopredeter"/>
    <w:semiHidden/>
    <w:unhideWhenUsed/>
    <w:rsid w:val="004A5E64"/>
  </w:style>
  <w:style w:type="table" w:customStyle="1" w:styleId="Estilo1">
    <w:name w:val="Estilo1"/>
    <w:basedOn w:val="Tablanormal"/>
    <w:uiPriority w:val="99"/>
    <w:rsid w:val="00766059"/>
    <w:pPr>
      <w:spacing w:after="0"/>
    </w:pPr>
    <w:rPr>
      <w:rFonts w:ascii="Times New Roman" w:hAnsi="Times New Roman"/>
    </w:rPr>
    <w:tblPr>
      <w:tblBorders>
        <w:top w:val="single" w:sz="4" w:space="0" w:color="000000" w:themeColor="text1"/>
        <w:bottom w:val="single" w:sz="4" w:space="0" w:color="000000" w:themeColor="text1"/>
      </w:tblBorders>
    </w:tblPr>
    <w:tcPr>
      <w:shd w:val="clear" w:color="auto" w:fill="auto"/>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style>
  <w:style w:type="paragraph" w:customStyle="1" w:styleId="FigPos">
    <w:name w:val="FigPos"/>
    <w:basedOn w:val="Normal"/>
    <w:qFormat/>
    <w:rsid w:val="008D2608"/>
    <w:pPr>
      <w:pageBreakBefore/>
      <w:spacing w:line="480" w:lineRule="auto"/>
    </w:pPr>
    <w:rPr>
      <w:noProof/>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hyperlink" Id="rId26" Target="http://factominer.free.fr/index.html" TargetMode="External" /><Relationship Type="http://schemas.openxmlformats.org/officeDocument/2006/relationships/hyperlink" Id="rId55" Target="https://CRAN.R-project.org/package=FactoInvestigate" TargetMode="External" /><Relationship Type="http://schemas.openxmlformats.org/officeDocument/2006/relationships/hyperlink" Id="rId48" Target="https://CRAN.R-project.org/package=FactoMineR" TargetMode="External" /><Relationship Type="http://schemas.openxmlformats.org/officeDocument/2006/relationships/hyperlink" Id="rId50" Target="https://CRAN.R-project.org/package=GerminaR" TargetMode="External" /><Relationship Type="http://schemas.openxmlformats.org/officeDocument/2006/relationships/hyperlink" Id="rId46" Target="https://CRAN.R-project.org/package=agricolae" TargetMode="External" /><Relationship Type="http://schemas.openxmlformats.org/officeDocument/2006/relationships/hyperlink" Id="rId30" Target="https://docs.google.com/spreadsheets/d/1QziIXGOwb8cl3GaARJq6Ez6aU7vND_UHKJnFcAKx0VI/edit#gid=137089581" TargetMode="External" /><Relationship Type="http://schemas.openxmlformats.org/officeDocument/2006/relationships/hyperlink" Id="rId44" Target="https://doi.org/10.1007/s00299-007-0406-8" TargetMode="External" /><Relationship Type="http://schemas.openxmlformats.org/officeDocument/2006/relationships/hyperlink" Id="rId53" Target="https://doi.org/10.1007/s12230-012-9285-9" TargetMode="External" /><Relationship Type="http://schemas.openxmlformats.org/officeDocument/2006/relationships/hyperlink" Id="rId47" Target="https://doi.org/10.1016/S1161-0301(99)00019-2" TargetMode="External" /><Relationship Type="http://schemas.openxmlformats.org/officeDocument/2006/relationships/hyperlink" Id="rId51" Target="https://doi.org/10.1016/j.indcrop.2018.03.052" TargetMode="External" /><Relationship Type="http://schemas.openxmlformats.org/officeDocument/2006/relationships/hyperlink" Id="rId49" Target="https://doi.org/10.1016/j.plantsci.2004.10.016" TargetMode="External" /><Relationship Type="http://schemas.openxmlformats.org/officeDocument/2006/relationships/hyperlink" Id="rId45" Target="https://doi.org/10.1071/AR05069" TargetMode="External" /><Relationship Type="http://schemas.openxmlformats.org/officeDocument/2006/relationships/hyperlink" Id="rId54" Target="https://doi.org/10.9755/ejfa.v26i3.15853" TargetMode="External" /><Relationship Type="http://schemas.openxmlformats.org/officeDocument/2006/relationships/hyperlink" Id="rId52" Target="https://www.R-project.org/" TargetMode="External" /><Relationship Type="http://schemas.openxmlformats.org/officeDocument/2006/relationships/hyperlink" Id="rId28" Target="https://www.youtube.com/watch?v=4XrgWmN9erg" TargetMode="External" /><Relationship Type="http://schemas.openxmlformats.org/officeDocument/2006/relationships/hyperlink" Id="rId27" Target="https://www.youtube.com/watch?v=pks8m2ka7Pk&amp;feature=youtu.be" TargetMode="External" /><Relationship Type="http://schemas.openxmlformats.org/officeDocument/2006/relationships/hyperlink" Id="rId22"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6" Target="http://factominer.free.fr/index.html" TargetMode="External" /><Relationship Type="http://schemas.openxmlformats.org/officeDocument/2006/relationships/hyperlink" Id="rId55" Target="https://CRAN.R-project.org/package=FactoInvestigate" TargetMode="External" /><Relationship Type="http://schemas.openxmlformats.org/officeDocument/2006/relationships/hyperlink" Id="rId48" Target="https://CRAN.R-project.org/package=FactoMineR" TargetMode="External" /><Relationship Type="http://schemas.openxmlformats.org/officeDocument/2006/relationships/hyperlink" Id="rId50" Target="https://CRAN.R-project.org/package=GerminaR" TargetMode="External" /><Relationship Type="http://schemas.openxmlformats.org/officeDocument/2006/relationships/hyperlink" Id="rId46" Target="https://CRAN.R-project.org/package=agricolae" TargetMode="External" /><Relationship Type="http://schemas.openxmlformats.org/officeDocument/2006/relationships/hyperlink" Id="rId30" Target="https://docs.google.com/spreadsheets/d/1QziIXGOwb8cl3GaARJq6Ez6aU7vND_UHKJnFcAKx0VI/edit#gid=137089581" TargetMode="External" /><Relationship Type="http://schemas.openxmlformats.org/officeDocument/2006/relationships/hyperlink" Id="rId44" Target="https://doi.org/10.1007/s00299-007-0406-8" TargetMode="External" /><Relationship Type="http://schemas.openxmlformats.org/officeDocument/2006/relationships/hyperlink" Id="rId53" Target="https://doi.org/10.1007/s12230-012-9285-9" TargetMode="External" /><Relationship Type="http://schemas.openxmlformats.org/officeDocument/2006/relationships/hyperlink" Id="rId47" Target="https://doi.org/10.1016/S1161-0301(99)00019-2" TargetMode="External" /><Relationship Type="http://schemas.openxmlformats.org/officeDocument/2006/relationships/hyperlink" Id="rId51" Target="https://doi.org/10.1016/j.indcrop.2018.03.052" TargetMode="External" /><Relationship Type="http://schemas.openxmlformats.org/officeDocument/2006/relationships/hyperlink" Id="rId49" Target="https://doi.org/10.1016/j.plantsci.2004.10.016" TargetMode="External" /><Relationship Type="http://schemas.openxmlformats.org/officeDocument/2006/relationships/hyperlink" Id="rId45" Target="https://doi.org/10.1071/AR05069" TargetMode="External" /><Relationship Type="http://schemas.openxmlformats.org/officeDocument/2006/relationships/hyperlink" Id="rId54" Target="https://doi.org/10.9755/ejfa.v26i3.15853" TargetMode="External" /><Relationship Type="http://schemas.openxmlformats.org/officeDocument/2006/relationships/hyperlink" Id="rId52" Target="https://www.R-project.org/" TargetMode="External" /><Relationship Type="http://schemas.openxmlformats.org/officeDocument/2006/relationships/hyperlink" Id="rId28" Target="https://www.youtube.com/watch?v=4XrgWmN9erg" TargetMode="External" /><Relationship Type="http://schemas.openxmlformats.org/officeDocument/2006/relationships/hyperlink" Id="rId27" Target="https://www.youtube.com/watch?v=pks8m2ka7Pk&amp;feature=youtu.be" TargetMode="External" /><Relationship Type="http://schemas.openxmlformats.org/officeDocument/2006/relationships/hyperlink" Id="rId22"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GerminaR - An R Package for germination analysis process with interactive web application GerminaQuant for R.</vt:lpstr>
    </vt:vector>
  </TitlesOfParts>
  <Company>Microsoft</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package</dc:title>
  <dc:creator>Lozano-Isla, Flavio(1,*); Gomez, Jimmy(1)</dc:creator>
  <dcterms:created xsi:type="dcterms:W3CDTF">2018-10-05T00:26:31Z</dcterms:created>
  <dcterms:modified xsi:type="dcterms:W3CDTF">2018-10-05T00:26:31Z</dcterms:modified>
</cp:coreProperties>
</file>