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Fecha"/>
      </w:pPr>
      <w:r>
        <w:t xml:space="preserve">2018-10-17</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Textoindependiente"/>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(Arroyo-Hern</w:t>
      </w:r>
      <w:r>
        <w:t xml:space="preserve">’andez, De la Cruz, &amp; Miranda-Soberon,</w:t>
      </w:r>
      <w:r>
        <w:t xml:space="preserve"> </w:t>
      </w:r>
      <w:hyperlink w:anchor="ref-arroyo-hernandez2008Dificultades">
        <w:r>
          <w:rPr>
            <w:rStyle w:val="Hipervnculo"/>
          </w:rPr>
          <w:t xml:space="preserve">2008</w:t>
        </w:r>
      </w:hyperlink>
      <w:r>
        <w:t xml:space="preserve">; Bhatnagar-Mathur et al.,</w:t>
      </w:r>
      <w:r>
        <w:t xml:space="preserve"> </w:t>
      </w:r>
      <w:hyperlink w:anchor="ref-bhatnagar-mathur2007Stressinducible">
        <w:r>
          <w:rPr>
            <w:rStyle w:val="Hipervnculo"/>
          </w:rPr>
          <w:t xml:space="preserve">2007</w:t>
        </w:r>
      </w:hyperlink>
      <w:r>
        <w:t xml:space="preserve">; Salas,</w:t>
      </w:r>
      <w:r>
        <w:t xml:space="preserve"> </w:t>
      </w:r>
      <w:hyperlink w:anchor="ref-salas2008Por">
        <w:r>
          <w:rPr>
            <w:rStyle w:val="Hipervnculo"/>
          </w:rPr>
          <w:t xml:space="preserve">2008</w:t>
        </w:r>
      </w:hyperlink>
      <w:r>
        <w:t xml:space="preserve">)</w:t>
      </w:r>
      <w:r>
        <w:t xml:space="preserve">.</w:t>
      </w:r>
    </w:p>
    <w:p>
      <w:pPr>
        <w:pStyle w:val="Textoindependiente"/>
      </w:pPr>
      <w:r>
        <w:t xml:space="preserve">Curabitur tortor</w:t>
      </w:r>
      <w:r>
        <w:t xml:space="preserve"> </w:t>
      </w:r>
      <w:r>
        <w:t xml:space="preserve">(Deblonde, Haverkort, &amp; Ledent,</w:t>
      </w:r>
      <w:r>
        <w:t xml:space="preserve"> </w:t>
      </w:r>
      <w:hyperlink w:anchor="ref-deblonde1999Responses">
        <w:r>
          <w:rPr>
            <w:rStyle w:val="Hipervnculo"/>
          </w:rPr>
          <w:t xml:space="preserve">1999</w:t>
        </w:r>
      </w:hyperlink>
      <w:r>
        <w:t xml:space="preserve">; Stark et al.,</w:t>
      </w:r>
      <w:r>
        <w:t xml:space="preserve"> </w:t>
      </w:r>
      <w:hyperlink w:anchor="ref-stark2013Potato">
        <w:r>
          <w:rPr>
            <w:rStyle w:val="Hipervnculo"/>
          </w:rPr>
          <w:t xml:space="preserve">2013</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Textoindependiente"/>
      </w:pPr>
      <w:r>
        <w:t xml:space="preserve">The vertical bars represent the means (±SE). The mean differences between the groups are represented by different capital letters and into the group different lowercase letters (SNK, p = 0.05).</w:t>
      </w:r>
    </w:p>
    <w:p>
      <w:pPr>
        <w:pStyle w:val="Textoindependiente"/>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Textoindependiente"/>
      </w:pPr>
      <w:r>
        <w:t xml:space="preserve">PCA:</w:t>
      </w:r>
      <w:r>
        <w:t xml:space="preserve"> </w:t>
      </w:r>
      <w:hyperlink r:id="rId27">
        <w:r>
          <w:rPr>
            <w:rStyle w:val="Hipervnculo"/>
          </w:rPr>
          <w:t xml:space="preserve">https://www.youtube.com/watch?v=pks8m2ka7Pk&amp;feature=youtu.be</w:t>
        </w:r>
      </w:hyperlink>
      <w:r>
        <w:t xml:space="preserve"> </w:t>
      </w:r>
      <w: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
      <w:bookmarkEnd w:id="32"/>
      <w:r>
        <w:t xml:space="preserve">Result</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Textoindependiente"/>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Lozano Isla, Gomez Carrion, Benites Alfaro, &amp; De Mendiburu (</w:t>
      </w:r>
      <w:hyperlink w:anchor="ref-lozano-isla2018Yupana">
        <w:r>
          <w:rPr>
            <w:rStyle w:val="Hipervnculo"/>
          </w:rPr>
          <w:t xml:space="preserve">2018</w:t>
        </w:r>
      </w:hyperlink>
      <w:r>
        <w:t xml:space="preserve">)</w:t>
      </w:r>
      <w:r>
        <w:t xml:space="preserve">,</w:t>
      </w:r>
      <w:r>
        <w:t xml:space="preserve"> </w:t>
      </w:r>
      <w:r>
        <w:t xml:space="preserve">Lozano-Isla et al. (</w:t>
      </w:r>
      <w:hyperlink w:anchor="ref-lozano-isla2018Effects">
        <w:r>
          <w:rPr>
            <w:rStyle w:val="Hipervnculo"/>
          </w:rPr>
          <w:t xml:space="preserve">2018</w:t>
        </w:r>
      </w:hyperlink>
      <w:r>
        <w:t xml:space="preserve">)</w:t>
      </w:r>
      <w:r>
        <w:t xml:space="preserve">, and</w:t>
      </w:r>
      <w:r>
        <w:t xml:space="preserve"> </w:t>
      </w:r>
      <w:r>
        <w:t xml:space="preserve">Tan, Truong, Thanh, &amp; Tuyet (</w:t>
      </w:r>
      <w:hyperlink w:anchor="ref-tan2014effects">
        <w:r>
          <w:rPr>
            <w:rStyle w:val="Hipervnculo"/>
          </w:rPr>
          <w:t xml:space="preserve">2014</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extoindependiente"/>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(Arroyo-Hern</w:t>
      </w:r>
      <w:r>
        <w:t xml:space="preserve">’andez et al.,</w:t>
      </w:r>
      <w:r>
        <w:t xml:space="preserve"> </w:t>
      </w:r>
      <w:hyperlink w:anchor="ref-arroyo-hernandez2008Dificultades">
        <w:r>
          <w:rPr>
            <w:rStyle w:val="Hipervnculo"/>
          </w:rPr>
          <w:t xml:space="preserve">2008</w:t>
        </w:r>
      </w:hyperlink>
      <w:r>
        <w:t xml:space="preserve">; Blum,</w:t>
      </w:r>
      <w:r>
        <w:t xml:space="preserve"> </w:t>
      </w:r>
      <w:hyperlink w:anchor="ref-blum2005Drought">
        <w:r>
          <w:rPr>
            <w:rStyle w:val="Hipervnculo"/>
          </w:rPr>
          <w:t xml:space="preserve">2005</w:t>
        </w:r>
      </w:hyperlink>
      <w:r>
        <w:t xml:space="preserve">; Liu, Jensen, Shahanzari, Andersen, &amp; Jacobsen,</w:t>
      </w:r>
      <w:r>
        <w:t xml:space="preserve"> </w:t>
      </w:r>
      <w:hyperlink w:anchor="ref-liu2005ABA">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Textoindependiente"/>
      </w:pPr>
    </w:p>
    <w:p>
      <w:pPr>
        <w:pStyle w:val="Ttulo1"/>
      </w:pPr>
      <w:bookmarkStart w:id="43" w:name="references"/>
      <w:bookmarkEnd w:id="43"/>
      <w:r>
        <w:t xml:space="preserve">References</w:t>
      </w:r>
    </w:p>
    <w:p>
      <w:pPr>
        <w:pStyle w:val="Bibliografa"/>
      </w:pPr>
      <w:r>
        <w:t xml:space="preserve">Arroyo-Hern</w:t>
      </w:r>
      <w:r>
        <w:t xml:space="preserve">’andez, C. H., De la Cruz, W., &amp; Miranda-Soberon, U. E. (2008). Dificultades para el desarrollo de investigaciones en pregrado en una universidad pública de provincia, Perú.</w:t>
      </w:r>
      <w:r>
        <w:t xml:space="preserve"> </w:t>
      </w:r>
      <w:r>
        <w:rPr>
          <w:i/>
        </w:rPr>
        <w:t xml:space="preserve">Revista Peruana de Medicina Experimental Y Salud Publica</w:t>
      </w:r>
      <w:r>
        <w:t xml:space="preserve">,</w:t>
      </w:r>
      <w:r>
        <w:t xml:space="preserve"> </w:t>
      </w:r>
      <w:r>
        <w:rPr>
          <w:i/>
        </w:rPr>
        <w:t xml:space="preserve">25</w:t>
      </w:r>
      <w:r>
        <w:t xml:space="preserve">(4), 448–448.</w:t>
      </w:r>
    </w:p>
    <w:p>
      <w:pPr>
        <w:pStyle w:val="Bibliografa"/>
      </w:pPr>
      <w:r>
        <w:t xml:space="preserve">Bhatnagar-Mathur, P., Devi, M. J., Reddy, D. S., Lavanya, M., Vadez, V., Serraj, R., …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4">
        <w:r>
          <w:rPr>
            <w:rStyle w:val="Hipervnculo"/>
          </w:rPr>
          <w:t xml:space="preserve">https://doi.org/10.1007/s00299-007-0406-8</w:t>
        </w:r>
      </w:hyperlink>
    </w:p>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5">
        <w:r>
          <w:rPr>
            <w:rStyle w:val="Hipervnculo"/>
          </w:rPr>
          <w:t xml:space="preserve">https://doi.org/10.1071/AR05069</w:t>
        </w:r>
      </w:hyperlink>
    </w:p>
    <w:p>
      <w:pPr>
        <w:pStyle w:val="Bibliografa"/>
      </w:pPr>
      <w:r>
        <w:t xml:space="preserve">de Mendiburu, F. (2017).</w:t>
      </w:r>
      <w:r>
        <w:t xml:space="preserve"> </w:t>
      </w:r>
      <w:r>
        <w:rPr>
          <w:i/>
        </w:rPr>
        <w:t xml:space="preserve">Agricolae: Statistical procedures for agricultural research</w:t>
      </w:r>
      <w:r>
        <w:t xml:space="preserve">. Retrieved from</w:t>
      </w:r>
      <w:r>
        <w:t xml:space="preserve"> </w:t>
      </w:r>
      <w:hyperlink r:id="rId46">
        <w:r>
          <w:rPr>
            <w:rStyle w:val="Hipervnculo"/>
          </w:rPr>
          <w:t xml:space="preserve">https://CRAN.R-project.org/package=agricolae</w:t>
        </w:r>
      </w:hyperlink>
    </w:p>
    <w:p>
      <w:pPr>
        <w:pStyle w:val="Bibliografa"/>
      </w:pPr>
      <w:r>
        <w:t xml:space="preserve">Deblonde, P., Haverkort, A., &amp; Ledent, J. (1999). Responses of early and late potato cultivars to moderate drought conditions: Agronomic parameters and carbon isotope discrimination.</w:t>
      </w:r>
      <w:r>
        <w:t xml:space="preserve"> </w:t>
      </w:r>
      <w:r>
        <w:rPr>
          <w:i/>
        </w:rPr>
        <w:t xml:space="preserve">European Journal of Agronomy</w:t>
      </w:r>
      <w:r>
        <w:t xml:space="preserve">,</w:t>
      </w:r>
      <w:r>
        <w:t xml:space="preserve"> </w:t>
      </w:r>
      <w:r>
        <w:rPr>
          <w:i/>
        </w:rPr>
        <w:t xml:space="preserve">11</w:t>
      </w:r>
      <w:r>
        <w:t xml:space="preserve">(2), 91–105.</w:t>
      </w:r>
      <w:r>
        <w:t xml:space="preserve"> </w:t>
      </w:r>
      <w:hyperlink r:id="rId47">
        <w:r>
          <w:rPr>
            <w:rStyle w:val="Hipervnculo"/>
          </w:rPr>
          <w:t xml:space="preserve">https://doi.org/10.1016/S1161-0301(99)00019-2</w:t>
        </w:r>
      </w:hyperlink>
    </w:p>
    <w:p>
      <w:pPr>
        <w:pStyle w:val="Bibliografa"/>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8">
        <w:r>
          <w:rPr>
            <w:rStyle w:val="Hipervnculo"/>
          </w:rPr>
          <w:t xml:space="preserve">https://CRAN.R-project.org/package=FactoMineR</w:t>
        </w:r>
      </w:hyperlink>
    </w:p>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49">
        <w:r>
          <w:rPr>
            <w:rStyle w:val="Hipervnculo"/>
          </w:rPr>
          <w:t xml:space="preserve">https://doi.org/10.1016/j.plantsci.2004.10.016</w:t>
        </w:r>
      </w:hyperlink>
    </w:p>
    <w:p>
      <w:pPr>
        <w:pStyle w:val="Bibliografa"/>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0">
        <w:r>
          <w:rPr>
            <w:rStyle w:val="Hipervnculo"/>
          </w:rPr>
          <w:t xml:space="preserve">https://CRAN.R-project.org/package=GerminaR</w:t>
        </w:r>
      </w:hyperlink>
    </w:p>
    <w:p>
      <w:pPr>
        <w:pStyle w:val="Bibliografa"/>
      </w:pPr>
      <w:r>
        <w:t xml:space="preserve">Lozano Isla, F., Gomez Carrion, J., Benites Alfaro, O., &amp; De Mendiburu, F. (2018). Yupana: Herramienta web interactiva para el análisis de datos en la investigación agropecuario e industrial. Perú: Quipo.org.</w:t>
      </w:r>
    </w:p>
    <w:p>
      <w:pPr>
        <w:pStyle w:val="Bibliografa"/>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1">
        <w:r>
          <w:rPr>
            <w:rStyle w:val="Hipervnculo"/>
          </w:rPr>
          <w:t xml:space="preserve">https://doi.org/10.1016/j.indcrop.2018.03.052</w:t>
        </w:r>
      </w:hyperlink>
    </w:p>
    <w:p>
      <w:pPr>
        <w:pStyle w:val="Bibliografa"/>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fa"/>
      </w:pPr>
      <w:r>
        <w:t xml:space="preserve">Salas, C. (2008). Por Qué comprar un programa estadístico si existe R?</w:t>
      </w:r>
      <w:r>
        <w:t xml:space="preserve"> </w:t>
      </w:r>
      <w:r>
        <w:rPr>
          <w:i/>
        </w:rPr>
        <w:t xml:space="preserve">Ecología Austral</w:t>
      </w:r>
      <w:r>
        <w:t xml:space="preserve">,</w:t>
      </w:r>
      <w:r>
        <w:t xml:space="preserve"> </w:t>
      </w:r>
      <w:r>
        <w:rPr>
          <w:i/>
        </w:rPr>
        <w:t xml:space="preserve">18</w:t>
      </w:r>
      <w:r>
        <w:t xml:space="preserve">(2), 223–231.</w:t>
      </w:r>
    </w:p>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53">
        <w:r>
          <w:rPr>
            <w:rStyle w:val="Hipervnculo"/>
          </w:rPr>
          <w:t xml:space="preserve">https://doi.org/10.1007/s12230-012-9285-9</w:t>
        </w:r>
      </w:hyperlink>
    </w:p>
    <w:p>
      <w:pPr>
        <w:pStyle w:val="Bibliografa"/>
      </w:pPr>
      <w:r>
        <w:t xml:space="preserve">Tan, Q., Truong, A., Thanh, L., &amp; Tuyet, L. (2014). The effects of ethephon on the ripening of Vietnamese Latundan bananas(Musa sapientum).</w:t>
      </w:r>
      <w:r>
        <w:t xml:space="preserve"> </w:t>
      </w:r>
      <w:r>
        <w:rPr>
          <w:i/>
        </w:rPr>
        <w:t xml:space="preserve">Emirates Journal of Food and Agriculture</w:t>
      </w:r>
      <w:r>
        <w:t xml:space="preserve">,</w:t>
      </w:r>
      <w:r>
        <w:t xml:space="preserve"> </w:t>
      </w:r>
      <w:r>
        <w:rPr>
          <w:i/>
        </w:rPr>
        <w:t xml:space="preserve">26</w:t>
      </w:r>
      <w:r>
        <w:t xml:space="preserve">(3), 229.</w:t>
      </w:r>
      <w:r>
        <w:t xml:space="preserve"> </w:t>
      </w:r>
      <w:hyperlink r:id="rId54">
        <w:r>
          <w:rPr>
            <w:rStyle w:val="Hipervnculo"/>
          </w:rPr>
          <w:t xml:space="preserve">https://doi.org/10.9755/ejfa.v26i3.15853</w:t>
        </w:r>
      </w:hyperlink>
    </w:p>
    <w:p>
      <w:pPr>
        <w:pStyle w:val="Bibliografa"/>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sectPr w:rsidR="0031376F" w:rsidRPr="00B75E73" w:rsidSect="00766059">
      <w:footerReference w:type="default" r:id="rId8"/>
      <w:pgSz w:w="11907" w:h="16840" w:code="9"/>
      <w:pgMar w:top="1701" w:right="1701" w:bottom="1701"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366046"/>
      <w:docPartObj>
        <w:docPartGallery w:val="Page Numbers (Bottom of Page)"/>
        <w:docPartUnique/>
      </w:docPartObj>
    </w:sdtPr>
    <w:sdtEndPr/>
    <w:sdtContent>
      <w:p w:rsidR="004A5E64" w:rsidRDefault="00D479C0">
        <w:pPr>
          <w:pStyle w:val="Piedepgina"/>
          <w:jc w:val="center"/>
        </w:pPr>
        <w:r>
          <w:fldChar w:fldCharType="begin"/>
        </w:r>
        <w:r>
          <w:instrText>PAGE   \* MERGEFORMAT</w:instrText>
        </w:r>
        <w:r>
          <w:fldChar w:fldCharType="separate"/>
        </w:r>
        <w:r w:rsidR="00B75E73" w:rsidRPr="00B75E73">
          <w:rPr>
            <w:noProof/>
            <w:lang w:val="es-ES"/>
          </w:rPr>
          <w:t>1</w:t>
        </w:r>
        <w:r>
          <w:fldChar w:fldCharType="end"/>
        </w:r>
      </w:p>
    </w:sdtContent>
  </w:sdt>
  <w:p w:rsidR="004A5E64" w:rsidRDefault="00D479C0">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1598740"/>
    <w:multiLevelType w:val="multilevel"/>
    <w:tmpl w:val="C6C875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9B86AB6"/>
    <w:multiLevelType w:val="multilevel"/>
    <w:tmpl w:val="C40A44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7B962B3"/>
    <w:multiLevelType w:val="multilevel"/>
    <w:tmpl w:val="EFAE98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A328FD0"/>
    <w:multiLevelType w:val="multilevel"/>
    <w:tmpl w:val="A080E6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E0AF940"/>
    <w:multiLevelType w:val="multilevel"/>
    <w:tmpl w:val="C4C070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37C03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FFE2BC2B"/>
    <w:multiLevelType w:val="multilevel"/>
    <w:tmpl w:val="E6CE15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FFFFFF7C"/>
    <w:multiLevelType w:val="singleLevel"/>
    <w:tmpl w:val="8C8086EA"/>
    <w:lvl w:ilvl="0">
      <w:start w:val="1"/>
      <w:numFmt w:val="decimal"/>
      <w:lvlText w:val="%1."/>
      <w:lvlJc w:val="left"/>
      <w:pPr>
        <w:tabs>
          <w:tab w:val="num" w:pos="1492"/>
        </w:tabs>
        <w:ind w:left="1492" w:hanging="360"/>
      </w:pPr>
    </w:lvl>
  </w:abstractNum>
  <w:abstractNum w:abstractNumId="8" w15:restartNumberingAfterBreak="0">
    <w:nsid w:val="FFFFFF7D"/>
    <w:multiLevelType w:val="singleLevel"/>
    <w:tmpl w:val="B10A8186"/>
    <w:lvl w:ilvl="0">
      <w:start w:val="1"/>
      <w:numFmt w:val="decimal"/>
      <w:lvlText w:val="%1."/>
      <w:lvlJc w:val="left"/>
      <w:pPr>
        <w:tabs>
          <w:tab w:val="num" w:pos="1209"/>
        </w:tabs>
        <w:ind w:left="1209" w:hanging="360"/>
      </w:pPr>
    </w:lvl>
  </w:abstractNum>
  <w:abstractNum w:abstractNumId="9" w15:restartNumberingAfterBreak="0">
    <w:nsid w:val="FFFFFF7E"/>
    <w:multiLevelType w:val="singleLevel"/>
    <w:tmpl w:val="3EC0C8BA"/>
    <w:lvl w:ilvl="0">
      <w:start w:val="1"/>
      <w:numFmt w:val="decimal"/>
      <w:lvlText w:val="%1."/>
      <w:lvlJc w:val="left"/>
      <w:pPr>
        <w:tabs>
          <w:tab w:val="num" w:pos="926"/>
        </w:tabs>
        <w:ind w:left="926" w:hanging="360"/>
      </w:pPr>
    </w:lvl>
  </w:abstractNum>
  <w:abstractNum w:abstractNumId="10" w15:restartNumberingAfterBreak="0">
    <w:nsid w:val="FFFFFF7F"/>
    <w:multiLevelType w:val="singleLevel"/>
    <w:tmpl w:val="C92AD730"/>
    <w:lvl w:ilvl="0">
      <w:start w:val="1"/>
      <w:numFmt w:val="decimal"/>
      <w:lvlText w:val="%1."/>
      <w:lvlJc w:val="left"/>
      <w:pPr>
        <w:tabs>
          <w:tab w:val="num" w:pos="643"/>
        </w:tabs>
        <w:ind w:left="643" w:hanging="360"/>
      </w:pPr>
    </w:lvl>
  </w:abstractNum>
  <w:abstractNum w:abstractNumId="11" w15:restartNumberingAfterBreak="0">
    <w:nsid w:val="FFFFFF80"/>
    <w:multiLevelType w:val="singleLevel"/>
    <w:tmpl w:val="B04AAF32"/>
    <w:lvl w:ilvl="0">
      <w:start w:val="1"/>
      <w:numFmt w:val="bullet"/>
      <w:lvlText w:val=""/>
      <w:lvlJc w:val="left"/>
      <w:pPr>
        <w:tabs>
          <w:tab w:val="num" w:pos="1492"/>
        </w:tabs>
        <w:ind w:left="1492" w:hanging="360"/>
      </w:pPr>
      <w:rPr>
        <w:rFonts w:ascii="Symbol" w:hAnsi="Symbol" w:hint="default"/>
      </w:rPr>
    </w:lvl>
  </w:abstractNum>
  <w:abstractNum w:abstractNumId="12" w15:restartNumberingAfterBreak="0">
    <w:nsid w:val="FFFFFF81"/>
    <w:multiLevelType w:val="singleLevel"/>
    <w:tmpl w:val="95D80E1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FFFFFF82"/>
    <w:multiLevelType w:val="singleLevel"/>
    <w:tmpl w:val="3008E794"/>
    <w:lvl w:ilvl="0">
      <w:start w:val="1"/>
      <w:numFmt w:val="bullet"/>
      <w:lvlText w:val=""/>
      <w:lvlJc w:val="left"/>
      <w:pPr>
        <w:tabs>
          <w:tab w:val="num" w:pos="926"/>
        </w:tabs>
        <w:ind w:left="926" w:hanging="360"/>
      </w:pPr>
      <w:rPr>
        <w:rFonts w:ascii="Symbol" w:hAnsi="Symbol" w:hint="default"/>
      </w:rPr>
    </w:lvl>
  </w:abstractNum>
  <w:abstractNum w:abstractNumId="14" w15:restartNumberingAfterBreak="0">
    <w:nsid w:val="FFFFFF83"/>
    <w:multiLevelType w:val="singleLevel"/>
    <w:tmpl w:val="8A30EDC8"/>
    <w:lvl w:ilvl="0">
      <w:start w:val="1"/>
      <w:numFmt w:val="bullet"/>
      <w:lvlText w:val=""/>
      <w:lvlJc w:val="left"/>
      <w:pPr>
        <w:tabs>
          <w:tab w:val="num" w:pos="643"/>
        </w:tabs>
        <w:ind w:left="643" w:hanging="360"/>
      </w:pPr>
      <w:rPr>
        <w:rFonts w:ascii="Symbol" w:hAnsi="Symbol" w:hint="default"/>
      </w:rPr>
    </w:lvl>
  </w:abstractNum>
  <w:abstractNum w:abstractNumId="15" w15:restartNumberingAfterBreak="0">
    <w:nsid w:val="FFFFFF88"/>
    <w:multiLevelType w:val="singleLevel"/>
    <w:tmpl w:val="F9DAD2A0"/>
    <w:lvl w:ilvl="0">
      <w:start w:val="1"/>
      <w:numFmt w:val="decimal"/>
      <w:lvlText w:val="%1."/>
      <w:lvlJc w:val="left"/>
      <w:pPr>
        <w:tabs>
          <w:tab w:val="num" w:pos="360"/>
        </w:tabs>
        <w:ind w:left="360" w:hanging="360"/>
      </w:pPr>
    </w:lvl>
  </w:abstractNum>
  <w:abstractNum w:abstractNumId="16" w15:restartNumberingAfterBreak="0">
    <w:nsid w:val="FFFFFF89"/>
    <w:multiLevelType w:val="singleLevel"/>
    <w:tmpl w:val="AD9CED2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B8DBDA"/>
    <w:multiLevelType w:val="multilevel"/>
    <w:tmpl w:val="E8549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19D41332"/>
    <w:multiLevelType w:val="multilevel"/>
    <w:tmpl w:val="89EEF0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2C74533E"/>
    <w:multiLevelType w:val="multilevel"/>
    <w:tmpl w:val="C3A89A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33528174"/>
    <w:multiLevelType w:val="multilevel"/>
    <w:tmpl w:val="C3D2EB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461C314B"/>
    <w:multiLevelType w:val="multilevel"/>
    <w:tmpl w:val="98E2B2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5042FB7E"/>
    <w:multiLevelType w:val="multilevel"/>
    <w:tmpl w:val="580E87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57BE9B21"/>
    <w:multiLevelType w:val="multilevel"/>
    <w:tmpl w:val="888607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71694DA8"/>
    <w:multiLevelType w:val="multilevel"/>
    <w:tmpl w:val="3104E1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513C0BE"/>
    <w:multiLevelType w:val="multilevel"/>
    <w:tmpl w:val="DDF0DF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cc8bf9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a4dfbc8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7"/>
  </w:num>
  <w:num w:numId="3">
    <w:abstractNumId w:val="15"/>
  </w:num>
  <w:num w:numId="4">
    <w:abstractNumId w:val="10"/>
  </w:num>
  <w:num w:numId="5">
    <w:abstractNumId w:val="9"/>
  </w:num>
  <w:num w:numId="6">
    <w:abstractNumId w:val="8"/>
  </w:num>
  <w:num w:numId="7">
    <w:abstractNumId w:val="7"/>
  </w:num>
  <w:num w:numId="8">
    <w:abstractNumId w:val="16"/>
  </w:num>
  <w:num w:numId="9">
    <w:abstractNumId w:val="14"/>
  </w:num>
  <w:num w:numId="10">
    <w:abstractNumId w:val="13"/>
  </w:num>
  <w:num w:numId="11">
    <w:abstractNumId w:val="12"/>
  </w:num>
  <w:num w:numId="12">
    <w:abstractNumId w:val="11"/>
  </w:num>
  <w:num w:numId="13">
    <w:abstractNumId w:val="21"/>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4"/>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2"/>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20"/>
  </w:num>
  <w:num w:numId="26">
    <w:abstractNumId w:val="1"/>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812"/>
    <w:pPr>
      <w:spacing w:before="120" w:after="120" w:line="360" w:lineRule="auto"/>
      <w:jc w:val="both"/>
    </w:pPr>
    <w:rPr>
      <w:rFonts w:ascii="Times New Roman" w:hAnsi="Times New Roman"/>
    </w:rPr>
  </w:style>
  <w:style w:type="paragraph" w:styleId="Ttulo1">
    <w:name w:val="heading 1"/>
    <w:basedOn w:val="Normal"/>
    <w:next w:val="Textoindependiente"/>
    <w:link w:val="Ttulo1Car"/>
    <w:uiPriority w:val="9"/>
    <w:qFormat/>
    <w:rsid w:val="004C4652"/>
    <w:pPr>
      <w:keepNext/>
      <w:keepLines/>
      <w:outlineLvl w:val="0"/>
    </w:pPr>
    <w:rPr>
      <w:rFonts w:eastAsiaTheme="majorEastAsia" w:cstheme="majorBidi"/>
      <w:b/>
      <w:bCs/>
      <w:szCs w:val="32"/>
    </w:rPr>
  </w:style>
  <w:style w:type="paragraph" w:styleId="Ttulo2">
    <w:name w:val="heading 2"/>
    <w:basedOn w:val="Normal"/>
    <w:next w:val="Textoindependiente"/>
    <w:uiPriority w:val="9"/>
    <w:unhideWhenUsed/>
    <w:qFormat/>
    <w:rsid w:val="007C432B"/>
    <w:pPr>
      <w:keepNext/>
      <w:keepLines/>
      <w:outlineLvl w:val="1"/>
    </w:pPr>
    <w:rPr>
      <w:rFonts w:eastAsiaTheme="majorEastAsia" w:cstheme="majorBidi"/>
      <w:b/>
      <w:bCs/>
      <w:i/>
      <w:color w:val="000000" w:themeColor="text1"/>
      <w:szCs w:val="32"/>
    </w:rPr>
  </w:style>
  <w:style w:type="paragraph" w:styleId="Ttulo3">
    <w:name w:val="heading 3"/>
    <w:basedOn w:val="Normal"/>
    <w:next w:val="Textoindependiente"/>
    <w:uiPriority w:val="9"/>
    <w:unhideWhenUsed/>
    <w:qFormat/>
    <w:rsid w:val="00F40812"/>
    <w:pPr>
      <w:keepNext/>
      <w:keepLines/>
      <w:outlineLvl w:val="2"/>
    </w:pPr>
    <w:rPr>
      <w:rFonts w:eastAsiaTheme="majorEastAsia" w:cstheme="majorBidi"/>
      <w:b/>
      <w:bCs/>
      <w:color w:val="000000" w:themeColor="text1"/>
      <w:szCs w:val="28"/>
    </w:rPr>
  </w:style>
  <w:style w:type="paragraph" w:styleId="Ttulo4">
    <w:name w:val="heading 4"/>
    <w:basedOn w:val="Normal"/>
    <w:next w:val="Textoindependiente"/>
    <w:uiPriority w:val="9"/>
    <w:unhideWhenUsed/>
    <w:qFormat/>
    <w:rsid w:val="00F40812"/>
    <w:pPr>
      <w:keepNext/>
      <w:keepLines/>
      <w:outlineLvl w:val="3"/>
    </w:pPr>
    <w:rPr>
      <w:rFonts w:eastAsiaTheme="majorEastAsia" w:cstheme="majorBidi"/>
      <w:b/>
      <w:bCs/>
      <w:color w:val="000000" w:themeColor="tex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4C4652"/>
  </w:style>
  <w:style w:type="paragraph" w:customStyle="1" w:styleId="FirstParagraph">
    <w:name w:val="First Paragraph"/>
    <w:basedOn w:val="Textoindependiente"/>
    <w:next w:val="Textoindependiente"/>
    <w:qFormat/>
    <w:rsid w:val="00F40812"/>
  </w:style>
  <w:style w:type="paragraph" w:customStyle="1" w:styleId="Compact">
    <w:name w:val="Compact"/>
    <w:basedOn w:val="Textoindependiente"/>
    <w:qFormat/>
    <w:rsid w:val="00EE3C05"/>
    <w:pPr>
      <w:spacing w:before="0" w:after="0"/>
    </w:pPr>
    <w:rPr>
      <w:color w:val="000000" w:themeColor="text1"/>
    </w:rPr>
  </w:style>
  <w:style w:type="paragraph" w:styleId="Ttulo">
    <w:name w:val="Title"/>
    <w:basedOn w:val="Normal"/>
    <w:next w:val="Textoindependiente"/>
    <w:qFormat/>
    <w:rsid w:val="004C4652"/>
    <w:pPr>
      <w:keepNext/>
      <w:keepLines/>
      <w:spacing w:after="0"/>
      <w:jc w:val="center"/>
    </w:pPr>
    <w:rPr>
      <w:rFonts w:eastAsiaTheme="majorEastAsia" w:cstheme="majorBidi"/>
      <w:b/>
      <w:bCs/>
      <w:color w:val="000000" w:themeColor="text1"/>
      <w:sz w:val="28"/>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rsid w:val="004C4652"/>
    <w:pPr>
      <w:keepNext/>
      <w:keepLines/>
      <w:spacing w:after="0" w:line="360" w:lineRule="auto"/>
      <w:jc w:val="center"/>
    </w:pPr>
    <w:rPr>
      <w:rFonts w:ascii="Times New Roman" w:hAnsi="Times New Roman"/>
    </w:rPr>
  </w:style>
  <w:style w:type="paragraph" w:styleId="Fecha">
    <w:name w:val="Date"/>
    <w:next w:val="Textoindependiente"/>
    <w:qFormat/>
    <w:rsid w:val="004C4652"/>
    <w:pPr>
      <w:keepNext/>
      <w:keepLines/>
      <w:spacing w:line="360" w:lineRule="auto"/>
      <w:jc w:val="center"/>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EE3C05"/>
    <w:pPr>
      <w:spacing w:before="0" w:after="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450DED"/>
    <w:pPr>
      <w:keepNext/>
      <w:pageBreakBefore/>
    </w:pPr>
    <w:rPr>
      <w:i w:val="0"/>
    </w:rPr>
  </w:style>
  <w:style w:type="paragraph" w:customStyle="1" w:styleId="ImageCaption">
    <w:name w:val="Image Caption"/>
    <w:basedOn w:val="Descripcin"/>
    <w:rsid w:val="00F40812"/>
    <w:rPr>
      <w:i w:val="0"/>
    </w:rPr>
  </w:style>
  <w:style w:type="paragraph" w:customStyle="1" w:styleId="Figure">
    <w:name w:val="Figure"/>
    <w:basedOn w:val="Normal"/>
    <w:rsid w:val="00450DED"/>
    <w:pPr>
      <w:keepNext/>
      <w:pageBreakBefore/>
    </w:pPr>
  </w:style>
  <w:style w:type="paragraph" w:customStyle="1" w:styleId="FigurewithCaption">
    <w:name w:val="Figure with Caption"/>
    <w:basedOn w:val="Figure"/>
    <w:rsid w:val="00C37F06"/>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492866"/>
    <w:rPr>
      <w:rFonts w:ascii="Times New Roman" w:hAnsi="Times New Roman"/>
      <w:color w:val="000000" w:themeColor="text1"/>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492866"/>
    <w:pPr>
      <w:shd w:val="clear" w:color="auto" w:fill="F8F8F8"/>
      <w:wordWrap w:val="0"/>
      <w:jc w:val="left"/>
    </w:pPr>
    <w:rPr>
      <w:color w:val="000000" w:themeColor="text1"/>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000000" w:themeColor="text1"/>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000000" w:themeColor="text1"/>
      <w:sz w:val="22"/>
      <w:shd w:val="clear" w:color="auto" w:fill="F8F8F8"/>
    </w:rPr>
  </w:style>
  <w:style w:type="character" w:customStyle="1" w:styleId="ExtensionTok">
    <w:name w:val="ExtensionTok"/>
    <w:basedOn w:val="VerbatimChar"/>
    <w:rPr>
      <w:rFonts w:ascii="Consolas" w:hAnsi="Consolas"/>
      <w:color w:val="000000" w:themeColor="text1"/>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000000" w:themeColor="text1"/>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000000" w:themeColor="text1"/>
      <w:sz w:val="22"/>
      <w:shd w:val="clear" w:color="auto" w:fill="F8F8F8"/>
    </w:rPr>
  </w:style>
  <w:style w:type="paragraph" w:customStyle="1" w:styleId="test">
    <w:name w:val="test"/>
    <w:basedOn w:val="Ttulo1"/>
    <w:link w:val="testCar"/>
    <w:rsid w:val="00F776F6"/>
  </w:style>
  <w:style w:type="character" w:customStyle="1" w:styleId="TextoindependienteCar">
    <w:name w:val="Texto independiente Car"/>
    <w:basedOn w:val="Fuentedeprrafopredeter"/>
    <w:link w:val="Textoindependiente"/>
    <w:rsid w:val="004C4652"/>
    <w:rPr>
      <w:rFonts w:ascii="Times New Roman" w:hAnsi="Times New Roman"/>
    </w:rPr>
  </w:style>
  <w:style w:type="character" w:customStyle="1" w:styleId="Ttulo1Car">
    <w:name w:val="Título 1 Car"/>
    <w:basedOn w:val="Fuentedeprrafopredeter"/>
    <w:link w:val="Ttulo1"/>
    <w:uiPriority w:val="9"/>
    <w:rsid w:val="004C4652"/>
    <w:rPr>
      <w:rFonts w:ascii="Times New Roman" w:eastAsiaTheme="majorEastAsia" w:hAnsi="Times New Roman" w:cstheme="majorBidi"/>
      <w:b/>
      <w:bCs/>
      <w:szCs w:val="32"/>
    </w:rPr>
  </w:style>
  <w:style w:type="character" w:customStyle="1" w:styleId="testCar">
    <w:name w:val="test Car"/>
    <w:basedOn w:val="Ttulo1Car"/>
    <w:link w:val="test"/>
    <w:rsid w:val="00F776F6"/>
    <w:rPr>
      <w:rFonts w:ascii="Times New Roman" w:eastAsiaTheme="majorEastAsia" w:hAnsi="Times New Roman" w:cstheme="majorBidi"/>
      <w:b/>
      <w:bCs/>
      <w:szCs w:val="32"/>
    </w:rPr>
  </w:style>
  <w:style w:type="paragraph" w:styleId="Encabezado">
    <w:name w:val="header"/>
    <w:basedOn w:val="Normal"/>
    <w:link w:val="EncabezadoCar"/>
    <w:unhideWhenUsed/>
    <w:rsid w:val="004A5E64"/>
    <w:pPr>
      <w:tabs>
        <w:tab w:val="center" w:pos="4252"/>
        <w:tab w:val="right" w:pos="8504"/>
      </w:tabs>
      <w:spacing w:after="0"/>
    </w:pPr>
  </w:style>
  <w:style w:type="character" w:customStyle="1" w:styleId="EncabezadoCar">
    <w:name w:val="Encabezado Car"/>
    <w:basedOn w:val="Fuentedeprrafopredeter"/>
    <w:link w:val="Encabezado"/>
    <w:rsid w:val="004A5E64"/>
  </w:style>
  <w:style w:type="paragraph" w:styleId="Piedepgina">
    <w:name w:val="footer"/>
    <w:basedOn w:val="Normal"/>
    <w:link w:val="PiedepginaCar"/>
    <w:uiPriority w:val="99"/>
    <w:unhideWhenUsed/>
    <w:rsid w:val="004A5E64"/>
    <w:pPr>
      <w:tabs>
        <w:tab w:val="center" w:pos="4252"/>
        <w:tab w:val="right" w:pos="8504"/>
      </w:tabs>
      <w:spacing w:after="0"/>
    </w:pPr>
  </w:style>
  <w:style w:type="character" w:customStyle="1" w:styleId="PiedepginaCar">
    <w:name w:val="Pie de página Car"/>
    <w:basedOn w:val="Fuentedeprrafopredeter"/>
    <w:link w:val="Piedepgina"/>
    <w:uiPriority w:val="99"/>
    <w:rsid w:val="004A5E64"/>
  </w:style>
  <w:style w:type="character" w:styleId="Nmerodelnea">
    <w:name w:val="line number"/>
    <w:basedOn w:val="Fuentedeprrafopredeter"/>
    <w:semiHidden/>
    <w:unhideWhenUsed/>
    <w:rsid w:val="004A5E64"/>
  </w:style>
  <w:style w:type="table" w:customStyle="1" w:styleId="Estilo1">
    <w:name w:val="Estilo1"/>
    <w:basedOn w:val="Tablanormal"/>
    <w:uiPriority w:val="99"/>
    <w:rsid w:val="00766059"/>
    <w:pPr>
      <w:spacing w:after="0"/>
    </w:pPr>
    <w:rPr>
      <w:rFonts w:ascii="Times New Roman" w:hAnsi="Times New Roman"/>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paragraph" w:customStyle="1" w:styleId="FigPos">
    <w:name w:val="FigPos"/>
    <w:basedOn w:val="Normal"/>
    <w:qFormat/>
    <w:rsid w:val="008D2608"/>
    <w:pPr>
      <w:pageBreakBefore/>
      <w:spacing w:line="480" w:lineRule="auto"/>
    </w:pPr>
    <w:rPr>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8"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6"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44" Target="https://doi.org/10.1007/s00299-007-0406-8" TargetMode="External" /><Relationship Type="http://schemas.openxmlformats.org/officeDocument/2006/relationships/hyperlink" Id="rId53" Target="https://doi.org/10.1007/s12230-012-9285-9" TargetMode="External" /><Relationship Type="http://schemas.openxmlformats.org/officeDocument/2006/relationships/hyperlink" Id="rId47" Target="https://doi.org/10.1016/S1161-0301(99)00019-2" TargetMode="External" /><Relationship Type="http://schemas.openxmlformats.org/officeDocument/2006/relationships/hyperlink" Id="rId51" Target="https://doi.org/10.1016/j.indcrop.2018.03.052" TargetMode="External" /><Relationship Type="http://schemas.openxmlformats.org/officeDocument/2006/relationships/hyperlink" Id="rId49" Target="https://doi.org/10.1016/j.plantsci.2004.10.016" TargetMode="External" /><Relationship Type="http://schemas.openxmlformats.org/officeDocument/2006/relationships/hyperlink" Id="rId45" Target="https://doi.org/10.1071/AR05069" TargetMode="External" /><Relationship Type="http://schemas.openxmlformats.org/officeDocument/2006/relationships/hyperlink" Id="rId54" Target="https://doi.org/10.9755/ejfa.v26i3.15853"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GerminaR - An R Package for germination analysis process with interactive web application GerminaQuant for R.</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package</dc:title>
  <dc:creator>Lozano-Isla, Flavio(1,*); Gomez, Jimmy(1)</dc:creator>
  <dcterms:created xsi:type="dcterms:W3CDTF">2018-10-17T23:08:24Z</dcterms:created>
  <dcterms:modified xsi:type="dcterms:W3CDTF">2018-10-17T23:08:24Z</dcterms:modified>
</cp:coreProperties>
</file>