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9.png" ContentType="image/png"/>
  <Override PartName="/word/media/rId60.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bookmarkStart w:id="21" w:name="abstract"/>
    <w:p>
      <w:pPr>
        <w:pStyle w:val="Ttulo1"/>
      </w:pPr>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bookmarkEnd w:id="21"/>
    <w:bookmarkStart w:id="22" w:name="introduction"/>
    <w:p>
      <w:pPr>
        <w:pStyle w:val="Ttulo1"/>
      </w:pPr>
      <w:r>
        <w:t xml:space="preserve">Introduction</w:t>
      </w:r>
    </w:p>
    <w:p>
      <w:pPr>
        <w:pStyle w:val="FirstParagraph"/>
      </w:pPr>
      <w:r>
        <w:t xml:space="preserve">Lorem ipsum</w:t>
      </w:r>
      <w:r>
        <w:t xml:space="preserve"> </w:t>
      </w:r>
      <w:r>
        <w:t xml:space="preserve">(</w:t>
      </w:r>
      <w:hyperlink w:anchor="ref-abbai2019">
        <w:r>
          <w:rPr>
            <w:rStyle w:val="Hipervnculo"/>
          </w:rPr>
          <w:t xml:space="preserve">Abbai et al., 2019</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w:t>
      </w:r>
      <w:hyperlink w:anchor="ref-bergström2020">
        <w:r>
          <w:rPr>
            <w:rStyle w:val="Hipervnculo"/>
          </w:rPr>
          <w:t xml:space="preserve">Bergström et al., 2020</w:t>
        </w:r>
      </w:hyperlink>
      <w:r>
        <w:t xml:space="preserve">;</w:t>
      </w:r>
      <w:r>
        <w:t xml:space="preserve"> </w:t>
      </w:r>
      <w:hyperlink w:anchor="ref-bhatt2019">
        <w:r>
          <w:rPr>
            <w:rStyle w:val="Hipervnculo"/>
          </w:rPr>
          <w:t xml:space="preserve">Bhatt et al., 2019</w:t>
        </w:r>
      </w:hyperlink>
      <w:r>
        <w:t xml:space="preserve">)</w:t>
      </w:r>
      <w:r>
        <w:t xml:space="preserve">.</w:t>
      </w:r>
    </w:p>
    <w:p>
      <w:pPr>
        <w:pStyle w:val="BodyText"/>
      </w:pPr>
      <w:r>
        <w:t xml:space="preserve">Curabitur tortor</w:t>
      </w:r>
      <w:r>
        <w:t xml:space="preserve"> </w:t>
      </w:r>
      <w:r>
        <w:t xml:space="preserve">(</w:t>
      </w:r>
      <w:hyperlink w:anchor="ref-donald1976">
        <w:r>
          <w:rPr>
            <w:rStyle w:val="Hipervnculo"/>
          </w:rPr>
          <w:t xml:space="preserve">Donald &amp; Hamblin, 1976</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bookmarkEnd w:id="22"/>
    <w:bookmarkStart w:id="29" w:name="materials-and-methods"/>
    <w:p>
      <w:pPr>
        <w:pStyle w:val="Ttulo1"/>
      </w:pPr>
      <w:r>
        <w:t xml:space="preserve">Materials and Methods</w:t>
      </w:r>
    </w:p>
    <w:p>
      <w:pPr>
        <w:pStyle w:val="FirstParagraph"/>
      </w:pPr>
      <w:r>
        <w:t xml:space="preserve">The data was analyzed in the statistical software R</w:t>
      </w:r>
      <w:r>
        <w:t xml:space="preserve"> </w:t>
      </w:r>
      <w:r>
        <w:t xml:space="preserve">(</w:t>
      </w:r>
      <w:hyperlink w:anchor="ref-R-base">
        <w:r>
          <w:rPr>
            <w:rStyle w:val="Hipervnculo"/>
          </w:rPr>
          <w:t xml:space="preserve">R Core Team, 2020</w:t>
        </w:r>
      </w:hyperlink>
      <w:r>
        <w:t xml:space="preserve">)</w:t>
      </w:r>
      <w:r>
        <w:t xml:space="preserve">. The germination analysis and graphics was carried out with the package GerminaR</w:t>
      </w:r>
      <w:r>
        <w:t xml:space="preserve"> </w:t>
      </w:r>
      <w:r>
        <w:t xml:space="preserve">(</w:t>
      </w:r>
      <w:hyperlink w:anchor="ref-R-GerminaR">
        <w:r>
          <w:rPr>
            <w:rStyle w:val="Hipervnculo"/>
          </w:rPr>
          <w:t xml:space="preserve">Lozano Isla et al., 2020</w:t>
        </w:r>
      </w:hyperlink>
      <w:r>
        <w:t xml:space="preserve">)</w:t>
      </w:r>
      <w:r>
        <w:t xml:space="preserve">. Each variable was submitted at analysis of variance (ANOVA) and the mean comparison test used was Student-Newman Keuls (P&lt;0.05)</w:t>
      </w:r>
      <w:r>
        <w:t xml:space="preserve"> </w:t>
      </w:r>
      <w:r>
        <w:t xml:space="preserve">(</w:t>
      </w:r>
      <w:hyperlink w:anchor="ref-R-agricolae">
        <w:r>
          <w:rPr>
            <w:rStyle w:val="Hipervnculo"/>
          </w:rPr>
          <w:t xml:space="preserve">de Mendiburu, 2020</w:t>
        </w:r>
      </w:hyperlink>
      <w:r>
        <w:t xml:space="preserve">)</w:t>
      </w:r>
      <w:r>
        <w:t xml:space="preserve">. For the multivariate analysis, the principal components analysis (PCA) and cluster hierarchical classification analysis (HCPC) will be used .</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w:t>
      </w:r>
      <w:hyperlink w:anchor="ref-R-FactoMineR">
        <w:r>
          <w:rPr>
            <w:rStyle w:val="Hipervnculo"/>
          </w:rPr>
          <w:t xml:space="preserve">Husson et al., 2020</w:t>
        </w:r>
      </w:hyperlink>
      <w:r>
        <w:t xml:space="preserve">)</w:t>
      </w:r>
      <w:r>
        <w:t xml:space="preserve">.</w:t>
      </w:r>
    </w:p>
    <w:p>
      <w:pPr>
        <w:pStyle w:val="BodyText"/>
      </w:pPr>
      <w:r>
        <w:t xml:space="preserve">More information about multivarite analysis in</w:t>
      </w:r>
      <w:r>
        <w:t xml:space="preserve"> </w:t>
      </w:r>
      <w:hyperlink r:id="rId23">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4">
        <w:r>
          <w:rPr>
            <w:rStyle w:val="Hipervnculo"/>
          </w:rPr>
          <w:t xml:space="preserve">https://www.youtube.com/watch?v=pks8m2ka7Pk&amp;feature=youtu.be</w:t>
        </w:r>
      </w:hyperlink>
    </w:p>
    <w:p>
      <w:pPr>
        <w:pStyle w:val="BodyText"/>
      </w:pPr>
      <w:r>
        <w:rPr>
          <w:b/>
        </w:rPr>
        <w:t xml:space="preserve">HCPC:</w:t>
      </w:r>
      <w:r>
        <w:t xml:space="preserve"> </w:t>
      </w:r>
      <w:hyperlink r:id="rId25">
        <w:r>
          <w:rPr>
            <w:rStyle w:val="Hipervnculo"/>
          </w:rPr>
          <w:t xml:space="preserve">https://www.youtube.com/watch?v=4XrgWmN9erg</w:t>
        </w:r>
      </w:hyperlink>
    </w:p>
    <w:bookmarkStart w:id="27" w:name="data-set"/>
    <w:p>
      <w:pPr>
        <w:pStyle w:val="Ttulo2"/>
      </w:pPr>
      <w:r>
        <w:t xml:space="preserve">Data set</w:t>
      </w:r>
    </w:p>
    <w:p>
      <w:pPr>
        <w:pStyle w:val="FirstParagraph"/>
      </w:pPr>
      <w:r>
        <w:t xml:space="preserve">The data set used for this analysis is available in the following link:</w:t>
      </w:r>
      <w:r>
        <w:t xml:space="preserve"> </w:t>
      </w:r>
      <w:hyperlink r:id="rId26">
        <w:r>
          <w:rPr>
            <w:rStyle w:val="Hipervnculo"/>
          </w:rPr>
          <w:t xml:space="preserve">DATA SET</w:t>
        </w:r>
      </w:hyperlink>
    </w:p>
    <w:bookmarkEnd w:id="27"/>
    <w:bookmarkStart w:id="28" w:name="nulla-metus-metus"/>
    <w:p>
      <w:pPr>
        <w:pStyle w:val="Ttulo2"/>
      </w:pPr>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bookmarkEnd w:id="28"/>
    <w:bookmarkEnd w:id="29"/>
    <w:bookmarkStart w:id="32" w:name="results"/>
    <w:p>
      <w:pPr>
        <w:pStyle w:val="Ttulo1"/>
      </w:pPr>
      <w:r>
        <w:t xml:space="preserve">Results</w:t>
      </w:r>
    </w:p>
    <w:bookmarkStart w:id="30" w:name="sed-convallis-tristique-sem"/>
    <w:p>
      <w:pPr>
        <w:pStyle w:val="Ttulo2"/>
      </w:pPr>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w:t>
      </w:r>
    </w:p>
    <w:p>
      <w:pPr>
        <w:pStyle w:val="SourceCode"/>
      </w:pPr>
      <w:r>
        <w:rPr>
          <w:rStyle w:val="FunctionTok"/>
        </w:rPr>
        <w:t xml:space="preserve">library</w:t>
      </w:r>
      <w:r>
        <w:rPr>
          <w:rStyle w:val="NormalTok"/>
        </w:rPr>
        <w:t xml:space="preserve">(GerminaR) </w:t>
      </w:r>
      <w:r>
        <w:br/>
      </w:r>
      <w:r>
        <w:br/>
      </w:r>
      <w:r>
        <w:rPr>
          <w:rStyle w:val="CommentTok"/>
        </w:rPr>
        <w:t xml:space="preserve"># load data</w:t>
      </w:r>
      <w:r>
        <w:br/>
      </w:r>
      <w:r>
        <w:rPr>
          <w:rStyle w:val="NormalTok"/>
        </w:rPr>
        <w:t xml:space="preserve">fb </w:t>
      </w:r>
      <w:r>
        <w:rPr>
          <w:rStyle w:val="OtherTok"/>
        </w:rPr>
        <w:t xml:space="preserve">&lt;-</w:t>
      </w:r>
      <w:r>
        <w:rPr>
          <w:rStyle w:val="NormalTok"/>
        </w:rPr>
        <w:t xml:space="preserve"> prosopis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(rep, nacl, temp), </w:t>
      </w:r>
      <w:r>
        <w:rPr>
          <w:rStyle w:val="SpecialCharTok"/>
        </w:rPr>
        <w:t xml:space="preserve">~</w:t>
      </w:r>
      <w:r>
        <w:rPr>
          <w:rStyle w:val="NormalTok"/>
        </w:rPr>
        <w:t xml:space="preserve"> </w:t>
      </w:r>
      <w:r>
        <w:rPr>
          <w:rStyle w:val="FunctionTok"/>
        </w:rPr>
        <w:t xml:space="preserve">as.character</w:t>
      </w:r>
      <w:r>
        <w:rPr>
          <w:rStyle w:val="NormalTok"/>
        </w:rPr>
        <w:t xml:space="preserve">(.) ))</w:t>
      </w:r>
      <w:r>
        <w:br/>
      </w:r>
      <w:r>
        <w:br/>
      </w:r>
      <w:r>
        <w:rPr>
          <w:rStyle w:val="CommentTok"/>
        </w:rPr>
        <w:t xml:space="preserve"># germination analysis</w:t>
      </w:r>
      <w:r>
        <w:br/>
      </w:r>
      <w:r>
        <w:rPr>
          <w:rStyle w:val="NormalTok"/>
        </w:rPr>
        <w:t xml:space="preserve">gsm </w:t>
      </w:r>
      <w:r>
        <w:rPr>
          <w:rStyle w:val="OtherTok"/>
        </w:rPr>
        <w:t xml:space="preserve">&lt;-</w:t>
      </w:r>
      <w:r>
        <w:rPr>
          <w:rStyle w:val="NormalTok"/>
        </w:rPr>
        <w:t xml:space="preserve"> </w:t>
      </w:r>
      <w:r>
        <w:rPr>
          <w:rStyle w:val="FunctionTok"/>
        </w:rPr>
        <w:t xml:space="preserve">ger_summary</w:t>
      </w:r>
      <w:r>
        <w:rPr>
          <w:rStyle w:val="NormalTok"/>
        </w:rPr>
        <w:t xml:space="preserve">(</w:t>
      </w:r>
      <w:r>
        <w:rPr>
          <w:rStyle w:val="AttributeTok"/>
        </w:rPr>
        <w:t xml:space="preserve">SeedN =</w:t>
      </w:r>
      <w:r>
        <w:rPr>
          <w:rStyle w:val="NormalTok"/>
        </w:rPr>
        <w:t xml:space="preserve"> </w:t>
      </w:r>
      <w:r>
        <w:rPr>
          <w:rStyle w:val="StringTok"/>
        </w:rPr>
        <w:t xml:space="preserve">"seeds"</w:t>
      </w:r>
      <w:r>
        <w:rPr>
          <w:rStyle w:val="NormalTok"/>
        </w:rPr>
        <w:t xml:space="preserve">, </w:t>
      </w:r>
      <w:r>
        <w:rPr>
          <w:rStyle w:val="AttributeTok"/>
        </w:rPr>
        <w:t xml:space="preserve">evalName =</w:t>
      </w:r>
      <w:r>
        <w:rPr>
          <w:rStyle w:val="NormalTok"/>
        </w:rPr>
        <w:t xml:space="preserve"> </w:t>
      </w:r>
      <w:r>
        <w:rPr>
          <w:rStyle w:val="StringTok"/>
        </w:rPr>
        <w:t xml:space="preserve">"D"</w:t>
      </w:r>
      <w:r>
        <w:rPr>
          <w:rStyle w:val="NormalTok"/>
        </w:rPr>
        <w:t xml:space="preserve">, </w:t>
      </w:r>
      <w:r>
        <w:rPr>
          <w:rStyle w:val="AttributeTok"/>
        </w:rPr>
        <w:t xml:space="preserve">data =</w:t>
      </w:r>
      <w:r>
        <w:rPr>
          <w:rStyle w:val="NormalTok"/>
        </w:rPr>
        <w:t xml:space="preserve"> fb)</w:t>
      </w:r>
      <w:r>
        <w:br/>
      </w:r>
      <w:r>
        <w:rPr>
          <w:rStyle w:val="FunctionTok"/>
        </w:rPr>
        <w:t xml:space="preserve">str</w:t>
      </w:r>
      <w:r>
        <w:rPr>
          <w:rStyle w:val="NormalTok"/>
        </w:rPr>
        <w:t xml:space="preserve">(gsm)</w:t>
      </w:r>
      <w:r>
        <w:br/>
      </w:r>
      <w:r>
        <w:br/>
      </w:r>
      <w:r>
        <w:rPr>
          <w:rStyle w:val="CommentTok"/>
        </w:rPr>
        <w:t xml:space="preserve"># analisys of variance</w:t>
      </w:r>
      <w:r>
        <w:br/>
      </w:r>
      <w:r>
        <w:rPr>
          <w:rStyle w:val="NormalTok"/>
        </w:rPr>
        <w:t xml:space="preserve">av </w:t>
      </w:r>
      <w:r>
        <w:rPr>
          <w:rStyle w:val="OtherTok"/>
        </w:rPr>
        <w:t xml:space="preserve">&lt;-</w:t>
      </w:r>
      <w:r>
        <w:rPr>
          <w:rStyle w:val="NormalTok"/>
        </w:rPr>
        <w:t xml:space="preserve"> </w:t>
      </w:r>
      <w:r>
        <w:rPr>
          <w:rStyle w:val="FunctionTok"/>
        </w:rPr>
        <w:t xml:space="preserve">aov</w:t>
      </w:r>
      <w:r>
        <w:rPr>
          <w:rStyle w:val="NormalTok"/>
        </w:rPr>
        <w:t xml:space="preserve">(</w:t>
      </w:r>
      <w:r>
        <w:rPr>
          <w:rStyle w:val="AttributeTok"/>
        </w:rPr>
        <w:t xml:space="preserve">formula =</w:t>
      </w:r>
      <w:r>
        <w:rPr>
          <w:rStyle w:val="NormalTok"/>
        </w:rPr>
        <w:t xml:space="preserve"> grp </w:t>
      </w:r>
      <w:r>
        <w:rPr>
          <w:rStyle w:val="SpecialCharTok"/>
        </w:rPr>
        <w:t xml:space="preserve">~</w:t>
      </w:r>
      <w:r>
        <w:rPr>
          <w:rStyle w:val="NormalTok"/>
        </w:rPr>
        <w:t xml:space="preserve"> nacl</w:t>
      </w:r>
      <w:r>
        <w:rPr>
          <w:rStyle w:val="SpecialCharTok"/>
        </w:rPr>
        <w:t xml:space="preserve">*</w:t>
      </w:r>
      <w:r>
        <w:rPr>
          <w:rStyle w:val="NormalTok"/>
        </w:rPr>
        <w:t xml:space="preserve">temp </w:t>
      </w:r>
      <w:r>
        <w:rPr>
          <w:rStyle w:val="SpecialCharTok"/>
        </w:rPr>
        <w:t xml:space="preserve">+</w:t>
      </w:r>
      <w:r>
        <w:rPr>
          <w:rStyle w:val="NormalTok"/>
        </w:rPr>
        <w:t xml:space="preserve"> rep, </w:t>
      </w:r>
      <w:r>
        <w:rPr>
          <w:rStyle w:val="AttributeTok"/>
        </w:rPr>
        <w:t xml:space="preserve">data =</w:t>
      </w:r>
      <w:r>
        <w:rPr>
          <w:rStyle w:val="NormalTok"/>
        </w:rPr>
        <w:t xml:space="preserve"> gsm)</w:t>
      </w:r>
      <w:r>
        <w:br/>
      </w:r>
      <w:r>
        <w:rPr>
          <w:rStyle w:val="FunctionTok"/>
        </w:rPr>
        <w:t xml:space="preserve">summary</w:t>
      </w:r>
      <w:r>
        <w:rPr>
          <w:rStyle w:val="NormalTok"/>
        </w:rPr>
        <w:t xml:space="preserve">(av)</w:t>
      </w:r>
      <w:r>
        <w:br/>
      </w:r>
      <w:r>
        <w:br/>
      </w:r>
      <w:r>
        <w:rPr>
          <w:rStyle w:val="CommentTok"/>
        </w:rPr>
        <w:t xml:space="preserve"># mean comparision test</w:t>
      </w:r>
      <w:r>
        <w:br/>
      </w:r>
      <w:r>
        <w:rPr>
          <w:rStyle w:val="NormalTok"/>
        </w:rPr>
        <w:t xml:space="preserve">mc </w:t>
      </w:r>
      <w:r>
        <w:rPr>
          <w:rStyle w:val="OtherTok"/>
        </w:rPr>
        <w:t xml:space="preserve">&lt;-</w:t>
      </w:r>
      <w:r>
        <w:rPr>
          <w:rStyle w:val="NormalTok"/>
        </w:rPr>
        <w:t xml:space="preserve"> </w:t>
      </w:r>
      <w:r>
        <w:rPr>
          <w:rStyle w:val="FunctionTok"/>
        </w:rPr>
        <w:t xml:space="preserve">ger_testcomp</w:t>
      </w:r>
      <w:r>
        <w:rPr>
          <w:rStyle w:val="NormalTok"/>
        </w:rPr>
        <w:t xml:space="preserve">(</w:t>
      </w:r>
      <w:r>
        <w:rPr>
          <w:rStyle w:val="AttributeTok"/>
        </w:rPr>
        <w:t xml:space="preserve">aov =</w:t>
      </w:r>
      <w:r>
        <w:rPr>
          <w:rStyle w:val="NormalTok"/>
        </w:rPr>
        <w:t xml:space="preserve"> av, </w:t>
      </w:r>
      <w:r>
        <w:rPr>
          <w:rStyle w:val="AttributeTok"/>
        </w:rPr>
        <w:t xml:space="preserve">comp =</w:t>
      </w:r>
      <w:r>
        <w:rPr>
          <w:rStyle w:val="NormalTok"/>
        </w:rPr>
        <w:t xml:space="preserve"> </w:t>
      </w:r>
      <w:r>
        <w:rPr>
          <w:rStyle w:val="Function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AttributeTok"/>
        </w:rPr>
        <w:t xml:space="preserve">type =</w:t>
      </w:r>
      <w:r>
        <w:rPr>
          <w:rStyle w:val="NormalTok"/>
        </w:rPr>
        <w:t xml:space="preserve"> </w:t>
      </w:r>
      <w:r>
        <w:rPr>
          <w:rStyle w:val="StringTok"/>
        </w:rPr>
        <w:t xml:space="preserve">"snk"</w:t>
      </w:r>
      <w:r>
        <w:rPr>
          <w:rStyle w:val="NormalTok"/>
        </w:rPr>
        <w:t xml:space="preserve">)</w:t>
      </w:r>
    </w:p>
    <w:bookmarkEnd w:id="30"/>
    <w:bookmarkStart w:id="31" w:name="class-aptent-taciti"/>
    <w:p>
      <w:pPr>
        <w:pStyle w:val="Ttulo2"/>
      </w:pPr>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bookmarkEnd w:id="31"/>
    <w:bookmarkEnd w:id="32"/>
    <w:bookmarkStart w:id="33" w:name="discussion"/>
    <w:p>
      <w:pPr>
        <w:pStyle w:val="Ttulo1"/>
      </w:pPr>
      <w:r>
        <w:t xml:space="preserve">Discussion</w:t>
      </w:r>
    </w:p>
    <w:p>
      <w:pPr>
        <w:pStyle w:val="FirstParagraph"/>
      </w:pPr>
      <w:r>
        <w:t xml:space="preserve">Curabitur tortor</w:t>
      </w:r>
      <w:r>
        <w:t xml:space="preserve"> </w:t>
      </w:r>
      <w:r>
        <w:t xml:space="preserve">(</w:t>
      </w:r>
      <w:hyperlink w:anchor="ref-GerminaR2019">
        <w:r>
          <w:rPr>
            <w:rStyle w:val="Hipervnculo"/>
          </w:rPr>
          <w:t xml:space="preserve">Lozano-Isla et al., 2019</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 .</w:t>
      </w:r>
    </w:p>
    <w:bookmarkEnd w:id="33"/>
    <w:bookmarkStart w:id="34" w:name="conclusions"/>
    <w:p>
      <w:pPr>
        <w:pStyle w:val="Ttulo1"/>
      </w:pPr>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bookmarkEnd w:id="34"/>
    <w:bookmarkStart w:id="35" w:name="acknowledgments"/>
    <w:p>
      <w:pPr>
        <w:pStyle w:val="Ttulo1"/>
      </w:pPr>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bookmarkEnd w:id="35"/>
    <w:bookmarkStart w:id="61" w:name="references"/>
    <w:p>
      <w:pPr>
        <w:pStyle w:val="Ttulo1"/>
      </w:pPr>
      <w:r>
        <w:t xml:space="preserve">References</w:t>
      </w:r>
    </w:p>
    <w:bookmarkStart w:id="56" w:name="refs"/>
    <w:bookmarkStart w:id="37" w:name="ref-abbai2019"/>
    <w:p>
      <w:pPr>
        <w:pStyle w:val="Bibliografa"/>
      </w:pPr>
      <w:r>
        <w:t xml:space="preserve">Abbai, R., Singh, V. K., Nachimuthu, V. V., Sinha, P., Selvaraj, R., Vipparla, A. K., Singh, A. K., Singh, U. M., Varshney, R. K., &amp; Kumar, A. (2019). Haplotype analysis of key genes governing grain yield and quality traits across 3K RG panel reveals scope for the development of tailor-made rice with enhanced genetic gains.</w:t>
      </w:r>
      <w:r>
        <w:t xml:space="preserve"> </w:t>
      </w:r>
      <w:r>
        <w:rPr>
          <w:i/>
        </w:rPr>
        <w:t xml:space="preserve">Plant Biotechnology Journal</w:t>
      </w:r>
      <w:r>
        <w:t xml:space="preserve">,</w:t>
      </w:r>
      <w:r>
        <w:t xml:space="preserve"> </w:t>
      </w:r>
      <w:r>
        <w:rPr>
          <w:i/>
        </w:rPr>
        <w:t xml:space="preserve">17</w:t>
      </w:r>
      <w:r>
        <w:t xml:space="preserve">(8), 1612–1622.</w:t>
      </w:r>
      <w:r>
        <w:t xml:space="preserve"> </w:t>
      </w:r>
      <w:hyperlink r:id="rId36">
        <w:r>
          <w:rPr>
            <w:rStyle w:val="Hipervnculo"/>
          </w:rPr>
          <w:t xml:space="preserve">https://doi.org/10.1111/pbi.13087</w:t>
        </w:r>
      </w:hyperlink>
    </w:p>
    <w:bookmarkEnd w:id="37"/>
    <w:bookmarkStart w:id="39" w:name="ref-bergström2020"/>
    <w:p>
      <w:pPr>
        <w:pStyle w:val="Bibliografa"/>
      </w:pPr>
      <w:r>
        <w:t xml:space="preserve">Bergström, A., McCarthy, S. A., Hui, R., Almarri, M. A., Ayub, Q., Danecek, P., Chen, Y., Felkel, S., Hallast, P., Kamm, J., &amp; al., et. (2020). Insights into human genetic variation and population history from 929 diverse genomes.</w:t>
      </w:r>
      <w:r>
        <w:t xml:space="preserve"> </w:t>
      </w:r>
      <w:r>
        <w:rPr>
          <w:i/>
        </w:rPr>
        <w:t xml:space="preserve">Science</w:t>
      </w:r>
      <w:r>
        <w:t xml:space="preserve">,</w:t>
      </w:r>
      <w:r>
        <w:t xml:space="preserve"> </w:t>
      </w:r>
      <w:r>
        <w:rPr>
          <w:i/>
        </w:rPr>
        <w:t xml:space="preserve">367</w:t>
      </w:r>
      <w:r>
        <w:t xml:space="preserve">(6484).</w:t>
      </w:r>
      <w:r>
        <w:t xml:space="preserve"> </w:t>
      </w:r>
      <w:hyperlink r:id="rId38">
        <w:r>
          <w:rPr>
            <w:rStyle w:val="Hipervnculo"/>
          </w:rPr>
          <w:t xml:space="preserve">https://doi.org/10.1126/science.aay5012</w:t>
        </w:r>
      </w:hyperlink>
    </w:p>
    <w:bookmarkEnd w:id="39"/>
    <w:bookmarkStart w:id="41" w:name="ref-bhatt2019"/>
    <w:p>
      <w:pPr>
        <w:pStyle w:val="Bibliografa"/>
      </w:pPr>
      <w:r>
        <w:t xml:space="preserve">Bhatt, A., Bhat, N. R., Lozano-Isla, F., Gallacher, D., Santo, A., Batista-Silva, W., Fernandes, D., &amp; Pompelli, M. F. (2019). Germination asynchrony is increased by dual seed bank presence in two desert perennial halophytes.</w:t>
      </w:r>
      <w:r>
        <w:t xml:space="preserve"> </w:t>
      </w:r>
      <w:r>
        <w:rPr>
          <w:i/>
        </w:rPr>
        <w:t xml:space="preserve">Botany</w:t>
      </w:r>
      <w:r>
        <w:t xml:space="preserve">,</w:t>
      </w:r>
      <w:r>
        <w:t xml:space="preserve"> </w:t>
      </w:r>
      <w:r>
        <w:rPr>
          <w:i/>
        </w:rPr>
        <w:t xml:space="preserve">97</w:t>
      </w:r>
      <w:r>
        <w:t xml:space="preserve">(11), 639–649.</w:t>
      </w:r>
      <w:r>
        <w:t xml:space="preserve"> </w:t>
      </w:r>
      <w:hyperlink r:id="rId40">
        <w:r>
          <w:rPr>
            <w:rStyle w:val="Hipervnculo"/>
          </w:rPr>
          <w:t xml:space="preserve">https://doi.org/10.1139/cjb-2019-0071</w:t>
        </w:r>
      </w:hyperlink>
    </w:p>
    <w:bookmarkEnd w:id="41"/>
    <w:bookmarkStart w:id="43"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2">
        <w:r>
          <w:rPr>
            <w:rStyle w:val="Hipervnculo"/>
          </w:rPr>
          <w:t xml:space="preserve">https://CRAN.R-project.org/package=agricolae</w:t>
        </w:r>
      </w:hyperlink>
    </w:p>
    <w:bookmarkEnd w:id="43"/>
    <w:bookmarkStart w:id="45" w:name="ref-donald1976"/>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44">
        <w:r>
          <w:rPr>
            <w:rStyle w:val="Hipervnculo"/>
          </w:rPr>
          <w:t xml:space="preserve">http://www.sciencedirect.com/science/article/pii/S0065211308605593</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48">
        <w:r>
          <w:rPr>
            <w:rStyle w:val="Hipervnculo"/>
          </w:rPr>
          <w:t xml:space="preserve">https://flavjack.github.io/germinaquant/</w:t>
        </w:r>
      </w:hyperlink>
    </w:p>
    <w:bookmarkEnd w:id="49"/>
    <w:bookmarkStart w:id="51" w:name="ref-GerminaR2019"/>
    <w:p>
      <w:pPr>
        <w:pStyle w:val="Bibliografa"/>
      </w:pPr>
      <w:r>
        <w:t xml:space="preserve">Lozano-Isla, Flavio, Benites-Alfaro, Omar Eduardo, Pompelli, &amp; Marcelo Francisco. (2019).</w:t>
      </w:r>
      <w:r>
        <w:t xml:space="preserve"> </w:t>
      </w:r>
      <w:r>
        <w:t xml:space="preserve">GerminaR</w:t>
      </w:r>
      <w:r>
        <w:t xml:space="preserve">:</w:t>
      </w:r>
      <w:r>
        <w:t xml:space="preserve"> </w:t>
      </w:r>
      <w:r>
        <w:t xml:space="preserve">An R</w:t>
      </w:r>
      <w:r>
        <w:t xml:space="preserve"> </w:t>
      </w:r>
      <w:r>
        <w:t xml:space="preserve">package for germination analysis with the interactive web application</w:t>
      </w:r>
      <w:r>
        <w:t xml:space="preserve"> </w:t>
      </w:r>
      <w:r>
        <w:t xml:space="preserve">“</w:t>
      </w:r>
      <w:r>
        <w:t xml:space="preserve">GerminaQuant</w:t>
      </w:r>
      <w:r>
        <w:t xml:space="preserve"> </w:t>
      </w:r>
      <w:r>
        <w:t xml:space="preserve">for</w:t>
      </w:r>
      <w:r>
        <w:t xml:space="preserve"> </w:t>
      </w:r>
      <w:r>
        <w:t xml:space="preserve">R</w:t>
      </w:r>
      <w:r>
        <w:t xml:space="preserve">.”</w:t>
      </w:r>
      <w:r>
        <w:t xml:space="preserve"> </w:t>
      </w:r>
      <w:r>
        <w:rPr>
          <w:i/>
        </w:rPr>
        <w:t xml:space="preserve">Ecological Research</w:t>
      </w:r>
      <w:r>
        <w:t xml:space="preserve">,</w:t>
      </w:r>
      <w:r>
        <w:t xml:space="preserve"> </w:t>
      </w:r>
      <w:r>
        <w:rPr>
          <w:i/>
        </w:rPr>
        <w:t xml:space="preserve">34</w:t>
      </w:r>
      <w:r>
        <w:t xml:space="preserve">(2), 339–346.</w:t>
      </w:r>
      <w:r>
        <w:t xml:space="preserve"> </w:t>
      </w:r>
      <w:hyperlink r:id="rId50">
        <w:r>
          <w:rPr>
            <w:rStyle w:val="Hipervnculo"/>
          </w:rPr>
          <w:t xml:space="preserve">https://doi.org/10.1111/1440-1703.1275</w:t>
        </w:r>
      </w:hyperlink>
    </w:p>
    <w:bookmarkEnd w:id="51"/>
    <w:bookmarkStart w:id="53"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2">
        <w:r>
          <w:rPr>
            <w:rStyle w:val="Hipervnculo"/>
          </w:rPr>
          <w:t xml:space="preserve">https://www.R-project.org/</w:t>
        </w:r>
      </w:hyperlink>
    </w:p>
    <w:bookmarkEnd w:id="53"/>
    <w:bookmarkStart w:id="55" w:name="ref-schafleitner2007"/>
    <w:p>
      <w:pPr>
        <w:pStyle w:val="Bibliografa"/>
      </w:pPr>
      <w:r>
        <w:t xml:space="preserve">Schafleitner, R., Gutierrez, R., Espino, R., Gaudin, A., Pérez, J., Martínez, M., Domínguez, A., Tincopa, L., Alvarado, C., Numberto, G., &amp; al., et.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54">
        <w:r>
          <w:rPr>
            <w:rStyle w:val="Hipervnculo"/>
          </w:rPr>
          <w:t xml:space="preserve">https://doi.org/10.1007/s11540-007-9030-9</w:t>
        </w:r>
      </w:hyperlink>
    </w:p>
    <w:bookmarkEnd w:id="55"/>
    <w:bookmarkEnd w:id="56"/>
    <w:p>
      <w:r>
        <w:br w:type="page"/>
      </w:r>
    </w:p>
    <w:p>
      <w:pPr>
        <w:pStyle w:val="TableCaption"/>
      </w:pPr>
      <w:r>
        <w:t xml:space="preserve">Table 1: Germination dataset import from a googlesheet</w:t>
      </w:r>
    </w:p>
    <w:tbl>
      <w:tblPr>
        <w:tblStyle w:val="Table"/>
        <w:tblW w:type="pct" w:w="0.0"/>
        <w:tblLook w:firstRow="1" w:lastRow="0" w:firstColumn="0" w:lastColumn="0" w:noHBand="0" w:noVBand="0"/>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hyperlink w:anchor="ref-schafleitner2007">
        <w:r>
          <w:rPr>
            <w:rStyle w:val="Hipervnculo"/>
          </w:rPr>
          <w:t xml:space="preserve">Schafleitner et al.</w:t>
        </w:r>
      </w:hyperlink>
      <w:r>
        <w:t xml:space="preserve"> </w:t>
      </w:r>
      <w:r>
        <w:t xml:space="preserve">(</w:t>
      </w:r>
      <w:hyperlink w:anchor="ref-schafleitner2007">
        <w:r>
          <w:rPr>
            <w:rStyle w:val="Hipervnculo"/>
          </w:rPr>
          <w:t xml:space="preserve">2007</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57"/>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58"/>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59"/>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5969000" cy="4974868"/>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0"/>
                    <a:stretch>
                      <a:fillRect/>
                    </a:stretch>
                  </pic:blipFill>
                  <pic:spPr bwMode="auto">
                    <a:xfrm>
                      <a:off x="0" y="0"/>
                      <a:ext cx="5969000" cy="4974868"/>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bookmarkEnd w:id="61"/>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hyperlink" Id="rId23" Target="http://factominer.free.fr/index.html" TargetMode="External" /><Relationship Type="http://schemas.openxmlformats.org/officeDocument/2006/relationships/hyperlink" Id="rId44" Target="http://www.sciencedirect.com/science/article/pii/S0065211308605593" TargetMode="External" /><Relationship Type="http://schemas.openxmlformats.org/officeDocument/2006/relationships/hyperlink" Id="rId46" Target="https://CRAN.R-project.org/package=FactoMineR" TargetMode="External" /><Relationship Type="http://schemas.openxmlformats.org/officeDocument/2006/relationships/hyperlink" Id="rId42" Target="https://CRAN.R-project.org/package=agricolae" TargetMode="External" /><Relationship Type="http://schemas.openxmlformats.org/officeDocument/2006/relationships/hyperlink" Id="rId26" Target="https://docs.google.com/spreadsheets/d/1QziIXGOwb8cl3GaARJq6Ez6aU7vND_UHKJnFcAKx0VI/edit#gid=137089581" TargetMode="External" /><Relationship Type="http://schemas.openxmlformats.org/officeDocument/2006/relationships/hyperlink" Id="rId54" Target="https://doi.org/10.1007/s11540-007-9030-9" TargetMode="External" /><Relationship Type="http://schemas.openxmlformats.org/officeDocument/2006/relationships/hyperlink" Id="rId50" Target="https://doi.org/10.1111/1440-1703.1275" TargetMode="External" /><Relationship Type="http://schemas.openxmlformats.org/officeDocument/2006/relationships/hyperlink" Id="rId36" Target="https://doi.org/10.1111/pbi.13087" TargetMode="External" /><Relationship Type="http://schemas.openxmlformats.org/officeDocument/2006/relationships/hyperlink" Id="rId38" Target="https://doi.org/10.1126/science.aay5012" TargetMode="External" /><Relationship Type="http://schemas.openxmlformats.org/officeDocument/2006/relationships/hyperlink" Id="rId40" Target="https://doi.org/10.1139/cjb-2019-0071" TargetMode="External" /><Relationship Type="http://schemas.openxmlformats.org/officeDocument/2006/relationships/hyperlink" Id="rId48" Target="https://flavjack.github.io/germinaquant/" TargetMode="External" /><Relationship Type="http://schemas.openxmlformats.org/officeDocument/2006/relationships/hyperlink" Id="rId52" Target="https://www.R-project.org/" TargetMode="External" /><Relationship Type="http://schemas.openxmlformats.org/officeDocument/2006/relationships/hyperlink" Id="rId25" Target="https://www.youtube.com/watch?v=4XrgWmN9erg" TargetMode="External" /><Relationship Type="http://schemas.openxmlformats.org/officeDocument/2006/relationships/hyperlink" Id="rId24"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factominer.free.fr/index.html" TargetMode="External" /><Relationship Type="http://schemas.openxmlformats.org/officeDocument/2006/relationships/hyperlink" Id="rId44" Target="http://www.sciencedirect.com/science/article/pii/S0065211308605593" TargetMode="External" /><Relationship Type="http://schemas.openxmlformats.org/officeDocument/2006/relationships/hyperlink" Id="rId46" Target="https://CRAN.R-project.org/package=FactoMineR" TargetMode="External" /><Relationship Type="http://schemas.openxmlformats.org/officeDocument/2006/relationships/hyperlink" Id="rId42" Target="https://CRAN.R-project.org/package=agricolae" TargetMode="External" /><Relationship Type="http://schemas.openxmlformats.org/officeDocument/2006/relationships/hyperlink" Id="rId26" Target="https://docs.google.com/spreadsheets/d/1QziIXGOwb8cl3GaARJq6Ez6aU7vND_UHKJnFcAKx0VI/edit#gid=137089581" TargetMode="External" /><Relationship Type="http://schemas.openxmlformats.org/officeDocument/2006/relationships/hyperlink" Id="rId54" Target="https://doi.org/10.1007/s11540-007-9030-9" TargetMode="External" /><Relationship Type="http://schemas.openxmlformats.org/officeDocument/2006/relationships/hyperlink" Id="rId50" Target="https://doi.org/10.1111/1440-1703.1275" TargetMode="External" /><Relationship Type="http://schemas.openxmlformats.org/officeDocument/2006/relationships/hyperlink" Id="rId36" Target="https://doi.org/10.1111/pbi.13087" TargetMode="External" /><Relationship Type="http://schemas.openxmlformats.org/officeDocument/2006/relationships/hyperlink" Id="rId38" Target="https://doi.org/10.1126/science.aay5012" TargetMode="External" /><Relationship Type="http://schemas.openxmlformats.org/officeDocument/2006/relationships/hyperlink" Id="rId40" Target="https://doi.org/10.1139/cjb-2019-0071" TargetMode="External" /><Relationship Type="http://schemas.openxmlformats.org/officeDocument/2006/relationships/hyperlink" Id="rId48" Target="https://flavjack.github.io/germinaquant/" TargetMode="External" /><Relationship Type="http://schemas.openxmlformats.org/officeDocument/2006/relationships/hyperlink" Id="rId52" Target="https://www.R-project.org/" TargetMode="External" /><Relationship Type="http://schemas.openxmlformats.org/officeDocument/2006/relationships/hyperlink" Id="rId25" Target="https://www.youtube.com/watch?v=4XrgWmN9erg" TargetMode="External" /><Relationship Type="http://schemas.openxmlformats.org/officeDocument/2006/relationships/hyperlink" Id="rId24"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2021-04-17T12:21:32Z</dcterms:created>
  <dcterms:modified xsi:type="dcterms:W3CDTF">2021-04-17T12:21:32Z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bookdown::gitbook">
    <vt:lpwstr/>
  </property>
  <property fmtid="{D5CDD505-2E9C-101B-9397-08002B2CF9AE}" pid="6" name="colorlinks">
    <vt:lpwstr>True</vt:lpwstr>
  </property>
  <property fmtid="{D5CDD505-2E9C-101B-9397-08002B2CF9AE}" pid="7" name="csl">
    <vt:lpwstr>https://www.zotero.org/styles/apa</vt:lpwstr>
  </property>
  <property fmtid="{D5CDD505-2E9C-101B-9397-08002B2CF9AE}" pid="8" name="date">
    <vt:lpwstr/>
  </property>
  <property fmtid="{D5CDD505-2E9C-101B-9397-08002B2CF9AE}" pid="9" name="documentclass">
    <vt:lpwstr>book</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y fmtid="{D5CDD505-2E9C-101B-9397-08002B2CF9AE}" pid="16" name="zotero">
    <vt:lpwstr>True</vt:lpwstr>
  </property>
</Properties>
</file>