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Rticles:</w:t>
      </w:r>
      <w:r>
        <w:t xml:space="preserve"> </w:t>
      </w:r>
      <w:r>
        <w:t xml:space="preserve">scientific</w:t>
      </w:r>
      <w:r>
        <w:t xml:space="preserve"> </w:t>
      </w:r>
      <w:r>
        <w:t xml:space="preserve">documents</w:t>
      </w:r>
      <w:r>
        <w:t xml:space="preserve"> </w:t>
      </w:r>
      <w:r>
        <w:t xml:space="preserve">with</w:t>
      </w:r>
      <w:r>
        <w:t xml:space="preserve"> </w:t>
      </w:r>
      <w:r>
        <w:t xml:space="preserve">bookdown</w:t>
      </w:r>
      <w:r>
        <w:t xml:space="preserve"> </w:t>
      </w:r>
      <w:r>
        <w:t xml:space="preserve">package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2018-06-23</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110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824b2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Rticles: scientific documents with bookdown package</dc:title>
  <dc:creator>Lozano-Isla, Flavio(1,*); Gomez, Jimmy(2)</dc:creator>
  <dcterms:created xsi:type="dcterms:W3CDTF">2018-06-23T16:22:37Z</dcterms:created>
  <dcterms:modified xsi:type="dcterms:W3CDTF">2018-06-23T16:22:37Z</dcterms:modified>
</cp:coreProperties>
</file>