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393737" w:themeColor="background2" w:themeShade="3F"/>
  <w:body>
    <w:p w:rsidR="000D6A7B" w:rsidRPr="00F63E87" w:rsidRDefault="00553433" w:rsidP="00F63E87">
      <w:pPr>
        <w:pStyle w:val="Heading1"/>
        <w:rPr>
          <w:sz w:val="24"/>
        </w:rPr>
      </w:pPr>
      <w:r w:rsidRPr="00F63E87">
        <w:rPr>
          <w:rFonts w:ascii="Cambria" w:hAnsi="Cambria" w:cstheme="minorHAnsi"/>
          <w:color w:val="0070C0"/>
          <w:sz w:val="36"/>
        </w:rPr>
        <w:t xml:space="preserve">FLAZEPAD </w:t>
      </w:r>
      <w:r w:rsidRPr="00F63E87">
        <w:rPr>
          <w:rFonts w:ascii="Cambria" w:hAnsi="Cambria" w:cstheme="minorHAnsi"/>
          <w:color w:val="0070C0"/>
          <w:sz w:val="36"/>
        </w:rPr>
        <w:softHyphen/>
      </w:r>
      <w:r w:rsidR="00C70FD5" w:rsidRPr="00C70FD5">
        <w:rPr>
          <w:rFonts w:ascii="Cambria" w:hAnsi="Cambria" w:cstheme="minorHAnsi"/>
          <w:color w:val="0070C0"/>
          <w:sz w:val="36"/>
        </w:rPr>
        <w:t>— Token Launch Model &amp; Parameters</w:t>
      </w:r>
      <w:r w:rsidR="00F63E87" w:rsidRPr="00F63E87">
        <w:rPr>
          <w:rFonts w:ascii="Cambria" w:hAnsi="Cambria" w:cstheme="minorHAnsi"/>
          <w:color w:val="0070C0"/>
          <w:sz w:val="36"/>
        </w:rPr>
        <w:t xml:space="preserve"> </w:t>
      </w:r>
    </w:p>
    <w:p w:rsidR="00553433" w:rsidRPr="005D6060" w:rsidRDefault="00553433" w:rsidP="00C70FD5">
      <w:pPr>
        <w:pStyle w:val="ListParagraph"/>
        <w:ind w:left="1440"/>
        <w:rPr>
          <w:rFonts w:ascii="Cambria" w:eastAsiaTheme="majorEastAsia" w:hAnsi="Cambria" w:cstheme="minorHAnsi"/>
          <w:b/>
          <w:bCs/>
          <w:color w:val="0070C0"/>
          <w:sz w:val="16"/>
          <w:szCs w:val="32"/>
        </w:rPr>
      </w:pPr>
    </w:p>
    <w:p w:rsidR="00C70FD5" w:rsidRPr="00C70FD5" w:rsidRDefault="00C70FD5" w:rsidP="00C70FD5">
      <w:pPr>
        <w:pStyle w:val="ListParagraph"/>
        <w:ind w:left="1440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</w:p>
    <w:p w:rsidR="00C70FD5" w:rsidRPr="00C70FD5" w:rsidRDefault="00C70FD5" w:rsidP="00161CC6">
      <w:pPr>
        <w:pStyle w:val="ListParagraph"/>
        <w:numPr>
          <w:ilvl w:val="0"/>
          <w:numId w:val="2"/>
        </w:numPr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C70FD5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>Standard Token Parameters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T</w:t>
      </w:r>
      <w:r w:rsidRPr="00C70FD5">
        <w:rPr>
          <w:rFonts w:ascii="Cambria" w:hAnsi="Cambria" w:cstheme="minorHAnsi"/>
          <w:sz w:val="24"/>
          <w:szCs w:val="24"/>
        </w:rPr>
        <w:t>okens launched on Flazepad typically follow these baseline parameters: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Total Supply: 1,000,000,000 (1 Billion) tokens</w:t>
      </w:r>
    </w:p>
    <w:p w:rsidR="00C70FD5" w:rsidRDefault="00C70FD5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Decimals: Standard BEP-20 configuration</w:t>
      </w:r>
    </w:p>
    <w:p w:rsidR="005D6060" w:rsidRDefault="005D6060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0 Taxes</w:t>
      </w:r>
    </w:p>
    <w:p w:rsidR="005D6060" w:rsidRDefault="005D6060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100% LP Burning</w:t>
      </w:r>
    </w:p>
    <w:p w:rsidR="00BA294B" w:rsidRPr="00C70FD5" w:rsidRDefault="00BA294B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5% Max Supply Limit per Wallet</w:t>
      </w:r>
    </w:p>
    <w:p w:rsidR="00C70FD5" w:rsidRPr="00C70FD5" w:rsidRDefault="00C70FD5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Minting: Disabled (fixed supply)</w:t>
      </w:r>
    </w:p>
    <w:p w:rsidR="00C70FD5" w:rsidRPr="00C70FD5" w:rsidRDefault="00C70FD5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Ownership: Renounced after deployment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These defaults are designed to promote simplicity, transparency, and predictability.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161CC6">
      <w:pPr>
        <w:pStyle w:val="ListParagraph"/>
        <w:numPr>
          <w:ilvl w:val="0"/>
          <w:numId w:val="2"/>
        </w:numPr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C70FD5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 xml:space="preserve">Fair Launch Design 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Flazepad adopts a fair-launch–oriented model where: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161CC6">
      <w:pPr>
        <w:pStyle w:val="ListParagraph"/>
        <w:numPr>
          <w:ilvl w:val="1"/>
          <w:numId w:val="3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private sale or presale is required by default</w:t>
      </w:r>
    </w:p>
    <w:p w:rsidR="00C70FD5" w:rsidRPr="00C70FD5" w:rsidRDefault="00C70FD5" w:rsidP="00161CC6">
      <w:pPr>
        <w:pStyle w:val="ListParagraph"/>
        <w:numPr>
          <w:ilvl w:val="1"/>
          <w:numId w:val="3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team token allocation is enforced by the platform</w:t>
      </w:r>
    </w:p>
    <w:p w:rsidR="00C70FD5" w:rsidRPr="00C70FD5" w:rsidRDefault="00C70FD5" w:rsidP="00161CC6">
      <w:pPr>
        <w:pStyle w:val="ListParagraph"/>
        <w:numPr>
          <w:ilvl w:val="1"/>
          <w:numId w:val="3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Token distribution is determined by on-chain mechanics</w:t>
      </w:r>
    </w:p>
    <w:p w:rsidR="00C70FD5" w:rsidRPr="00C70FD5" w:rsidRDefault="00C70FD5" w:rsidP="00161CC6">
      <w:pPr>
        <w:pStyle w:val="ListParagraph"/>
        <w:numPr>
          <w:ilvl w:val="1"/>
          <w:numId w:val="3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Liquidity behavior is transparently defined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Flazepad acts purely as a technical facilitator, not as an issuer or promoter.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161CC6">
      <w:pPr>
        <w:pStyle w:val="ListParagraph"/>
        <w:numPr>
          <w:ilvl w:val="0"/>
          <w:numId w:val="2"/>
        </w:numPr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C70FD5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>Liquidity &amp; Migration Mechanics</w:t>
      </w:r>
    </w:p>
    <w:p w:rsidR="00C70FD5" w:rsidRPr="00C70FD5" w:rsidRDefault="00C70FD5" w:rsidP="00C70FD5">
      <w:pPr>
        <w:pStyle w:val="ListParagraph"/>
        <w:ind w:left="1211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Liquidity Provision</w:t>
      </w:r>
      <w:r>
        <w:rPr>
          <w:rFonts w:ascii="Cambria" w:hAnsi="Cambria" w:cstheme="minorHAnsi"/>
          <w:sz w:val="24"/>
          <w:szCs w:val="24"/>
        </w:rPr>
        <w:t>:</w:t>
      </w:r>
    </w:p>
    <w:p w:rsidR="00C70FD5" w:rsidRPr="00C70FD5" w:rsidRDefault="00C70FD5" w:rsidP="00161CC6">
      <w:pPr>
        <w:pStyle w:val="ListParagraph"/>
        <w:numPr>
          <w:ilvl w:val="1"/>
          <w:numId w:val="4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Liquidity is created via predefined on-chain logic</w:t>
      </w:r>
    </w:p>
    <w:p w:rsidR="00C70FD5" w:rsidRPr="00C70FD5" w:rsidRDefault="00C70FD5" w:rsidP="00161CC6">
      <w:pPr>
        <w:pStyle w:val="ListParagraph"/>
        <w:numPr>
          <w:ilvl w:val="1"/>
          <w:numId w:val="4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Initial liquidity parameters are visible on-chain</w:t>
      </w:r>
    </w:p>
    <w:p w:rsidR="00C70FD5" w:rsidRPr="00C70FD5" w:rsidRDefault="00C70FD5" w:rsidP="00161CC6">
      <w:pPr>
        <w:pStyle w:val="ListParagraph"/>
        <w:numPr>
          <w:ilvl w:val="1"/>
          <w:numId w:val="4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off-chain liquidity control mechanisms exist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Liquidity Lock / Burn</w:t>
      </w:r>
      <w:r>
        <w:rPr>
          <w:rFonts w:ascii="Cambria" w:hAnsi="Cambria" w:cstheme="minorHAnsi"/>
          <w:sz w:val="24"/>
          <w:szCs w:val="24"/>
        </w:rPr>
        <w:t>:</w:t>
      </w:r>
    </w:p>
    <w:p w:rsidR="00C70FD5" w:rsidRPr="00C70FD5" w:rsidRDefault="00C70FD5" w:rsidP="00161CC6">
      <w:pPr>
        <w:pStyle w:val="ListParagraph"/>
        <w:numPr>
          <w:ilvl w:val="1"/>
          <w:numId w:val="5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100% of liquidity provider (LP) tokens are burned upon migration, where applicable</w:t>
      </w:r>
    </w:p>
    <w:p w:rsidR="00C70FD5" w:rsidRPr="00C70FD5" w:rsidRDefault="00C70FD5" w:rsidP="00161CC6">
      <w:pPr>
        <w:pStyle w:val="ListParagraph"/>
        <w:numPr>
          <w:ilvl w:val="1"/>
          <w:numId w:val="5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Burn transactions are executed on-chain and publicly verifiable</w:t>
      </w:r>
    </w:p>
    <w:p w:rsidR="00C70FD5" w:rsidRPr="00C70FD5" w:rsidRDefault="00C70FD5" w:rsidP="00161CC6">
      <w:pPr>
        <w:pStyle w:val="ListParagraph"/>
        <w:numPr>
          <w:ilvl w:val="1"/>
          <w:numId w:val="5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Once burned, LP tokens are permanently inaccessible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Burning LP tokens removes the ability to withdraw liquidity, reducing centralized control risk.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286DE0" w:rsidP="00286DE0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 xml:space="preserve">4. </w:t>
      </w:r>
      <w:r w:rsidR="00C70FD5"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>Contract Ownership &amp; Control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Ownership Renouncement</w:t>
      </w:r>
    </w:p>
    <w:p w:rsidR="00C70FD5" w:rsidRPr="00C70FD5" w:rsidRDefault="00C70FD5" w:rsidP="00161CC6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 xml:space="preserve">Token contract ownership is renounced </w:t>
      </w:r>
      <w:r w:rsidR="00997912">
        <w:rPr>
          <w:rFonts w:ascii="Cambria" w:hAnsi="Cambria" w:cstheme="minorHAnsi"/>
          <w:sz w:val="24"/>
          <w:szCs w:val="24"/>
        </w:rPr>
        <w:t>upon migration</w:t>
      </w:r>
    </w:p>
    <w:p w:rsidR="00C70FD5" w:rsidRPr="00C70FD5" w:rsidRDefault="00C70FD5" w:rsidP="00161CC6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privileged owner functions remain accessible</w:t>
      </w:r>
    </w:p>
    <w:p w:rsidR="00C70FD5" w:rsidRPr="00C70FD5" w:rsidRDefault="00C70FD5" w:rsidP="00161CC6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Administrative control is permanently removed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Minting &amp; Supply Control</w:t>
      </w:r>
    </w:p>
    <w:p w:rsidR="00C70FD5" w:rsidRPr="00C70FD5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mint function exists after deployment</w:t>
      </w:r>
    </w:p>
    <w:p w:rsidR="00C70FD5" w:rsidRPr="00C70FD5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Token supply is fixed and cannot be increased</w:t>
      </w:r>
    </w:p>
    <w:p w:rsidR="00C70FD5" w:rsidRPr="00C70FD5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hidden supply manipulation mechanisms are enabled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286DE0" w:rsidRDefault="00C70FD5" w:rsidP="00C70FD5">
      <w:pPr>
        <w:pStyle w:val="ListParagraph"/>
        <w:ind w:left="1211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>5. Restricted Functions &amp; Safety Constraints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Standard Flazepad token contracts are designed to exclude:</w:t>
      </w:r>
    </w:p>
    <w:p w:rsidR="00C70FD5" w:rsidRPr="00286DE0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hAnsi="Cambria" w:cstheme="minorHAnsi"/>
          <w:sz w:val="24"/>
          <w:szCs w:val="24"/>
        </w:rPr>
        <w:t>Minting after deployment</w:t>
      </w:r>
    </w:p>
    <w:p w:rsidR="00C70FD5" w:rsidRPr="00286DE0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hAnsi="Cambria" w:cstheme="minorHAnsi"/>
          <w:sz w:val="24"/>
          <w:szCs w:val="24"/>
        </w:rPr>
        <w:t>Blacklisting or forced transfer functions</w:t>
      </w:r>
    </w:p>
    <w:p w:rsidR="00C70FD5" w:rsidRPr="00286DE0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hAnsi="Cambria" w:cstheme="minorHAnsi"/>
          <w:sz w:val="24"/>
          <w:szCs w:val="24"/>
        </w:rPr>
        <w:t>Hidden owner-controlled balance adjustments</w:t>
      </w:r>
    </w:p>
    <w:p w:rsidR="00C70FD5" w:rsidRPr="00286DE0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hAnsi="Cambria" w:cstheme="minorHAnsi"/>
          <w:sz w:val="24"/>
          <w:szCs w:val="24"/>
        </w:rPr>
        <w:t>Upgradeability without transparency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C70FD5">
      <w:pPr>
        <w:pStyle w:val="ListParagraph"/>
        <w:ind w:left="1211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>6. Transparency &amp; Verifiability</w:t>
      </w:r>
    </w:p>
    <w:p w:rsidR="00286DE0" w:rsidRPr="00286DE0" w:rsidRDefault="00286DE0" w:rsidP="00C70FD5">
      <w:pPr>
        <w:pStyle w:val="ListParagraph"/>
        <w:ind w:left="1211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</w:p>
    <w:p w:rsidR="00C70FD5" w:rsidRPr="00C70FD5" w:rsidRDefault="00C70FD5" w:rsidP="00161CC6">
      <w:pPr>
        <w:pStyle w:val="ListParagraph"/>
        <w:numPr>
          <w:ilvl w:val="1"/>
          <w:numId w:val="8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 xml:space="preserve">All token contracts are deployed on public </w:t>
      </w:r>
      <w:proofErr w:type="spellStart"/>
      <w:r w:rsidRPr="00C70FD5">
        <w:rPr>
          <w:rFonts w:ascii="Cambria" w:hAnsi="Cambria" w:cstheme="minorHAnsi"/>
          <w:sz w:val="24"/>
          <w:szCs w:val="24"/>
        </w:rPr>
        <w:t>blockchains</w:t>
      </w:r>
      <w:proofErr w:type="spellEnd"/>
    </w:p>
    <w:p w:rsidR="00C70FD5" w:rsidRPr="00C70FD5" w:rsidRDefault="00C70FD5" w:rsidP="00161CC6">
      <w:pPr>
        <w:pStyle w:val="ListParagraph"/>
        <w:numPr>
          <w:ilvl w:val="1"/>
          <w:numId w:val="8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Contract source code can be verified</w:t>
      </w:r>
    </w:p>
    <w:p w:rsidR="00C70FD5" w:rsidRPr="00C70FD5" w:rsidRDefault="00C70FD5" w:rsidP="00161CC6">
      <w:pPr>
        <w:pStyle w:val="ListParagraph"/>
        <w:numPr>
          <w:ilvl w:val="1"/>
          <w:numId w:val="8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LP burn transactions are publicly viewable</w:t>
      </w:r>
    </w:p>
    <w:p w:rsidR="00C70FD5" w:rsidRPr="00C70FD5" w:rsidRDefault="00C70FD5" w:rsidP="00161CC6">
      <w:pPr>
        <w:pStyle w:val="ListParagraph"/>
        <w:numPr>
          <w:ilvl w:val="1"/>
          <w:numId w:val="8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Ownership renouncement is recorded on-chain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lastRenderedPageBreak/>
        <w:t>Users can independently verify:</w:t>
      </w:r>
    </w:p>
    <w:p w:rsidR="00C70FD5" w:rsidRPr="00C70FD5" w:rsidRDefault="00C70FD5" w:rsidP="00161CC6">
      <w:pPr>
        <w:pStyle w:val="ListParagraph"/>
        <w:numPr>
          <w:ilvl w:val="1"/>
          <w:numId w:val="9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Total supply</w:t>
      </w:r>
    </w:p>
    <w:p w:rsidR="00C70FD5" w:rsidRPr="00C70FD5" w:rsidRDefault="00C70FD5" w:rsidP="00161CC6">
      <w:pPr>
        <w:pStyle w:val="ListParagraph"/>
        <w:numPr>
          <w:ilvl w:val="1"/>
          <w:numId w:val="9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Token distribution</w:t>
      </w:r>
    </w:p>
    <w:p w:rsidR="00C70FD5" w:rsidRPr="00C70FD5" w:rsidRDefault="00C70FD5" w:rsidP="00161CC6">
      <w:pPr>
        <w:pStyle w:val="ListParagraph"/>
        <w:numPr>
          <w:ilvl w:val="1"/>
          <w:numId w:val="9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Liquidity status</w:t>
      </w:r>
    </w:p>
    <w:p w:rsidR="00C70FD5" w:rsidRPr="00C70FD5" w:rsidRDefault="00C70FD5" w:rsidP="00161CC6">
      <w:pPr>
        <w:pStyle w:val="ListParagraph"/>
        <w:numPr>
          <w:ilvl w:val="1"/>
          <w:numId w:val="9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Ownership state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 xml:space="preserve">7. Platform Role &amp; Disclaimer 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Flazepad:</w:t>
      </w:r>
    </w:p>
    <w:p w:rsidR="00C70FD5" w:rsidRPr="00C70FD5" w:rsidRDefault="00C70FD5" w:rsidP="00161CC6">
      <w:pPr>
        <w:pStyle w:val="ListParagraph"/>
        <w:numPr>
          <w:ilvl w:val="1"/>
          <w:numId w:val="10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Does not guarantee token performance or outcomes</w:t>
      </w:r>
    </w:p>
    <w:p w:rsidR="00C70FD5" w:rsidRPr="00C70FD5" w:rsidRDefault="00C70FD5" w:rsidP="00161CC6">
      <w:pPr>
        <w:pStyle w:val="ListParagraph"/>
        <w:numPr>
          <w:ilvl w:val="1"/>
          <w:numId w:val="10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Does not promote or endorse specific tokens</w:t>
      </w:r>
    </w:p>
    <w:p w:rsidR="00C70FD5" w:rsidRPr="00C70FD5" w:rsidRDefault="00C70FD5" w:rsidP="00161CC6">
      <w:pPr>
        <w:pStyle w:val="ListParagraph"/>
        <w:numPr>
          <w:ilvl w:val="1"/>
          <w:numId w:val="10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Does not provide investment advice</w:t>
      </w:r>
    </w:p>
    <w:p w:rsidR="00C70FD5" w:rsidRPr="00C70FD5" w:rsidRDefault="00C70FD5" w:rsidP="00161CC6">
      <w:pPr>
        <w:pStyle w:val="ListParagraph"/>
        <w:numPr>
          <w:ilvl w:val="1"/>
          <w:numId w:val="10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Does not control secondary market behavior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All tokens launched on Flazepad are:</w:t>
      </w:r>
    </w:p>
    <w:p w:rsidR="00C70FD5" w:rsidRPr="00C70FD5" w:rsidRDefault="00C70FD5" w:rsidP="00161CC6">
      <w:pPr>
        <w:pStyle w:val="ListParagraph"/>
        <w:numPr>
          <w:ilvl w:val="1"/>
          <w:numId w:val="1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Created at the discretion of the user</w:t>
      </w:r>
    </w:p>
    <w:p w:rsidR="00C70FD5" w:rsidRPr="00C70FD5" w:rsidRDefault="00C70FD5" w:rsidP="00161CC6">
      <w:pPr>
        <w:pStyle w:val="ListParagraph"/>
        <w:numPr>
          <w:ilvl w:val="1"/>
          <w:numId w:val="1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Governed by immutable smart contract logic</w:t>
      </w:r>
    </w:p>
    <w:p w:rsidR="00C70FD5" w:rsidRPr="00C70FD5" w:rsidRDefault="00C70FD5" w:rsidP="00161CC6">
      <w:pPr>
        <w:pStyle w:val="ListParagraph"/>
        <w:numPr>
          <w:ilvl w:val="1"/>
          <w:numId w:val="1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Subject to market forces and user decisions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286DE0" w:rsidRDefault="00C70FD5" w:rsidP="00C70FD5">
      <w:pPr>
        <w:pStyle w:val="ListParagraph"/>
        <w:ind w:left="1211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 xml:space="preserve">8. Risk Disclosure 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Users acknowledge that:</w:t>
      </w:r>
    </w:p>
    <w:p w:rsidR="00C70FD5" w:rsidRPr="00C70FD5" w:rsidRDefault="00C70FD5" w:rsidP="00161CC6">
      <w:pPr>
        <w:pStyle w:val="ListParagraph"/>
        <w:numPr>
          <w:ilvl w:val="1"/>
          <w:numId w:val="12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Token value may fluctuate or decline to zero</w:t>
      </w:r>
    </w:p>
    <w:p w:rsidR="00C70FD5" w:rsidRPr="00C70FD5" w:rsidRDefault="00C70FD5" w:rsidP="00161CC6">
      <w:pPr>
        <w:pStyle w:val="ListParagraph"/>
        <w:numPr>
          <w:ilvl w:val="1"/>
          <w:numId w:val="12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Liquidity burn does not eliminate all risks</w:t>
      </w:r>
    </w:p>
    <w:p w:rsidR="00C70FD5" w:rsidRPr="00C70FD5" w:rsidRDefault="00C70FD5" w:rsidP="00161CC6">
      <w:pPr>
        <w:pStyle w:val="ListParagraph"/>
        <w:numPr>
          <w:ilvl w:val="1"/>
          <w:numId w:val="12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Smart contracts may contain unforeseen vulnerabilities</w:t>
      </w:r>
    </w:p>
    <w:p w:rsidR="00C70FD5" w:rsidRPr="00C70FD5" w:rsidRDefault="00C70FD5" w:rsidP="00161CC6">
      <w:pPr>
        <w:pStyle w:val="ListParagraph"/>
        <w:numPr>
          <w:ilvl w:val="1"/>
          <w:numId w:val="12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Blockchain transactions are irreversible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Participation is voluntary and at the user’s own risk.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286DE0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 xml:space="preserve">Summary </w:t>
      </w:r>
    </w:p>
    <w:p w:rsidR="00286DE0" w:rsidRDefault="00286DE0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286DE0" w:rsidRDefault="00286DE0" w:rsidP="00286DE0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hAnsi="Cambria" w:cstheme="minorHAnsi"/>
          <w:sz w:val="24"/>
          <w:szCs w:val="24"/>
        </w:rPr>
        <w:t>Tokens launched on Flazepad follow a fair-launch model with fixed supply, renounced ownership, and burned liquidity — fully on-chain and publicly verifiable.</w:t>
      </w:r>
      <w:r>
        <w:rPr>
          <w:rFonts w:ascii="Cambria" w:hAnsi="Cambria" w:cstheme="minorHAnsi"/>
          <w:sz w:val="24"/>
          <w:szCs w:val="24"/>
        </w:rPr>
        <w:t xml:space="preserve"> </w:t>
      </w:r>
      <w:r w:rsidRPr="00C70FD5">
        <w:rPr>
          <w:rFonts w:ascii="Cambria" w:hAnsi="Cambria" w:cstheme="minorHAnsi"/>
          <w:sz w:val="24"/>
          <w:szCs w:val="24"/>
        </w:rPr>
        <w:t>No team minting. No hidden controls. No custody.</w:t>
      </w:r>
    </w:p>
    <w:p w:rsidR="00286DE0" w:rsidRDefault="00286DE0" w:rsidP="00286DE0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286DE0" w:rsidRPr="00C70FD5" w:rsidRDefault="00286DE0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Happy Launching</w:t>
      </w:r>
      <w:r w:rsidRPr="00286DE0">
        <w:rPr>
          <w:rFonts w:ascii="Cambria" w:hAnsi="Cambria" w:cstheme="minorHAnsi"/>
          <w:color w:val="C45911" w:themeColor="accent2" w:themeShade="BF"/>
          <w:sz w:val="24"/>
          <w:szCs w:val="24"/>
        </w:rPr>
        <w:t xml:space="preserve"> </w:t>
      </w:r>
      <w:r w:rsidRPr="00286DE0">
        <w:rPr>
          <w:rFonts w:ascii="Segoe UI Symbol" w:hAnsi="Segoe UI Symbol" w:cs="Segoe UI Symbol"/>
          <w:color w:val="C45911" w:themeColor="accent2" w:themeShade="BF"/>
          <w:sz w:val="24"/>
          <w:szCs w:val="24"/>
        </w:rPr>
        <w:t>🚀</w:t>
      </w:r>
    </w:p>
    <w:sectPr w:rsidR="00286DE0" w:rsidRPr="00C70F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4B29" w:rsidRDefault="00784B29" w:rsidP="00687AAC">
      <w:pPr>
        <w:spacing w:after="0" w:line="240" w:lineRule="auto"/>
      </w:pPr>
      <w:r>
        <w:separator/>
      </w:r>
    </w:p>
  </w:endnote>
  <w:endnote w:type="continuationSeparator" w:id="0">
    <w:p w:rsidR="00784B29" w:rsidRDefault="00784B29" w:rsidP="00687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DC1" w:rsidRDefault="000B0D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DC1" w:rsidRDefault="000B0D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DC1" w:rsidRDefault="000B0D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4B29" w:rsidRDefault="00784B29" w:rsidP="00687AAC">
      <w:pPr>
        <w:spacing w:after="0" w:line="240" w:lineRule="auto"/>
      </w:pPr>
      <w:r>
        <w:separator/>
      </w:r>
    </w:p>
  </w:footnote>
  <w:footnote w:type="continuationSeparator" w:id="0">
    <w:p w:rsidR="00784B29" w:rsidRDefault="00784B29" w:rsidP="00687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DC1" w:rsidRDefault="000B0D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13C5" w:rsidRDefault="000B0DC1" w:rsidP="005B13C5">
    <w:pPr>
      <w:pStyle w:val="Header"/>
      <w:ind w:left="720"/>
      <w:jc w:val="right"/>
    </w:pPr>
    <w:r>
      <w:rPr>
        <w:noProof/>
        <w:lang w:val="en-IN" w:eastAsia="en-IN"/>
      </w:rPr>
      <w:drawing>
        <wp:inline distT="0" distB="0" distL="0" distR="0" wp14:anchorId="1F70C039" wp14:editId="438B1257">
          <wp:extent cx="1874520" cy="491124"/>
          <wp:effectExtent l="0" t="0" r="0" b="4445"/>
          <wp:docPr id="6" name="Picture 6" descr="C:\Users\MI\Desktop\Flazepad\Flazepad_Logo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C:\Users\MI\Desktop\Flazepad\Flazepad_Logo-removebg-preview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200" b="37600"/>
                  <a:stretch/>
                </pic:blipFill>
                <pic:spPr bwMode="auto">
                  <a:xfrm>
                    <a:off x="0" y="0"/>
                    <a:ext cx="1895249" cy="496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687AAC" w:rsidRPr="005B13C5" w:rsidRDefault="00EF342E" w:rsidP="00553433">
    <w:pPr>
      <w:pStyle w:val="Header"/>
      <w:ind w:left="720"/>
      <w:jc w:val="right"/>
      <w:rPr>
        <w:rFonts w:ascii="Cambria" w:hAnsi="Cambria"/>
      </w:rPr>
    </w:pPr>
    <w:r w:rsidRPr="00EF342E">
      <w:rPr>
        <w:rFonts w:ascii="Cambria" w:hAnsi="Cambria"/>
      </w:rPr>
      <w:t xml:space="preserve">FLAZEPAD — Token Launch Model &amp; Parameters </w:t>
    </w:r>
    <w:r w:rsidRPr="00553433">
      <w:rPr>
        <w:rFonts w:ascii="Cambria" w:hAnsi="Cambria"/>
      </w:rPr>
      <w:t>Doc</w:t>
    </w:r>
  </w:p>
  <w:p w:rsidR="005B13C5" w:rsidRP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 xml:space="preserve">Version </w:t>
    </w:r>
    <w:r w:rsidRPr="005B13C5">
      <w:rPr>
        <w:rFonts w:ascii="Cambria" w:hAnsi="Cambria"/>
      </w:rPr>
      <w:t>1.</w:t>
    </w:r>
    <w:r w:rsidR="00DD75CC">
      <w:rPr>
        <w:rFonts w:ascii="Cambria" w:hAnsi="Cambria"/>
      </w:rPr>
      <w:t>1</w:t>
    </w:r>
    <w:bookmarkStart w:id="0" w:name="_GoBack"/>
    <w:bookmarkEnd w:id="0"/>
  </w:p>
  <w:p w:rsidR="005B13C5" w:rsidRDefault="00DD75CC" w:rsidP="005B13C5">
    <w:pPr>
      <w:pStyle w:val="Header"/>
      <w:ind w:left="720"/>
      <w:jc w:val="right"/>
      <w:rPr>
        <w:rFonts w:ascii="Cambria" w:hAnsi="Cambria"/>
      </w:rPr>
    </w:pPr>
    <w:r>
      <w:rPr>
        <w:rFonts w:ascii="Cambria" w:hAnsi="Cambria"/>
      </w:rPr>
      <w:t>Date: June 01</w:t>
    </w:r>
    <w:r w:rsidR="005B13C5" w:rsidRPr="005B13C5">
      <w:rPr>
        <w:rFonts w:ascii="Cambria" w:hAnsi="Cambria"/>
      </w:rPr>
      <w:t>, 2026</w:t>
    </w:r>
  </w:p>
  <w:p w:rsidR="00F63E87" w:rsidRPr="005B13C5" w:rsidRDefault="00F63E87" w:rsidP="005B13C5">
    <w:pPr>
      <w:pStyle w:val="Header"/>
      <w:ind w:left="720"/>
      <w:jc w:val="right"/>
      <w:rPr>
        <w:rFonts w:ascii="Cambria" w:hAnsi="Cambr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DC1" w:rsidRDefault="000B0D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D4771"/>
    <w:multiLevelType w:val="hybridMultilevel"/>
    <w:tmpl w:val="DACEA886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" w15:restartNumberingAfterBreak="0">
    <w:nsid w:val="15144F16"/>
    <w:multiLevelType w:val="hybridMultilevel"/>
    <w:tmpl w:val="87B6F7EE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3ADD7486"/>
    <w:multiLevelType w:val="hybridMultilevel"/>
    <w:tmpl w:val="F8882DAA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" w15:restartNumberingAfterBreak="0">
    <w:nsid w:val="3B877032"/>
    <w:multiLevelType w:val="hybridMultilevel"/>
    <w:tmpl w:val="ED4AD430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3F086468"/>
    <w:multiLevelType w:val="hybridMultilevel"/>
    <w:tmpl w:val="72D00820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4F5269F"/>
    <w:multiLevelType w:val="hybridMultilevel"/>
    <w:tmpl w:val="B238AB60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6" w15:restartNumberingAfterBreak="0">
    <w:nsid w:val="46DE7031"/>
    <w:multiLevelType w:val="hybridMultilevel"/>
    <w:tmpl w:val="A1387886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48577A28"/>
    <w:multiLevelType w:val="hybridMultilevel"/>
    <w:tmpl w:val="4C780D6A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8" w15:restartNumberingAfterBreak="0">
    <w:nsid w:val="52D15420"/>
    <w:multiLevelType w:val="hybridMultilevel"/>
    <w:tmpl w:val="33DE1D56"/>
    <w:lvl w:ilvl="0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5DBE7A20"/>
    <w:multiLevelType w:val="hybridMultilevel"/>
    <w:tmpl w:val="C0A88AD2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0" w15:restartNumberingAfterBreak="0">
    <w:nsid w:val="628C6DDA"/>
    <w:multiLevelType w:val="hybridMultilevel"/>
    <w:tmpl w:val="02C8FE9A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56BCD6E4">
      <w:numFmt w:val="bullet"/>
      <w:lvlText w:val="•"/>
      <w:lvlJc w:val="left"/>
      <w:pPr>
        <w:ind w:left="1931" w:hanging="360"/>
      </w:pPr>
      <w:rPr>
        <w:rFonts w:ascii="Cambria" w:eastAsiaTheme="minorEastAsia" w:hAnsi="Cambria" w:cstheme="minorHAnsi" w:hint="default"/>
      </w:r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70554FC0"/>
    <w:multiLevelType w:val="hybridMultilevel"/>
    <w:tmpl w:val="881626EA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5"/>
  </w:num>
  <w:num w:numId="5">
    <w:abstractNumId w:val="0"/>
  </w:num>
  <w:num w:numId="6">
    <w:abstractNumId w:val="8"/>
  </w:num>
  <w:num w:numId="7">
    <w:abstractNumId w:val="2"/>
  </w:num>
  <w:num w:numId="8">
    <w:abstractNumId w:val="7"/>
  </w:num>
  <w:num w:numId="9">
    <w:abstractNumId w:val="1"/>
  </w:num>
  <w:num w:numId="10">
    <w:abstractNumId w:val="9"/>
  </w:num>
  <w:num w:numId="11">
    <w:abstractNumId w:val="4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36F"/>
    <w:rsid w:val="000A76A1"/>
    <w:rsid w:val="000B0DC1"/>
    <w:rsid w:val="000D6A7B"/>
    <w:rsid w:val="000F03CA"/>
    <w:rsid w:val="00114FBF"/>
    <w:rsid w:val="00161CC6"/>
    <w:rsid w:val="00286DE0"/>
    <w:rsid w:val="00372475"/>
    <w:rsid w:val="004164B7"/>
    <w:rsid w:val="00532A46"/>
    <w:rsid w:val="00553433"/>
    <w:rsid w:val="00565718"/>
    <w:rsid w:val="005B13C5"/>
    <w:rsid w:val="005D6060"/>
    <w:rsid w:val="00687AAC"/>
    <w:rsid w:val="00696BDD"/>
    <w:rsid w:val="00705E3D"/>
    <w:rsid w:val="00776CA2"/>
    <w:rsid w:val="00784B29"/>
    <w:rsid w:val="00842AB6"/>
    <w:rsid w:val="008528D0"/>
    <w:rsid w:val="00894A33"/>
    <w:rsid w:val="008C3E38"/>
    <w:rsid w:val="008D17AB"/>
    <w:rsid w:val="00997912"/>
    <w:rsid w:val="00BA294B"/>
    <w:rsid w:val="00C02544"/>
    <w:rsid w:val="00C70FD5"/>
    <w:rsid w:val="00D5217A"/>
    <w:rsid w:val="00DD2833"/>
    <w:rsid w:val="00DD75CC"/>
    <w:rsid w:val="00E0736F"/>
    <w:rsid w:val="00EC09F2"/>
    <w:rsid w:val="00EC7C15"/>
    <w:rsid w:val="00ED586D"/>
    <w:rsid w:val="00EF342E"/>
    <w:rsid w:val="00F6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4C8D02"/>
  <w15:chartTrackingRefBased/>
  <w15:docId w15:val="{5E0B345D-17C7-47F5-A8D3-78F3E536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36F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3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3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6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0736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ED58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AAC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AAC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93C23-0993-480A-AFA4-9E046166D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18</cp:revision>
  <cp:lastPrinted>2026-01-03T14:32:00Z</cp:lastPrinted>
  <dcterms:created xsi:type="dcterms:W3CDTF">2026-01-03T13:09:00Z</dcterms:created>
  <dcterms:modified xsi:type="dcterms:W3CDTF">2026-06-01T22:10:00Z</dcterms:modified>
</cp:coreProperties>
</file>