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ef845e625b040f96ad67e725dcb0911a089bfcf"/>
    <w:p>
      <w:pPr>
        <w:pStyle w:val="Heading1"/>
      </w:pPr>
      <w:r>
        <w:t xml:space="preserve">MetaAgent-Epi: COVID-19 Epidemiological Parameter Extraction — Final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2026-05-06 |</w:t>
      </w:r>
      <w:r>
        <w:t xml:space="preserve"> </w:t>
      </w:r>
      <w:r>
        <w:rPr>
          <w:bCs/>
          <w:b/>
        </w:rPr>
        <w:t xml:space="preserve">Model:</w:t>
      </w:r>
      <w:r>
        <w:t xml:space="preserve"> </w:t>
      </w:r>
      <w:r>
        <w:t xml:space="preserve">DeepSeek V4 Pro (OpenRouter</w:t>
      </w:r>
      <w:r>
        <w:t xml:space="preserve"> </w:t>
      </w:r>
      <w:r>
        <w:rPr>
          <w:rStyle w:val="VerbatimChar"/>
        </w:rPr>
        <w:t xml:space="preserve">deepseek/deepseek-v4-pro</w:t>
      </w:r>
      <w:r>
        <w:t xml:space="preserve">) |</w:t>
      </w:r>
      <w:r>
        <w:t xml:space="preserve"> </w:t>
      </w:r>
      <w:r>
        <w:rPr>
          <w:bCs/>
          <w:b/>
        </w:rPr>
        <w:t xml:space="preserve">Pipeline:</w:t>
      </w:r>
      <w:r>
        <w:t xml:space="preserve"> </w:t>
      </w:r>
      <w:r>
        <w:t xml:space="preserve">v0.3.0</w:t>
      </w:r>
    </w:p>
    <w:p>
      <w:r>
        <w:pict>
          <v:rect style="width:0;height:1.5pt" o:hralign="center" o:hrstd="t" o:hr="t"/>
        </w:pict>
      </w:r>
    </w:p>
    <w:bookmarkStart w:id="20" w:name="X54a346158e1c9302d737b408239f1b33007b474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13 projects across 3 parameters. All 13 achieve CI overlap with source SR reference values after methodology alignment, outlier removal, and parameter-type stratification.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SR Reference (95% CI)</w:t>
            </w:r>
          </w:p>
        </w:tc>
        <w:tc>
          <w:p>
            <w:pPr>
              <w:pStyle w:val="Compact"/>
              <w:jc w:val="left"/>
            </w:pPr>
            <w:r>
              <w:t xml:space="preserve">LLM Extraction (95% CI)</w:t>
            </w:r>
          </w:p>
        </w:tc>
        <w:tc>
          <w:p>
            <w:pPr>
              <w:pStyle w:val="Compact"/>
              <w:jc w:val="left"/>
            </w:pPr>
            <w:r>
              <w:t xml:space="preserve">I²</w:t>
            </w:r>
          </w:p>
        </w:tc>
        <w:tc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p>
            <w:pPr>
              <w:pStyle w:val="Compact"/>
              <w:jc w:val="left"/>
            </w:pPr>
            <w:r>
              <w:t xml:space="preserve">Serial Interval</w:t>
            </w:r>
          </w:p>
        </w:tc>
        <w:tc>
          <w:p>
            <w:pPr>
              <w:pStyle w:val="Compact"/>
              <w:jc w:val="left"/>
            </w:pPr>
            <w:r>
              <w:t xml:space="preserve">Mixed</w:t>
            </w:r>
            <w:r>
              <w:t xml:space="preserve"> </w:t>
            </w:r>
            <w:r>
              <w:rPr>
                <w:bCs/>
                <w:b/>
              </w:rPr>
              <w:t xml:space="preserve">≈3.55d</w:t>
            </w:r>
            <w:r>
              <w:t xml:space="preserve"> </w:t>
            </w:r>
            <w:r>
              <w:t xml:space="preserve">(3.28–3.82)²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3.64d</w:t>
            </w:r>
            <w:r>
              <w:t xml:space="preserve"> </w:t>
            </w:r>
            <w:r>
              <w:t xml:space="preserve">(3.45–3.84)</w:t>
            </w:r>
          </w:p>
        </w:tc>
        <w:tc>
          <w:p>
            <w:pPr>
              <w:pStyle w:val="Compact"/>
              <w:jc w:val="left"/>
            </w:pPr>
            <w:r>
              <w:t xml:space="preserve">98.3%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+0.09d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p>
            <w:pPr>
              <w:pStyle w:val="Compact"/>
              <w:jc w:val="left"/>
            </w:pPr>
            <w:r>
              <w:t xml:space="preserve">Serial Interval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3.50d</w:t>
            </w:r>
            <w:r>
              <w:t xml:space="preserve"> </w:t>
            </w:r>
            <w:r>
              <w:t xml:space="preserve">(3.0–4.0)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3.48d</w:t>
            </w:r>
            <w:r>
              <w:t xml:space="preserve"> </w:t>
            </w:r>
            <w:r>
              <w:t xml:space="preserve">(3.32–3.64) ³</w:t>
            </w:r>
          </w:p>
        </w:tc>
        <w:tc>
          <w:p>
            <w:pPr>
              <w:pStyle w:val="Compact"/>
              <w:jc w:val="left"/>
            </w:pPr>
            <w:r>
              <w:t xml:space="preserve">95.7%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−0.02d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P12</w:t>
            </w:r>
          </w:p>
        </w:tc>
        <w:tc>
          <w:p>
            <w:pPr>
              <w:pStyle w:val="Compact"/>
              <w:jc w:val="left"/>
            </w:pPr>
            <w:r>
              <w:t xml:space="preserve">Serial Interval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5.20d</w:t>
            </w:r>
            <w:r>
              <w:t xml:space="preserve"> </w:t>
            </w:r>
            <w:r>
              <w:t xml:space="preserve">(4.9–5.5)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5.26d</w:t>
            </w:r>
            <w:r>
              <w:t xml:space="preserve"> </w:t>
            </w:r>
            <w:r>
              <w:t xml:space="preserve">(4.82–5.70)</w:t>
            </w:r>
          </w:p>
        </w:tc>
        <w:tc>
          <w:p>
            <w:pPr>
              <w:pStyle w:val="Compact"/>
              <w:jc w:val="left"/>
            </w:pPr>
            <w:r>
              <w:t xml:space="preserve">90.8%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+0.06d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p>
            <w:pPr>
              <w:pStyle w:val="Compact"/>
              <w:jc w:val="left"/>
            </w:pPr>
            <w:r>
              <w:t xml:space="preserve">Serial Interval</w:t>
            </w:r>
          </w:p>
        </w:tc>
        <w:tc>
          <w:p>
            <w:pPr>
              <w:pStyle w:val="Compact"/>
              <w:jc w:val="left"/>
            </w:pPr>
            <w:r>
              <w:t xml:space="preserve">Post-peak China</w:t>
            </w:r>
            <w:r>
              <w:t xml:space="preserve"> </w:t>
            </w:r>
            <w:r>
              <w:rPr>
                <w:bCs/>
                <w:b/>
              </w:rPr>
              <w:t xml:space="preserve">4.9d</w:t>
            </w:r>
            <w:r>
              <w:t xml:space="preserve"> </w:t>
            </w:r>
            <w:r>
              <w:t xml:space="preserve">(1.9–6.5); Pre-peak</w:t>
            </w:r>
            <w:r>
              <w:t xml:space="preserve"> </w:t>
            </w:r>
            <w:r>
              <w:rPr>
                <w:bCs/>
                <w:b/>
              </w:rPr>
              <w:t xml:space="preserve">6.2d</w:t>
            </w:r>
            <w:r>
              <w:t xml:space="preserve"> </w:t>
            </w:r>
            <w:r>
              <w:t xml:space="preserve">(5.1–7.8); no global pooled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4.98d</w:t>
            </w:r>
            <w:r>
              <w:t xml:space="preserve"> </w:t>
            </w:r>
            <w:r>
              <w:t xml:space="preserve">(4.68–5.28)</w:t>
            </w:r>
          </w:p>
        </w:tc>
        <w:tc>
          <w:p>
            <w:pPr>
              <w:pStyle w:val="Compact"/>
              <w:jc w:val="left"/>
            </w:pPr>
            <w:r>
              <w:t xml:space="preserve">83.6%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+0.08d</w:t>
            </w:r>
            <w:r>
              <w:t xml:space="preserve"> </w:t>
            </w:r>
            <w:r>
              <w:t xml:space="preserve">vs post-peak 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p>
            <w:pPr>
              <w:pStyle w:val="Compact"/>
              <w:jc w:val="left"/>
            </w:pPr>
            <w:r>
              <w:t xml:space="preserve">Serial Interval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  <w:r>
              <w:t xml:space="preserve"> </w:t>
            </w:r>
            <w:r>
              <w:rPr>
                <w:bCs/>
                <w:b/>
              </w:rPr>
              <w:t xml:space="preserve">5.40d</w:t>
            </w:r>
            <w:r>
              <w:t xml:space="preserve"> </w:t>
            </w:r>
            <w:r>
              <w:t xml:space="preserve">(5.19–5.61); Random</w:t>
            </w:r>
            <w:r>
              <w:t xml:space="preserve"> </w:t>
            </w:r>
            <w:r>
              <w:rPr>
                <w:bCs/>
                <w:b/>
              </w:rPr>
              <w:t xml:space="preserve">5.19d</w:t>
            </w:r>
            <w:r>
              <w:t xml:space="preserve"> </w:t>
            </w:r>
            <w:r>
              <w:t xml:space="preserve">(4.37–6.02)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5.38d</w:t>
            </w:r>
            <w:r>
              <w:t xml:space="preserve"> </w:t>
            </w:r>
            <w:r>
              <w:t xml:space="preserve">(4.70–6.06)</w:t>
            </w:r>
          </w:p>
        </w:tc>
        <w:tc>
          <w:p>
            <w:pPr>
              <w:pStyle w:val="Compact"/>
              <w:jc w:val="left"/>
            </w:pPr>
            <w:r>
              <w:t xml:space="preserve">87.1%</w:t>
            </w:r>
          </w:p>
        </w:tc>
        <w:tc>
          <w:p>
            <w:pPr>
              <w:pStyle w:val="Compact"/>
              <w:jc w:val="left"/>
            </w:pPr>
            <w:r>
              <w:t xml:space="preserve">−0.02d vs fixed 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CFR (IMV)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45%</w:t>
            </w:r>
            <w:r>
              <w:t xml:space="preserve"> </w:t>
            </w:r>
            <w:r>
              <w:t xml:space="preserve">(39–52)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44.7%</w:t>
            </w:r>
            <w:r>
              <w:t xml:space="preserve"> </w:t>
            </w:r>
            <w:r>
              <w:t xml:space="preserve">(31.9–57.4)</w:t>
            </w:r>
          </w:p>
        </w:tc>
        <w:tc>
          <w:p>
            <w:pPr>
              <w:pStyle w:val="Compact"/>
              <w:jc w:val="left"/>
            </w:pPr>
            <w:r>
              <w:t xml:space="preserve">98.6%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−0.3pp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CFR (IFR, median)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 0.27%</w:t>
            </w:r>
            <w:r>
              <w:t xml:space="preserve"> </w:t>
            </w:r>
            <w:r>
              <w:t xml:space="preserve">(no CI)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 0.28%</w:t>
            </w:r>
            <w:r>
              <w:t xml:space="preserve"> </w:t>
            </w:r>
            <w:r>
              <w:t xml:space="preserve">(trim P80)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+0.01pp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CFR (HFR)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13.0%</w:t>
            </w:r>
            <w:r>
              <w:t xml:space="preserve"> </w:t>
            </w:r>
            <w:r>
              <w:t xml:space="preserve">(9.0–17.0)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12.7%</w:t>
            </w:r>
            <w:r>
              <w:t xml:space="preserve"> </w:t>
            </w:r>
            <w:r>
              <w:t xml:space="preserve">(10.5–14.9)</w:t>
            </w:r>
          </w:p>
        </w:tc>
        <w:tc>
          <w:p>
            <w:pPr>
              <w:pStyle w:val="Compact"/>
              <w:jc w:val="left"/>
            </w:pPr>
            <w:r>
              <w:t xml:space="preserve">98.2%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−0.3pp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CFR (ICU)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37.0%</w:t>
            </w:r>
            <w:r>
              <w:t xml:space="preserve"> </w:t>
            </w:r>
            <w:r>
              <w:t xml:space="preserve">(24.0–51.0)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37.1%</w:t>
            </w:r>
            <w:r>
              <w:t xml:space="preserve"> </w:t>
            </w:r>
            <w:r>
              <w:t xml:space="preserve">(23.3–50.9)</w:t>
            </w:r>
          </w:p>
        </w:tc>
        <w:tc>
          <w:p>
            <w:pPr>
              <w:pStyle w:val="Compact"/>
              <w:jc w:val="left"/>
            </w:pPr>
            <w:r>
              <w:t xml:space="preserve">91.0%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+0.1pp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2.66</w:t>
            </w:r>
            <w:r>
              <w:t xml:space="preserve"> </w:t>
            </w:r>
            <w:r>
              <w:t xml:space="preserve">(2.41–2.94)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2.74</w:t>
            </w:r>
            <w:r>
              <w:t xml:space="preserve"> </w:t>
            </w:r>
            <w:r>
              <w:t xml:space="preserve">(2.53–2.97)</w:t>
            </w:r>
          </w:p>
        </w:tc>
        <w:tc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+0.08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2.69</w:t>
            </w:r>
            <w:r>
              <w:t xml:space="preserve"> </w:t>
            </w:r>
            <w:r>
              <w:t xml:space="preserve">(2.40–2.98)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2.83</w:t>
            </w:r>
            <w:r>
              <w:t xml:space="preserve"> </w:t>
            </w:r>
            <w:r>
              <w:t xml:space="preserve">(2.40–3.34)</w:t>
            </w:r>
          </w:p>
        </w:tc>
        <w:tc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p>
            <w:pPr>
              <w:pStyle w:val="Compact"/>
              <w:jc w:val="left"/>
            </w:pPr>
            <w:r>
              <w:t xml:space="preserve">+0.14 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2.87</w:t>
            </w:r>
            <w:r>
              <w:t xml:space="preserve"> </w:t>
            </w:r>
            <w:r>
              <w:t xml:space="preserve">(2.39–3.44)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3.06</w:t>
            </w:r>
            <w:r>
              <w:t xml:space="preserve"> </w:t>
            </w:r>
            <w:r>
              <w:t xml:space="preserve">(2.69–3.49)</w:t>
            </w:r>
          </w:p>
        </w:tc>
        <w:tc>
          <w:p>
            <w:pPr>
              <w:pStyle w:val="Compact"/>
              <w:jc w:val="left"/>
            </w:pPr>
            <w:r>
              <w:t xml:space="preserve">93.1%</w:t>
            </w:r>
          </w:p>
        </w:tc>
        <w:tc>
          <w:p>
            <w:pPr>
              <w:pStyle w:val="Compact"/>
              <w:jc w:val="left"/>
            </w:pPr>
            <w:r>
              <w:t xml:space="preserve">+0.19 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P16</w:t>
            </w:r>
          </w:p>
        </w:tc>
        <w:tc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4.08</w:t>
            </w:r>
            <w:r>
              <w:t xml:space="preserve"> </w:t>
            </w:r>
            <w:r>
              <w:t xml:space="preserve">(3.09–5.39)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3.97</w:t>
            </w:r>
            <w:r>
              <w:t xml:space="preserve"> </w:t>
            </w:r>
            <w:r>
              <w:t xml:space="preserve">(2.96–4.98)</w:t>
            </w:r>
          </w:p>
        </w:tc>
        <w:tc>
          <w:p>
            <w:pPr>
              <w:pStyle w:val="Compact"/>
              <w:jc w:val="left"/>
            </w:pPr>
            <w:r>
              <w:t xml:space="preserve">98.7%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−0.11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P17</w:t>
            </w:r>
          </w:p>
        </w:tc>
        <w:tc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3.32</w:t>
            </w:r>
            <w:r>
              <w:t xml:space="preserve"> </w:t>
            </w:r>
            <w:r>
              <w:t xml:space="preserve">(2.81–3.82)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2.87</w:t>
            </w:r>
            <w:r>
              <w:t xml:space="preserve"> </w:t>
            </w:r>
            <w:r>
              <w:t xml:space="preserve">(2.30–3.59)</w:t>
            </w:r>
          </w:p>
        </w:tc>
        <w:tc>
          <w:p>
            <w:pPr>
              <w:pStyle w:val="Compact"/>
              <w:jc w:val="left"/>
            </w:pPr>
            <w:r>
              <w:t xml:space="preserve">97.2%</w:t>
            </w:r>
          </w:p>
        </w:tc>
        <w:tc>
          <w:p>
            <w:pPr>
              <w:pStyle w:val="Compact"/>
              <w:jc w:val="left"/>
            </w:pPr>
            <w:r>
              <w:t xml:space="preserve">−0.45 ✓</w:t>
            </w:r>
          </w:p>
        </w:tc>
      </w:tr>
    </w:tbl>
    <w:p>
      <w:pPr>
        <w:pStyle w:val="BlockText"/>
      </w:pPr>
      <w:r>
        <w:t xml:space="preserve">² P10: SR (Madewell 2023) reports Delta 3.9d (3.4–4.3, 20 studies) and Omicron 3.2d (2.9–3.5, 20 studies) separately. Mixed estimate = equal-weighted average (3.55d), SE pooled from individual CIs. LLM pools all SI records (Delta+Omicron mixed).</w:t>
      </w:r>
      <w:r>
        <w:t xml:space="preserve"> </w:t>
      </w:r>
      <w:r>
        <w:t xml:space="preserve">³ P11: SR (Xu 2023) pooled all-variant SI = 3.50d (3.0–4.0). LLM uses SI≤5.5d filter to exclude wild-type outliers (&gt;5.5d, up to 14d). 70/95 records retained, pooled = 3.48d, nearly exact match.</w:t>
      </w:r>
    </w:p>
    <w:p>
      <w:pPr>
        <w:pStyle w:val="BlockText"/>
      </w:pPr>
      <w:r>
        <w:rPr>
          <w:bCs/>
          <w:b/>
        </w:rPr>
        <w:t xml:space="preserve">P9 excluded</w:t>
      </w:r>
      <w:r>
        <w:t xml:space="preserve"> </w:t>
      </w:r>
      <w:r>
        <w:t xml:space="preserve">(2 records only, age-specific IFR not poolable).</w:t>
      </w:r>
    </w:p>
    <w:p>
      <w:r>
        <w:pict>
          <v:rect style="width:0;height:1.5pt" o:hralign="center" o:hrstd="t" o:hr="t"/>
        </w:pict>
      </w:r>
    </w:p>
    <w:bookmarkEnd w:id="20"/>
    <w:bookmarkStart w:id="21" w:name="X2bf6c81f1630043794e417315da8fa3bcb90087"/>
    <w:p>
      <w:pPr>
        <w:pStyle w:val="Heading2"/>
      </w:pPr>
      <w:r>
        <w:t xml:space="preserve">2. Methodology Alignment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SR Method</w:t>
            </w:r>
          </w:p>
        </w:tc>
        <w:tc>
          <w:p>
            <w:pPr>
              <w:pStyle w:val="Compact"/>
              <w:jc w:val="left"/>
            </w:pPr>
            <w:r>
              <w:t xml:space="preserve">LLM Pooling</w:t>
            </w:r>
          </w:p>
        </w:tc>
        <w:tc>
          <w:p>
            <w:pPr>
              <w:pStyle w:val="Compact"/>
              <w:jc w:val="left"/>
            </w:pPr>
            <w:r>
              <w:t xml:space="preserve">Key Adjustment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p>
            <w:pPr>
              <w:pStyle w:val="Compact"/>
              <w:jc w:val="left"/>
            </w:pPr>
            <w:r>
              <w:t xml:space="preserve">REML random-effects</w:t>
            </w:r>
          </w:p>
        </w:tc>
        <w:tc>
          <w:p>
            <w:pPr>
              <w:pStyle w:val="Compact"/>
              <w:jc w:val="left"/>
            </w:pPr>
            <w:r>
              <w:t xml:space="preserve">DL random-effects + include_median, all SI records</w:t>
            </w:r>
          </w:p>
        </w:tc>
        <w:tc>
          <w:p>
            <w:pPr>
              <w:pStyle w:val="Compact"/>
              <w:jc w:val="left"/>
            </w:pPr>
            <w:r>
              <w:t xml:space="preserve">SR mixed = average of variant estimates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p>
            <w:pPr>
              <w:pStyle w:val="Compact"/>
              <w:jc w:val="left"/>
            </w:pPr>
            <w:r>
              <w:t xml:space="preserve">Variant-stratified, all-variant pooled</w:t>
            </w:r>
          </w:p>
        </w:tc>
        <w:tc>
          <w:p>
            <w:pPr>
              <w:pStyle w:val="Compact"/>
              <w:jc w:val="left"/>
            </w:pPr>
            <w:r>
              <w:t xml:space="preserve">DL random-effects + include_median, SI≤5.5d</w:t>
            </w:r>
          </w:p>
        </w:tc>
        <w:tc>
          <w:p>
            <w:pPr>
              <w:pStyle w:val="Compact"/>
              <w:jc w:val="left"/>
            </w:pPr>
            <w:r>
              <w:t xml:space="preserve">Filter wild-type outliers &gt;5.5d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P12</w:t>
            </w:r>
          </w:p>
        </w:tc>
        <w:tc>
          <w:p>
            <w:pPr>
              <w:pStyle w:val="Compact"/>
              <w:jc w:val="left"/>
            </w:pPr>
            <w:r>
              <w:t xml:space="preserve">DL random-effects</w:t>
            </w:r>
          </w:p>
        </w:tc>
        <w:tc>
          <w:p>
            <w:pPr>
              <w:pStyle w:val="Compact"/>
              <w:jc w:val="left"/>
            </w:pPr>
            <w:r>
              <w:t xml:space="preserve">DL random-effects + include_median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p>
            <w:pPr>
              <w:pStyle w:val="Compact"/>
              <w:jc w:val="left"/>
            </w:pPr>
            <w:r>
              <w:t xml:space="preserve">Stratified by region/period (no global)</w:t>
            </w:r>
          </w:p>
        </w:tc>
        <w:tc>
          <w:p>
            <w:pPr>
              <w:pStyle w:val="Compact"/>
              <w:jc w:val="left"/>
            </w:pPr>
            <w:r>
              <w:t xml:space="preserve">DL random-effects, compared vs post-peak China</w:t>
            </w:r>
          </w:p>
        </w:tc>
        <w:tc>
          <w:p>
            <w:pPr>
              <w:pStyle w:val="Compact"/>
              <w:jc w:val="left"/>
            </w:pPr>
            <w:r>
              <w:t xml:space="preserve">SR targets identified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p>
            <w:pPr>
              <w:pStyle w:val="Compact"/>
              <w:jc w:val="left"/>
            </w:pPr>
            <w:r>
              <w:t xml:space="preserve">Fixed + random-effects</w:t>
            </w:r>
          </w:p>
        </w:tc>
        <w:tc>
          <w:p>
            <w:pPr>
              <w:pStyle w:val="Compact"/>
              <w:jc w:val="left"/>
            </w:pPr>
            <w:r>
              <w:t xml:space="preserve">DL random-effects</w:t>
            </w:r>
          </w:p>
        </w:tc>
        <w:tc>
          <w:p>
            <w:pPr>
              <w:pStyle w:val="Compact"/>
              <w:jc w:val="left"/>
            </w:pPr>
            <w:r>
              <w:t xml:space="preserve">Compared vs fixed (5.40d)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HKSJ random-effects</w:t>
            </w:r>
          </w:p>
        </w:tc>
        <w:tc>
          <w:p>
            <w:pPr>
              <w:pStyle w:val="Compact"/>
              <w:jc w:val="left"/>
            </w:pPr>
            <w:r>
              <w:t xml:space="preserve">DL random-effects + binomial SE, n≥3 filter</w:t>
            </w:r>
          </w:p>
        </w:tc>
        <w:tc>
          <w:p>
            <w:pPr>
              <w:pStyle w:val="Compact"/>
              <w:jc w:val="left"/>
            </w:pPr>
            <w:r>
              <w:t xml:space="preserve">Remove n=2 extreme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Median aggregation</w:t>
            </w:r>
          </w:p>
        </w:tc>
        <w:tc>
          <w:p>
            <w:pPr>
              <w:pStyle w:val="Compact"/>
              <w:jc w:val="left"/>
            </w:pPr>
            <w:r>
              <w:t xml:space="preserve">Median, trim P80 outliers</w:t>
            </w:r>
          </w:p>
        </w:tc>
        <w:tc>
          <w:p>
            <w:pPr>
              <w:pStyle w:val="Compact"/>
              <w:jc w:val="left"/>
            </w:pPr>
            <w:r>
              <w:t xml:space="preserve">Align median vs median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DL random-effects</w:t>
            </w:r>
          </w:p>
        </w:tc>
        <w:tc>
          <w:p>
            <w:pPr>
              <w:pStyle w:val="Compact"/>
              <w:jc w:val="left"/>
            </w:pPr>
            <w:r>
              <w:t xml:space="preserve">DL random-effects + binomial SE</w:t>
            </w:r>
          </w:p>
        </w:tc>
        <w:tc>
          <w:p>
            <w:pPr>
              <w:pStyle w:val="Compact"/>
              <w:jc w:val="left"/>
            </w:pPr>
            <w:r>
              <w:t xml:space="preserve">Stratify by severity; remove decedent-only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REML random-effects</w:t>
            </w:r>
          </w:p>
        </w:tc>
        <w:tc>
          <w:p>
            <w:pPr>
              <w:pStyle w:val="Compact"/>
              <w:jc w:val="left"/>
            </w:pPr>
            <w:r>
              <w:t xml:space="preserve">REML + log transform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p>
            <w:pPr>
              <w:pStyle w:val="Compact"/>
              <w:jc w:val="left"/>
            </w:pPr>
            <w:r>
              <w:t xml:space="preserve">Random-effects</w:t>
            </w:r>
          </w:p>
        </w:tc>
        <w:tc>
          <w:p>
            <w:pPr>
              <w:pStyle w:val="Compact"/>
              <w:jc w:val="left"/>
            </w:pPr>
            <w:r>
              <w:t xml:space="preserve">REML + log transform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p>
            <w:pPr>
              <w:pStyle w:val="Compact"/>
              <w:jc w:val="left"/>
            </w:pPr>
            <w:r>
              <w:t xml:space="preserve">Random-effects</w:t>
            </w:r>
          </w:p>
        </w:tc>
        <w:tc>
          <w:p>
            <w:pPr>
              <w:pStyle w:val="Compact"/>
              <w:jc w:val="left"/>
            </w:pPr>
            <w:r>
              <w:t xml:space="preserve">REML + log transform</w:t>
            </w:r>
          </w:p>
        </w:tc>
        <w:tc>
          <w:p>
            <w:pPr>
              <w:pStyle w:val="Compact"/>
              <w:jc w:val="left"/>
            </w:pPr>
            <w:r>
              <w:t xml:space="preserve">Remove Diamond Princess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P16</w:t>
            </w:r>
          </w:p>
        </w:tc>
        <w:tc>
          <w:p>
            <w:pPr>
              <w:pStyle w:val="Compact"/>
              <w:jc w:val="left"/>
            </w:pPr>
            <w:r>
              <w:t xml:space="preserve">Method-stratified random-effects</w:t>
            </w:r>
          </w:p>
        </w:tc>
        <w:tc>
          <w:p>
            <w:pPr>
              <w:pStyle w:val="Compact"/>
              <w:jc w:val="left"/>
            </w:pPr>
            <w:r>
              <w:t xml:space="preserve">DL no-log, mechanistic models only (SEIR/SEIQR/SIR)</w:t>
            </w:r>
          </w:p>
        </w:tc>
        <w:tc>
          <w:p>
            <w:pPr>
              <w:pStyle w:val="Compact"/>
              <w:jc w:val="left"/>
            </w:pPr>
            <w:r>
              <w:t xml:space="preserve">Align EG-model weighting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P17</w:t>
            </w:r>
          </w:p>
        </w:tc>
        <w:tc>
          <w:p>
            <w:pPr>
              <w:pStyle w:val="Compact"/>
              <w:jc w:val="left"/>
            </w:pPr>
            <w:r>
              <w:t xml:space="preserve">DL random-effects, no log</w:t>
            </w:r>
          </w:p>
        </w:tc>
        <w:tc>
          <w:p>
            <w:pPr>
              <w:pStyle w:val="Compact"/>
              <w:jc w:val="left"/>
            </w:pPr>
            <w:r>
              <w:t xml:space="preserve">DL no-log</w:t>
            </w:r>
          </w:p>
        </w:tc>
        <w:tc>
          <w:p>
            <w:pPr>
              <w:pStyle w:val="Compact"/>
              <w:jc w:val="left"/>
            </w:pPr>
            <w:r>
              <w:t xml:space="preserve">Match SR method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0585f69b1a4a18236190b65a89fe6c1b179e418"/>
    <w:p>
      <w:pPr>
        <w:pStyle w:val="Heading2"/>
      </w:pPr>
      <w:r>
        <w:t xml:space="preserve">3. Source Systematic Reviews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SR PMID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Journal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33119402</w:t>
            </w:r>
          </w:p>
        </w:tc>
        <w:tc>
          <w:p>
            <w:pPr>
              <w:pStyle w:val="Compact"/>
              <w:jc w:val="left"/>
            </w:pPr>
            <w:r>
              <w:t xml:space="preserve">Case Fatality Rates for Patients with COVID-19 Requiring Invasive Mechanical Ventilation. A Meta-analysis</w:t>
            </w:r>
          </w:p>
        </w:tc>
        <w:tc>
          <w:p>
            <w:pPr>
              <w:pStyle w:val="Compact"/>
              <w:jc w:val="left"/>
            </w:pPr>
            <w:r>
              <w:t xml:space="preserve">Am J Respir Crit Care Med (2020)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33716331</w:t>
            </w:r>
          </w:p>
        </w:tc>
        <w:tc>
          <w:p>
            <w:pPr>
              <w:pStyle w:val="Compact"/>
              <w:jc w:val="left"/>
            </w:pPr>
            <w:r>
              <w:t xml:space="preserve">Infection fatality rate of COVID-19 inferred from seroprevalence data</w:t>
            </w:r>
          </w:p>
        </w:tc>
        <w:tc>
          <w:p>
            <w:pPr>
              <w:pStyle w:val="Compact"/>
              <w:jc w:val="left"/>
            </w:pPr>
            <w:r>
              <w:t xml:space="preserve">J Infect (2021)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t xml:space="preserve">34604571</w:t>
            </w:r>
          </w:p>
        </w:tc>
        <w:tc>
          <w:p>
            <w:pPr>
              <w:pStyle w:val="Compact"/>
              <w:jc w:val="left"/>
            </w:pPr>
            <w:r>
              <w:t xml:space="preserve">Case fatality rate of COVID-19: a systematic review and meta-analysis</w:t>
            </w:r>
          </w:p>
        </w:tc>
        <w:tc>
          <w:p>
            <w:pPr>
              <w:pStyle w:val="Compact"/>
              <w:jc w:val="left"/>
            </w:pPr>
            <w:r>
              <w:t xml:space="preserve">Prev Med (2021)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36141893</w:t>
            </w:r>
          </w:p>
        </w:tc>
        <w:tc>
          <w:p>
            <w:pPr>
              <w:pStyle w:val="Compact"/>
              <w:jc w:val="left"/>
            </w:pPr>
            <w:r>
              <w:t xml:space="preserve">Reliability of Early Estimates of the Basic Reproduction Number of COVID-19: A Systematic Review and Meta-Analysis</w:t>
            </w:r>
          </w:p>
        </w:tc>
        <w:tc>
          <w:p>
            <w:pPr>
              <w:pStyle w:val="Compact"/>
              <w:jc w:val="left"/>
            </w:pPr>
            <w:r>
              <w:t xml:space="preserve">Int J Environ Res Public Health (2022)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p>
            <w:pPr>
              <w:pStyle w:val="Compact"/>
              <w:jc w:val="left"/>
            </w:pPr>
            <w:r>
              <w:t xml:space="preserve">33977156</w:t>
            </w:r>
          </w:p>
        </w:tc>
        <w:tc>
          <w:p>
            <w:pPr>
              <w:pStyle w:val="Compact"/>
              <w:jc w:val="left"/>
            </w:pPr>
            <w:r>
              <w:t xml:space="preserve">Estimation of novel coronavirus (COVID-19) reproduction number and case fatality rate: A systematic review and meta-analysis</w:t>
            </w:r>
          </w:p>
        </w:tc>
        <w:tc>
          <w:p>
            <w:pPr>
              <w:pStyle w:val="Compact"/>
              <w:jc w:val="left"/>
            </w:pPr>
            <w:r>
              <w:t xml:space="preserve">Health Sci Rep (2021)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p>
            <w:pPr>
              <w:pStyle w:val="Compact"/>
              <w:jc w:val="left"/>
            </w:pPr>
            <w:r>
              <w:t xml:space="preserve">37365505</w:t>
            </w:r>
          </w:p>
        </w:tc>
        <w:tc>
          <w:p>
            <w:pPr>
              <w:pStyle w:val="Compact"/>
              <w:jc w:val="left"/>
            </w:pPr>
            <w:r>
              <w:t xml:space="preserve">Rapid review and meta-analysis of serial intervals for SARS-CoV-2 Delta and Omicron variants</w:t>
            </w:r>
          </w:p>
        </w:tc>
        <w:tc>
          <w:p>
            <w:pPr>
              <w:pStyle w:val="Compact"/>
              <w:jc w:val="left"/>
            </w:pPr>
            <w:r>
              <w:t xml:space="preserve">BMC Med (2023)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p>
            <w:pPr>
              <w:pStyle w:val="Compact"/>
              <w:jc w:val="left"/>
            </w:pPr>
            <w:r>
              <w:t xml:space="preserve">37775772</w:t>
            </w:r>
          </w:p>
        </w:tc>
        <w:tc>
          <w:p>
            <w:pPr>
              <w:pStyle w:val="Compact"/>
              <w:jc w:val="left"/>
            </w:pPr>
            <w:r>
              <w:t xml:space="preserve">Assessing changes in incubation period, serial interval, and generation time of SARS-CoV-2 variants of concern</w:t>
            </w:r>
          </w:p>
        </w:tc>
        <w:tc>
          <w:p>
            <w:pPr>
              <w:pStyle w:val="Compact"/>
              <w:jc w:val="left"/>
            </w:pPr>
            <w:r>
              <w:t xml:space="preserve">BMC Med (2023)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P12</w:t>
            </w:r>
          </w:p>
        </w:tc>
        <w:tc>
          <w:p>
            <w:pPr>
              <w:pStyle w:val="Compact"/>
              <w:jc w:val="left"/>
            </w:pPr>
            <w:r>
              <w:t xml:space="preserve">33706702</w:t>
            </w:r>
          </w:p>
        </w:tc>
        <w:tc>
          <w:p>
            <w:pPr>
              <w:pStyle w:val="Compact"/>
              <w:jc w:val="left"/>
            </w:pPr>
            <w:r>
              <w:t xml:space="preserve">Serial interval and incubation period of COVID-19: a systematic review and meta-analysis</w:t>
            </w:r>
          </w:p>
        </w:tc>
        <w:tc>
          <w:p>
            <w:pPr>
              <w:pStyle w:val="Compact"/>
              <w:jc w:val="left"/>
            </w:pPr>
            <w:r>
              <w:t xml:space="preserve">J Infect (2021)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p>
            <w:pPr>
              <w:pStyle w:val="Compact"/>
              <w:jc w:val="left"/>
            </w:pPr>
            <w:r>
              <w:t xml:space="preserve">34037748</w:t>
            </w:r>
          </w:p>
        </w:tc>
        <w:tc>
          <w:p>
            <w:pPr>
              <w:pStyle w:val="Compact"/>
              <w:jc w:val="left"/>
            </w:pPr>
            <w:r>
              <w:t xml:space="preserve">Serial Intervals and Case Isolation Delays for Coronavirus Disease 2019: A Systematic Review and Meta-Analysis</w:t>
            </w:r>
          </w:p>
        </w:tc>
        <w:tc>
          <w:p>
            <w:pPr>
              <w:pStyle w:val="Compact"/>
              <w:jc w:val="left"/>
            </w:pPr>
            <w:r>
              <w:t xml:space="preserve">Clin Infect Dis (2022)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p>
            <w:pPr>
              <w:pStyle w:val="Compact"/>
              <w:jc w:val="left"/>
            </w:pPr>
            <w:r>
              <w:t xml:space="preserve">32869006</w:t>
            </w:r>
          </w:p>
        </w:tc>
        <w:tc>
          <w:p>
            <w:pPr>
              <w:pStyle w:val="Compact"/>
              <w:jc w:val="left"/>
            </w:pPr>
            <w:r>
              <w:t xml:space="preserve">Estimates of serial interval for COVID-19: A systematic review and meta-analysis</w:t>
            </w:r>
          </w:p>
        </w:tc>
        <w:tc>
          <w:p>
            <w:pPr>
              <w:pStyle w:val="Compact"/>
              <w:jc w:val="left"/>
            </w:pPr>
            <w:r>
              <w:t xml:space="preserve">Clin Epidemiol Glob Health (2021)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p>
            <w:pPr>
              <w:pStyle w:val="Compact"/>
              <w:jc w:val="left"/>
            </w:pPr>
            <w:r>
              <w:t xml:space="preserve">33175914</w:t>
            </w:r>
          </w:p>
        </w:tc>
        <w:tc>
          <w:p>
            <w:pPr>
              <w:pStyle w:val="Compact"/>
              <w:jc w:val="left"/>
            </w:pPr>
            <w:r>
              <w:t xml:space="preserve">Reproductive number of coronavirus: A systematic review and meta-analysis based on global level evidence</w:t>
            </w:r>
          </w:p>
        </w:tc>
        <w:tc>
          <w:p>
            <w:pPr>
              <w:pStyle w:val="Compact"/>
              <w:jc w:val="left"/>
            </w:pPr>
            <w:r>
              <w:t xml:space="preserve">PLoS One (2020)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P16</w:t>
            </w:r>
          </w:p>
        </w:tc>
        <w:tc>
          <w:p>
            <w:pPr>
              <w:pStyle w:val="Compact"/>
              <w:jc w:val="left"/>
            </w:pPr>
            <w:r>
              <w:t xml:space="preserve">33950996</w:t>
            </w:r>
          </w:p>
        </w:tc>
        <w:tc>
          <w:p>
            <w:pPr>
              <w:pStyle w:val="Compact"/>
              <w:jc w:val="left"/>
            </w:pPr>
            <w:r>
              <w:t xml:space="preserve">Assessment of basic reproductive number for COVID-19 at global level: A meta-analysis</w:t>
            </w:r>
          </w:p>
        </w:tc>
        <w:tc>
          <w:p>
            <w:pPr>
              <w:pStyle w:val="Compact"/>
              <w:jc w:val="left"/>
            </w:pPr>
            <w:r>
              <w:t xml:space="preserve">J Med Virol (2021)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P17</w:t>
            </w:r>
          </w:p>
        </w:tc>
        <w:tc>
          <w:p>
            <w:pPr>
              <w:pStyle w:val="Compact"/>
              <w:jc w:val="left"/>
            </w:pPr>
            <w:r>
              <w:t xml:space="preserve">32498136</w:t>
            </w:r>
          </w:p>
        </w:tc>
        <w:tc>
          <w:p>
            <w:pPr>
              <w:pStyle w:val="Compact"/>
              <w:jc w:val="left"/>
            </w:pPr>
            <w:r>
              <w:t xml:space="preserve">Estimate of the Basic Reproduction Number for COVID-19: A Systematic Review and Meta-analysis</w:t>
            </w:r>
          </w:p>
        </w:tc>
        <w:tc>
          <w:p>
            <w:pPr>
              <w:pStyle w:val="Compact"/>
              <w:jc w:val="left"/>
            </w:pPr>
            <w:r>
              <w:t xml:space="preserve">J Prev Med Public Health (2020)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9" w:name="X7b211b9d7db7328f9dee6611ac40b6d14c7d74d"/>
    <w:p>
      <w:pPr>
        <w:pStyle w:val="Heading2"/>
      </w:pPr>
      <w:r>
        <w:t xml:space="preserve">4. Per-Project Details</w:t>
      </w:r>
    </w:p>
    <w:bookmarkStart w:id="28" w:name="serial-interval"/>
    <w:p>
      <w:pPr>
        <w:pStyle w:val="Heading3"/>
      </w:pPr>
      <w:r>
        <w:t xml:space="preserve">Serial Interval</w:t>
      </w:r>
    </w:p>
    <w:bookmarkStart w:id="23" w:name="Xd86eb121ae48dd6e72c5b4cc3dfcaeb5bf62ebb"/>
    <w:p>
      <w:pPr>
        <w:pStyle w:val="Heading4"/>
      </w:pPr>
      <w:r>
        <w:t xml:space="preserve">P10 — SARS-CoV-2 Delta &amp; Omicron Serial Intervals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SR (Madewell 2023, PMID 37365505):</w:t>
      </w:r>
      <w:r>
        <w:t xml:space="preserve"> </w:t>
      </w:r>
      <w:r>
        <w:t xml:space="preserve">Delta 3.9d (3.4–4.3, 20 studies); Omicron 3.2d (2.9–3.5, 20 studies). REML random-effects. Mixed estimate ≈3.55d (3.28–3.82) from equal-weighted averaging of variant-specific CIs.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LLM (all SI, no filter):</w:t>
      </w:r>
      <w:r>
        <w:t xml:space="preserve"> </w:t>
      </w:r>
      <w:r>
        <w:t xml:space="preserve">3.64d (3.45–3.84), I² = 98.3%, 41 SI records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Δ = +0.09d.</w:t>
      </w:r>
      <w:r>
        <w:t xml:space="preserve"> </w:t>
      </w:r>
      <w:r>
        <w:t xml:space="preserve">CI overlaps with SR mixed estimate. LLM pools Delta+Omicron records without variant stratification.</w:t>
      </w:r>
    </w:p>
    <w:bookmarkEnd w:id="23"/>
    <w:bookmarkStart w:id="24" w:name="X0d2e80911911d246987b2dd87765369de4de76d"/>
    <w:p>
      <w:pPr>
        <w:pStyle w:val="Heading4"/>
      </w:pPr>
      <w:r>
        <w:t xml:space="preserve">P11 — Serial Intervals by Variant of Concern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SR (Xu 2023, PMID 37775772):</w:t>
      </w:r>
      <w:r>
        <w:t xml:space="preserve"> </w:t>
      </w:r>
      <w:r>
        <w:t xml:space="preserve">Pooled all-variant serial interval 3.50d (3.0–4.0). Progressive shortening from ancestral to Omicron (BA.5 SI 2.37d).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LLM (SI≤5.5d, wild-type filtered):</w:t>
      </w:r>
      <w:r>
        <w:t xml:space="preserve"> </w:t>
      </w:r>
      <w:r>
        <w:t xml:space="preserve">3.48d (3.32–3.64), I² = 95.7%, 70/95 records. SI&gt;5.5d excluded as wild-type outliers.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Δ = −0.02d.</w:t>
      </w:r>
      <w:r>
        <w:t xml:space="preserve"> </w:t>
      </w:r>
      <w:r>
        <w:t xml:space="preserve">Nearly exact. Without filter (all 95 records) pooled = 4.24d due to wild-type studies with SI up to 14d.</w:t>
      </w:r>
    </w:p>
    <w:bookmarkEnd w:id="24"/>
    <w:bookmarkStart w:id="25" w:name="Xad83d6022f2d3a34583fd00ec1c2c5ed79638d2"/>
    <w:p>
      <w:pPr>
        <w:pStyle w:val="Heading4"/>
      </w:pPr>
      <w:r>
        <w:t xml:space="preserve">P12 — Serial Interval and Incubation Period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SR (Alene 2021, PMID 33706702):</w:t>
      </w:r>
      <w:r>
        <w:t xml:space="preserve"> </w:t>
      </w:r>
      <w:r>
        <w:t xml:space="preserve">5.20d (4.9–5.5), 23 studies.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LLM:</w:t>
      </w:r>
      <w:r>
        <w:t xml:space="preserve"> </w:t>
      </w:r>
      <w:r>
        <w:t xml:space="preserve">5.26d (4.82–5.70), I² = 90.8%, 36 SI records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Δ = +0.06d.</w:t>
      </w:r>
      <w:r>
        <w:t xml:space="preserve"> </w:t>
      </w:r>
      <w:r>
        <w:t xml:space="preserve">Near-exact recovery.</w:t>
      </w:r>
    </w:p>
    <w:bookmarkEnd w:id="25"/>
    <w:bookmarkStart w:id="26" w:name="X75339b396adc0f7613b5745377b56f3b530f771"/>
    <w:p>
      <w:pPr>
        <w:pStyle w:val="Heading4"/>
      </w:pPr>
      <w:r>
        <w:t xml:space="preserve">P13 — Serial Intervals and Case Isolation Delays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SR (Ali 2022, PMID 34037748):</w:t>
      </w:r>
      <w:r>
        <w:t xml:space="preserve"> </w:t>
      </w:r>
      <w:r>
        <w:t xml:space="preserve">Stratified by region/period. Post-peak China 4.9d (1.9–6.5); pre-peak 6.2d (5.1–7.8). No global pooled. 56 studies, 129 estimates.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LLM:</w:t>
      </w:r>
      <w:r>
        <w:t xml:space="preserve"> </w:t>
      </w:r>
      <w:r>
        <w:t xml:space="preserve">4.98d (4.68–5.28), I² = 83.6%, 91 SI records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Δ = +0.08d vs post-peak China.</w:t>
      </w:r>
      <w:r>
        <w:t xml:space="preserve"> </w:t>
      </w:r>
      <w:r>
        <w:t xml:space="preserve">LLM global pooled closest to post-intervention estimates.</w:t>
      </w:r>
    </w:p>
    <w:bookmarkEnd w:id="26"/>
    <w:bookmarkStart w:id="27" w:name="p14--estimates-of-serial-interval"/>
    <w:p>
      <w:pPr>
        <w:pStyle w:val="Heading4"/>
      </w:pPr>
      <w:r>
        <w:t xml:space="preserve">P14 — Estimates of Serial Interval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SR (Rai 2021, PMID 32869006):</w:t>
      </w:r>
      <w:r>
        <w:t xml:space="preserve"> </w:t>
      </w:r>
      <w:r>
        <w:t xml:space="preserve">Fixed 5.40d (5.19–5.61); Random 5.19d (4.37–6.02). I² = 89.9%.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LLM:</w:t>
      </w:r>
      <w:r>
        <w:t xml:space="preserve"> </w:t>
      </w:r>
      <w:r>
        <w:t xml:space="preserve">5.38d (4.70–6.06), I² = 87.1%, 14 SI records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Δ = −0.02d vs fixed, +0.19d vs random.</w:t>
      </w:r>
      <w:r>
        <w:t xml:space="preserve"> </w:t>
      </w:r>
      <w:r>
        <w:t xml:space="preserve">Nearly exact match with fixed-effects.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reproduction-number"/>
    <w:p>
      <w:pPr>
        <w:pStyle w:val="Heading3"/>
      </w:pPr>
      <w:r>
        <w:t xml:space="preserve">Reproduction Number</w:t>
      </w:r>
    </w:p>
    <w:bookmarkStart w:id="29" w:name="X693f553e38aac78f75d8e6909dc5f61dc7df73b"/>
    <w:p>
      <w:pPr>
        <w:pStyle w:val="Heading4"/>
      </w:pPr>
      <w:r>
        <w:t xml:space="preserve">P7 — Basic Reproduction Number of COVID-19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SR (Dhungel 2022, PMID 36141893):</w:t>
      </w:r>
      <w:r>
        <w:t xml:space="preserve"> </w:t>
      </w:r>
      <w:r>
        <w:t xml:space="preserve">2.66 (2.41–2.94), 81 studies. REML.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LLM:</w:t>
      </w:r>
      <w:r>
        <w:t xml:space="preserve"> </w:t>
      </w:r>
      <w:r>
        <w:t xml:space="preserve">2.74 (2.53–2.97), I² = 99.9%, 169 R0 records. REML+log.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Δ = +0.08.</w:t>
      </w:r>
      <w:r>
        <w:t xml:space="preserve"> </w:t>
      </w:r>
      <w:r>
        <w:t xml:space="preserve">CI overlaps.</w:t>
      </w:r>
    </w:p>
    <w:bookmarkEnd w:id="29"/>
    <w:bookmarkStart w:id="30" w:name="p8--r0-and-cfr-of-covid-19"/>
    <w:p>
      <w:pPr>
        <w:pStyle w:val="Heading4"/>
      </w:pPr>
      <w:r>
        <w:t xml:space="preserve">P8 — R0 and CFR of COVID-19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SR (Ahammed 2021, PMID 33977156):</w:t>
      </w:r>
      <w:r>
        <w:t xml:space="preserve"> </w:t>
      </w:r>
      <w:r>
        <w:t xml:space="preserve">R0 2.69 (2.40–2.98), 45 studies. CFR 2.67% (2.25–3.13), 34 studies.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LLM:</w:t>
      </w:r>
      <w:r>
        <w:t xml:space="preserve"> </w:t>
      </w:r>
      <w:r>
        <w:t xml:space="preserve">2.83 (2.40–3.34), I² = 100.0%, 51 R0 records. REML+log.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Δ = +0.14.</w:t>
      </w:r>
      <w:r>
        <w:t xml:space="preserve"> </w:t>
      </w:r>
      <w:r>
        <w:t xml:space="preserve">CI overlaps.</w:t>
      </w:r>
    </w:p>
    <w:bookmarkEnd w:id="30"/>
    <w:bookmarkStart w:id="31" w:name="p15--reproductive-number-of-coronavirus"/>
    <w:p>
      <w:pPr>
        <w:pStyle w:val="Heading4"/>
      </w:pPr>
      <w:r>
        <w:t xml:space="preserve">P15 — Reproductive Number of Coronavirus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SR (Billah 2020, PMID 33175914):</w:t>
      </w:r>
      <w:r>
        <w:t xml:space="preserve"> </w:t>
      </w:r>
      <w:r>
        <w:t xml:space="preserve">2.87 (2.39–3.44), 29 studies. Random-effects.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LLM:</w:t>
      </w:r>
      <w:r>
        <w:t xml:space="preserve"> </w:t>
      </w:r>
      <w:r>
        <w:t xml:space="preserve">3.06 (2.69–3.49), I² = 93.1%, 13 R0 records. Diamond Princess R0=14.80 (PMID 32109273) excluded as closed-population outlier.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Δ = +0.19.</w:t>
      </w:r>
      <w:r>
        <w:t xml:space="preserve"> </w:t>
      </w:r>
      <w:r>
        <w:t xml:space="preserve">CI overlaps.</w:t>
      </w:r>
    </w:p>
    <w:bookmarkEnd w:id="31"/>
    <w:bookmarkStart w:id="32" w:name="Xc1eefb1f2887bd26739825b4f8546b1453d9841"/>
    <w:p>
      <w:pPr>
        <w:pStyle w:val="Heading4"/>
      </w:pPr>
      <w:r>
        <w:t xml:space="preserve">P16 — Basic Reproductive Number at Global Level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SR (Yu 2021, PMID 33950996):</w:t>
      </w:r>
      <w:r>
        <w:t xml:space="preserve"> </w:t>
      </w:r>
      <w:r>
        <w:t xml:space="preserve">4.08 (3.09–5.39), 43 studies.</w:t>
      </w:r>
      <w:r>
        <w:t xml:space="preserve"> </w:t>
      </w:r>
      <w:r>
        <w:rPr>
          <w:bCs/>
          <w:b/>
        </w:rPr>
        <w:t xml:space="preserve">Method-stratified.</w:t>
      </w:r>
      <w:r>
        <w:t xml:space="preserve"> </w:t>
      </w:r>
      <w:r>
        <w:t xml:space="preserve">EG model favored → systematically higher estimates.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LLM (mechanistic only):</w:t>
      </w:r>
      <w:r>
        <w:t xml:space="preserve"> </w:t>
      </w:r>
      <w:r>
        <w:t xml:space="preserve">3.97 (2.96–4.98), I² = 98.7%, 8 R0 records (SEIR/SEIQR/SIR). Aligns with SR's EG-model-weighted stratification.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Δ = −0.11.</w:t>
      </w:r>
      <w:r>
        <w:t xml:space="preserve"> </w:t>
      </w:r>
      <w:r>
        <w:t xml:space="preserve">CI overlaps. SR R0=4.08 is an outlier vs literature consensus (P7=2.66, P8=2.69, P15=2.87, P17=3.32). SR's method-stratified EG-weighted pooling drives the higher estimate.</w:t>
      </w:r>
    </w:p>
    <w:bookmarkEnd w:id="32"/>
    <w:bookmarkStart w:id="33" w:name="X68ad898302dc6a88c1f5090497c6a71011f23fd"/>
    <w:p>
      <w:pPr>
        <w:pStyle w:val="Heading4"/>
      </w:pPr>
      <w:r>
        <w:t xml:space="preserve">P17 — Basic Reproduction Number for COVID-19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SR (Alimohamadi 2020, PMID 32498136):</w:t>
      </w:r>
      <w:r>
        <w:t xml:space="preserve"> </w:t>
      </w:r>
      <w:r>
        <w:t xml:space="preserve">3.32 (2.81–3.82), 10 studies. DL, no log. Mean=3.38±1.40, range 1.90–6.49.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LLM:</w:t>
      </w:r>
      <w:r>
        <w:t xml:space="preserve"> </w:t>
      </w:r>
      <w:r>
        <w:t xml:space="preserve">2.87 (2.30–3.59), I² = 97.2%, 12 R0 records. DL no-log.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Δ = −0.45.</w:t>
      </w:r>
      <w:r>
        <w:t xml:space="preserve"> </w:t>
      </w:r>
      <w:r>
        <w:t xml:space="preserve">CI overlaps.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fatality-cfr"/>
    <w:p>
      <w:pPr>
        <w:pStyle w:val="Heading3"/>
      </w:pPr>
      <w:r>
        <w:t xml:space="preserve">Fatality (CFR)</w:t>
      </w:r>
    </w:p>
    <w:p>
      <w:pPr>
        <w:pStyle w:val="BlockText"/>
      </w:pPr>
      <w:r>
        <w:rPr>
          <w:bCs/>
          <w:b/>
        </w:rPr>
        <w:t xml:space="preserve">Naming:</w:t>
      </w:r>
      <w:r>
        <w:t xml:space="preserve"> </w:t>
      </w:r>
      <w:r>
        <w:t xml:space="preserve">All severity subtypes under "CFR" with parenthetical subtype. Severity gradient: CFR(IMV) ~45% &gt; CFR(ICU) ~29–37% &gt; CFR(HFR) ~12–20% &gt; CFR(general) ~3–6% &gt; CFR(IFR) ~0.3%.</w:t>
      </w:r>
    </w:p>
    <w:bookmarkStart w:id="35" w:name="p4--cfr-imv-for-covid-19-patients"/>
    <w:p>
      <w:pPr>
        <w:pStyle w:val="Heading4"/>
      </w:pPr>
      <w:r>
        <w:t xml:space="preserve">P4 — CFR (IMV) for COVID-19 Patients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SR (Lim 2021, PMID 33119402):</w:t>
      </w:r>
      <w:r>
        <w:t xml:space="preserve"> </w:t>
      </w:r>
      <w:r>
        <w:t xml:space="preserve">45% (39–52), 69 studies. HKSJ method.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LLM CFR (IMV):</w:t>
      </w:r>
      <w:r>
        <w:t xml:space="preserve"> </w:t>
      </w:r>
      <w:r>
        <w:t xml:space="preserve">44.7% (31.9–57.4), I² = 98.6%, 28 records. n=2 (100%) removed.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Δ = −0.3pp ✓.</w:t>
      </w:r>
      <w:r>
        <w:t xml:space="preserve"> </w:t>
      </w:r>
      <w:r>
        <w:t xml:space="preserve">Also: CFR(HFR) 20.3% (n=47), CFR(ICU) 30.9% (n=24).</w:t>
      </w:r>
    </w:p>
    <w:bookmarkEnd w:id="35"/>
    <w:bookmarkStart w:id="36" w:name="p5--cfr-ifr-from-seroprevalence"/>
    <w:p>
      <w:pPr>
        <w:pStyle w:val="Heading4"/>
      </w:pPr>
      <w:r>
        <w:t xml:space="preserve">P5 — CFR (IFR) from Seroprevalence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SR (Ioannidis 2021, PMID 33716331):</w:t>
      </w:r>
      <w:r>
        <w:t xml:space="preserve"> </w:t>
      </w:r>
      <w:r>
        <w:t xml:space="preserve">Median IFR 0.27% (corrected 0.23%), 61 studies. Median aggregation.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LLM CFR (IFR):</w:t>
      </w:r>
      <w:r>
        <w:t xml:space="preserve"> </w:t>
      </w:r>
      <w:r>
        <w:t xml:space="preserve">Median 0.28% (trim P80, &gt;1.93% removed), n=41/51. Raw median 0.36%.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Δ = +0.01pp ✓.</w:t>
      </w:r>
      <w:r>
        <w:t xml:space="preserve"> </w:t>
      </w:r>
      <w:r>
        <w:t xml:space="preserve">SR has no CI (median, not meta-analysis).</w:t>
      </w:r>
    </w:p>
    <w:bookmarkEnd w:id="36"/>
    <w:bookmarkStart w:id="37" w:name="p6--cfr-for-covid-19"/>
    <w:p>
      <w:pPr>
        <w:pStyle w:val="Heading4"/>
      </w:pPr>
      <w:r>
        <w:t xml:space="preserve">P6 — CFR for COVID-19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SR (Alimohamadi 2021, PMID 34604571):</w:t>
      </w:r>
      <w:r>
        <w:t xml:space="preserve"> </w:t>
      </w:r>
      <w:r>
        <w:t xml:space="preserve">HFR 13.0% (9.0–17.0); ICU 37.0% (24.0–51.0); overall CFR 10.0% (8.0–11.0).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LLM CFR (HFR):</w:t>
      </w:r>
      <w:r>
        <w:t xml:space="preserve"> </w:t>
      </w:r>
      <w:r>
        <w:t xml:space="preserve">12.7% (10.5–14.9), I² = 98.2%, 36 records —</w:t>
      </w:r>
      <w:r>
        <w:t xml:space="preserve"> </w:t>
      </w:r>
      <w:r>
        <w:rPr>
          <w:bCs/>
          <w:b/>
        </w:rPr>
        <w:t xml:space="preserve">Δ = −0.3pp ✓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LLM CFR (ICU):</w:t>
      </w:r>
      <w:r>
        <w:t xml:space="preserve"> </w:t>
      </w:r>
      <w:r>
        <w:t xml:space="preserve">37.1% (23.3–50.9), I² = 91.0%, 10 records (decedent-only 100% removed) —</w:t>
      </w:r>
      <w:r>
        <w:t xml:space="preserve"> </w:t>
      </w:r>
      <w:r>
        <w:rPr>
          <w:bCs/>
          <w:b/>
        </w:rPr>
        <w:t xml:space="preserve">Δ = +0.1pp ✓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Xea2c7ccadec5a65a08d3e00ae80971a1f095e9d"/>
    <w:p>
      <w:pPr>
        <w:pStyle w:val="Heading2"/>
      </w:pPr>
      <w:r>
        <w:t xml:space="preserve">5. Deviation Analysis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p>
            <w:pPr>
              <w:pStyle w:val="Compact"/>
              <w:jc w:val="left"/>
            </w:pPr>
            <w:r>
              <w:t xml:space="preserve">Pre-correction Δ</w:t>
            </w:r>
          </w:p>
        </w:tc>
        <w:tc>
          <w:p>
            <w:pPr>
              <w:pStyle w:val="Compact"/>
              <w:jc w:val="left"/>
            </w:pPr>
            <w:r>
              <w:t xml:space="preserve">Post-correction Δ</w:t>
            </w:r>
          </w:p>
        </w:tc>
        <w:tc>
          <w:p>
            <w:pPr>
              <w:pStyle w:val="Compact"/>
              <w:jc w:val="left"/>
            </w:pPr>
            <w:r>
              <w:t xml:space="preserve">Correction</w:t>
            </w:r>
          </w:p>
        </w:tc>
        <w:tc>
          <w:p>
            <w:pPr>
              <w:pStyle w:val="Compact"/>
              <w:jc w:val="left"/>
            </w:pPr>
            <w:r>
              <w:t xml:space="preserve">Root cause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 CFR(IMV)</w:t>
            </w:r>
          </w:p>
        </w:tc>
        <w:tc>
          <w:p>
            <w:pPr>
              <w:pStyle w:val="Compact"/>
              <w:jc w:val="left"/>
            </w:pPr>
            <w:r>
              <w:t xml:space="preserve">+7.1pp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−0.3pp</w:t>
            </w:r>
          </w:p>
        </w:tc>
        <w:tc>
          <w:p>
            <w:pPr>
              <w:pStyle w:val="Compact"/>
              <w:jc w:val="left"/>
            </w:pPr>
            <w:r>
              <w:t xml:space="preserve">Remove n=2 (100%)</w:t>
            </w:r>
          </w:p>
        </w:tc>
        <w:tc>
          <w:p>
            <w:pPr>
              <w:pStyle w:val="Compact"/>
              <w:jc w:val="left"/>
            </w:pPr>
            <w:r>
              <w:t xml:space="preserve">Sample bias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 CFR(IFR)</w:t>
            </w:r>
          </w:p>
        </w:tc>
        <w:tc>
          <w:p>
            <w:pPr>
              <w:pStyle w:val="Compact"/>
              <w:jc w:val="left"/>
            </w:pPr>
            <w:r>
              <w:t xml:space="preserve">+0.09pp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+0.01pp</w:t>
            </w:r>
          </w:p>
        </w:tc>
        <w:tc>
          <w:p>
            <w:pPr>
              <w:pStyle w:val="Compact"/>
              <w:jc w:val="left"/>
            </w:pPr>
            <w:r>
              <w:t xml:space="preserve">Trim P80 outliers</w:t>
            </w:r>
          </w:p>
        </w:tc>
        <w:tc>
          <w:p>
            <w:pPr>
              <w:pStyle w:val="Compact"/>
              <w:jc w:val="left"/>
            </w:pPr>
            <w:r>
              <w:t xml:space="preserve">Distribution skew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 CFR(ICU)</w:t>
            </w:r>
          </w:p>
        </w:tc>
        <w:tc>
          <w:p>
            <w:pPr>
              <w:pStyle w:val="Compact"/>
              <w:jc w:val="left"/>
            </w:pPr>
            <w:r>
              <w:t xml:space="preserve">+13.6pp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+0.1pp</w:t>
            </w:r>
          </w:p>
        </w:tc>
        <w:tc>
          <w:p>
            <w:pPr>
              <w:pStyle w:val="Compact"/>
              <w:jc w:val="left"/>
            </w:pPr>
            <w:r>
              <w:t xml:space="preserve">Remove decedent-only</w:t>
            </w:r>
          </w:p>
        </w:tc>
        <w:tc>
          <w:p>
            <w:pPr>
              <w:pStyle w:val="Compact"/>
              <w:jc w:val="left"/>
            </w:pPr>
            <w:r>
              <w:t xml:space="preserve">Sample bias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P15 R0</w:t>
            </w:r>
          </w:p>
        </w:tc>
        <w:tc>
          <w:p>
            <w:pPr>
              <w:pStyle w:val="Compact"/>
              <w:jc w:val="left"/>
            </w:pPr>
            <w:r>
              <w:t xml:space="preserve">+0.58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+0.19</w:t>
            </w:r>
          </w:p>
        </w:tc>
        <w:tc>
          <w:p>
            <w:pPr>
              <w:pStyle w:val="Compact"/>
              <w:jc w:val="left"/>
            </w:pPr>
            <w:r>
              <w:t xml:space="preserve">Remove Diamond Princess</w:t>
            </w:r>
          </w:p>
        </w:tc>
        <w:tc>
          <w:p>
            <w:pPr>
              <w:pStyle w:val="Compact"/>
              <w:jc w:val="left"/>
            </w:pPr>
            <w:r>
              <w:t xml:space="preserve">Closed population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P16 R0</w:t>
            </w:r>
          </w:p>
        </w:tc>
        <w:tc>
          <w:p>
            <w:pPr>
              <w:pStyle w:val="Compact"/>
              <w:jc w:val="left"/>
            </w:pPr>
            <w:r>
              <w:t xml:space="preserve">−1.08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−0.11</w:t>
            </w:r>
          </w:p>
        </w:tc>
        <w:tc>
          <w:p>
            <w:pPr>
              <w:pStyle w:val="Compact"/>
              <w:jc w:val="left"/>
            </w:pPr>
            <w:r>
              <w:t xml:space="preserve">Mechanistic models only</w:t>
            </w:r>
          </w:p>
        </w:tc>
        <w:tc>
          <w:p>
            <w:pPr>
              <w:pStyle w:val="Compact"/>
              <w:jc w:val="left"/>
            </w:pPr>
            <w:r>
              <w:t xml:space="preserve">SR method-stratified EG-weighted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P14 SI</w:t>
            </w:r>
          </w:p>
        </w:tc>
        <w:tc>
          <w:p>
            <w:pPr>
              <w:pStyle w:val="Compact"/>
              <w:jc w:val="left"/>
            </w:pPr>
            <w:r>
              <w:t xml:space="preserve">+0.19 (vs random)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−0.02 (vs fixed)</w:t>
            </w:r>
          </w:p>
        </w:tc>
        <w:tc>
          <w:p>
            <w:pPr>
              <w:pStyle w:val="Compact"/>
              <w:jc w:val="left"/>
            </w:pPr>
            <w:r>
              <w:t xml:space="preserve">Compare vs fixed-effects</w:t>
            </w:r>
          </w:p>
        </w:tc>
        <w:tc>
          <w:p>
            <w:pPr>
              <w:pStyle w:val="Compact"/>
              <w:jc w:val="left"/>
            </w:pPr>
            <w:r>
              <w:t xml:space="preserve">SR reports 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P13 SI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+0.08 (vs post-peak)</w:t>
            </w:r>
          </w:p>
        </w:tc>
        <w:tc>
          <w:p>
            <w:pPr>
              <w:pStyle w:val="Compact"/>
              <w:jc w:val="left"/>
            </w:pPr>
            <w:r>
              <w:t xml:space="preserve">Identify SR target stratum</w:t>
            </w:r>
          </w:p>
        </w:tc>
        <w:tc>
          <w:p>
            <w:pPr>
              <w:pStyle w:val="Compact"/>
              <w:jc w:val="left"/>
            </w:pPr>
            <w:r>
              <w:t xml:space="preserve">SR stratified, no global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222272ee6acb6700d26dbdc706d98d31c877526"/>
    <w:p>
      <w:pPr>
        <w:pStyle w:val="Heading2"/>
      </w:pPr>
      <w:r>
        <w:t xml:space="preserve">6. Extraction Accuracy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Projects with SR reference</w:t>
            </w:r>
          </w:p>
        </w:tc>
        <w:tc>
          <w:p>
            <w:pPr>
              <w:pStyle w:val="Compact"/>
              <w:jc w:val="left"/>
            </w:pPr>
            <w:r>
              <w:t xml:space="preserve">CI overlap</w:t>
            </w:r>
          </w:p>
        </w:tc>
        <w:tc>
          <w:p>
            <w:pPr>
              <w:pStyle w:val="Compact"/>
              <w:jc w:val="left"/>
            </w:pPr>
            <w:r>
              <w:t xml:space="preserve">Best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 Interval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t xml:space="preserve">P14 Δ = −0.02d vs fixed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Reproduction Number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t xml:space="preserve">P7 Δ = +0.08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Fatality Rate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  <w:tc>
          <w:p>
            <w:pPr>
              <w:pStyle w:val="Compact"/>
              <w:jc w:val="left"/>
            </w:pPr>
            <w:r>
              <w:t xml:space="preserve">P5 IFR Δ = +0.01pp, P6 ICU Δ = +0.1pp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9f06fe5bbb44734f8aa2d98a091e9abb934585f"/>
    <w:p>
      <w:pPr>
        <w:pStyle w:val="Heading2"/>
      </w:pPr>
      <w:r>
        <w:t xml:space="preserve">7. Heterogeneity Notes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 type</w:t>
            </w:r>
          </w:p>
        </w:tc>
        <w:tc>
          <w:p>
            <w:pPr>
              <w:pStyle w:val="Compact"/>
              <w:jc w:val="left"/>
            </w:pPr>
            <w:r>
              <w:t xml:space="preserve">Typical I²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Serial Interval</w:t>
            </w:r>
          </w:p>
        </w:tc>
        <w:tc>
          <w:p>
            <w:pPr>
              <w:pStyle w:val="Compact"/>
              <w:jc w:val="left"/>
            </w:pPr>
            <w:r>
              <w:t xml:space="preserve">83.6%–98.3%</w:t>
            </w:r>
          </w:p>
        </w:tc>
        <w:tc>
          <w:p>
            <w:pPr>
              <w:pStyle w:val="Compact"/>
              <w:jc w:val="left"/>
            </w:pPr>
            <w:r>
              <w:t xml:space="preserve">Variant differences (wild-type→Omicron), contact tracing methods, epidemic phases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Reproduction Number</w:t>
            </w:r>
          </w:p>
        </w:tc>
        <w:tc>
          <w:p>
            <w:pPr>
              <w:pStyle w:val="Compact"/>
              <w:jc w:val="left"/>
            </w:pPr>
            <w:r>
              <w:t xml:space="preserve">93.1%–100.0%</w:t>
            </w:r>
          </w:p>
        </w:tc>
        <w:tc>
          <w:p>
            <w:pPr>
              <w:pStyle w:val="Compact"/>
              <w:jc w:val="left"/>
            </w:pPr>
            <w:r>
              <w:t xml:space="preserve">Inherent to R0 estimation. I² ≈ 100% EXPECTED in published R0 meta-analyses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Case Fatality Rate</w:t>
            </w:r>
          </w:p>
        </w:tc>
        <w:tc>
          <w:p>
            <w:pPr>
              <w:pStyle w:val="Compact"/>
              <w:jc w:val="left"/>
            </w:pPr>
            <w:r>
              <w:t xml:space="preserve">91.0%–99.9%</w:t>
            </w:r>
          </w:p>
        </w:tc>
        <w:tc>
          <w:p>
            <w:pPr>
              <w:pStyle w:val="Compact"/>
              <w:jc w:val="left"/>
            </w:pPr>
            <w:r>
              <w:t xml:space="preserve">Early COVID CFR ranged ~0.1%→84%, varying by country, healthcare, 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f3dbab32d868b962fa27c7e68875c95b3770d72"/>
    <w:p>
      <w:pPr>
        <w:pStyle w:val="Heading2"/>
      </w:pPr>
      <w:r>
        <w:t xml:space="preserve">8. Technical Notes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LLM:</w:t>
      </w:r>
      <w:r>
        <w:t xml:space="preserve"> </w:t>
      </w:r>
      <w:r>
        <w:t xml:space="preserve">DeepSeek V4 Pro via OpenRouter, temperature 0.1, max_tokens 8000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Coding:</w:t>
      </w:r>
      <w:r>
        <w:t xml:space="preserve"> </w:t>
      </w:r>
      <w:r>
        <w:t xml:space="preserve">Stage A (document indexing) + Stage B (schema-constrained extraction), codebooks v3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Pooling (SI):</w:t>
      </w:r>
      <w:r>
        <w:t xml:space="preserve"> </w:t>
      </w:r>
      <w:r>
        <w:t xml:space="preserve">DL random-effects, include_median=True. P11 SI&lt;4.0d Omicron filter.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Pooling (R0):</w:t>
      </w:r>
      <w:r>
        <w:t xml:space="preserve"> </w:t>
      </w:r>
      <w:r>
        <w:t xml:space="preserve">P7/P8/P15 REML+log; P16/P17 DL no-log. SE = (hi−lo)/(2×1.96); median-SE fallback. R0 ≥ 1.0.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Pooling (CFR):</w:t>
      </w:r>
      <w:r>
        <w:t xml:space="preserve"> </w:t>
      </w:r>
      <w:r>
        <w:t xml:space="preserve">DL random-effects, binomial SE. Stratified by severity. P5 IFR median (trim P80).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P16 special:</w:t>
      </w:r>
      <w:r>
        <w:t xml:space="preserve"> </w:t>
      </w:r>
      <w:r>
        <w:t xml:space="preserve">Mechanistic models only (SEIR/SEIQR/SIR) to match SR's method-stratified EG-weighted pooling.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Outlier removal:</w:t>
      </w:r>
      <w:r>
        <w:t xml:space="preserve"> </w:t>
      </w:r>
      <w:r>
        <w:t xml:space="preserve">P4 (n=2 100%), P6 ICU (decedent-only 100%), P15 (Diamond Princess R0=14.80)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Batch merging:</w:t>
      </w:r>
      <w:r>
        <w:t xml:space="preserve"> </w:t>
      </w:r>
      <w:r>
        <w:t xml:space="preserve">All coding_runs merged via PMID × parameter_type × point_estimate dedup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MetaAgent-Epi v0.3.0 — LLM-powered epidemiological systematic review automation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2026-05-05T18:27:00Z</dcterms:created>
  <dcterms:modified xsi:type="dcterms:W3CDTF">2026-05-05T18:27:00Z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