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SimSun"/>
          <w:b/>
          <w:sz w:val="20"/>
        </w:rPr>
        <w:t>Table X. Mpox screening performance by parameter domain and source review</w:t>
      </w:r>
    </w:p>
    <w:p>
      <w:pPr>
        <w:spacing w:before="0" w:after="80"/>
      </w:pPr>
      <w:r>
        <w:rPr>
          <w:rFonts w:ascii="Times New Roman" w:hAnsi="Times New Roman" w:eastAsia="SimSun"/>
          <w:sz w:val="16"/>
        </w:rPr>
        <w:t>Generated from evaluation/mpox/results/SCREENING_REPORT.md using the same Word table style as the coding-result tables.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324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Topic</w:t>
            </w:r>
          </w:p>
        </w:tc>
        <w:tc>
          <w:tcPr>
            <w:tcW w:type="dxa" w:w="2448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Review</w:t>
            </w:r>
          </w:p>
        </w:tc>
        <w:tc>
          <w:tcPr>
            <w:tcW w:type="dxa" w:w="576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GT</w:t>
            </w:r>
          </w:p>
        </w:tc>
        <w:tc>
          <w:tcPr>
            <w:tcW w:type="dxa" w:w="720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Pool</w:t>
            </w:r>
          </w:p>
        </w:tc>
        <w:tc>
          <w:tcPr>
            <w:tcW w:type="dxa" w:w="1944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Recall (95% CI)</w:t>
            </w:r>
          </w:p>
        </w:tc>
        <w:tc>
          <w:tcPr>
            <w:tcW w:type="dxa" w:w="2044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Precision (95% CI)</w:t>
            </w:r>
          </w:p>
        </w:tc>
        <w:tc>
          <w:tcPr>
            <w:tcW w:type="dxa" w:w="1612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WR (95% CI)</w:t>
            </w:r>
          </w:p>
        </w:tc>
        <w:tc>
          <w:tcPr>
            <w:tcW w:type="dxa" w:w="2015"/>
            <w:vAlign w:val="center"/>
            <w:shd w:fill="D9EA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NNS (95% CI)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Serial Interval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Sun et al. 2025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15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166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(80%,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16% (10%, 24%)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42% (35%, 50%)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6.40 (402%, 1019%)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Serial Interval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Wang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63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(57%,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13% (6%, 27%)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39% (28%, 51%)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7.60 (336%, 1720%)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Serial Interval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Guo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8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85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88% (53%, 98%)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15% (8%, 28%)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46% (36%, 56%)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6.57 (332%, 1300%)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Serial Interval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Madewell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72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(57%,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17% (7%, 34%)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58% (47%, 69%)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6.00 (270%, 1336%)</w:t>
            </w:r>
          </w:p>
        </w:tc>
      </w:tr>
      <w:tr>
        <w:tc>
          <w:tcPr>
            <w:tcW w:type="dxa" w:w="132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Subtotal</w:t>
            </w:r>
          </w:p>
        </w:tc>
        <w:tc>
          <w:tcPr>
            <w:tcW w:type="dxa" w:w="576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33</w:t>
            </w:r>
          </w:p>
        </w:tc>
        <w:tc>
          <w:tcPr>
            <w:tcW w:type="dxa" w:w="720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386</w:t>
            </w:r>
          </w:p>
        </w:tc>
        <w:tc>
          <w:tcPr>
            <w:tcW w:type="dxa" w:w="19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97% (85%, 99%)</w:t>
            </w:r>
          </w:p>
        </w:tc>
        <w:tc>
          <w:tcPr>
            <w:tcW w:type="dxa" w:w="20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15% (11%, 21%)</w:t>
            </w:r>
          </w:p>
        </w:tc>
        <w:tc>
          <w:tcPr>
            <w:tcW w:type="dxa" w:w="1612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45% (41%, 50%)</w:t>
            </w:r>
          </w:p>
        </w:tc>
        <w:tc>
          <w:tcPr>
            <w:tcW w:type="dxa" w:w="2015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6.56 (477%, 903%)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Reproduction Number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Du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3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1029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(44%,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1% (0%, 2%)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64% (61%, 66%)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125.00 (4050%, 38583%)</w:t>
            </w:r>
          </w:p>
        </w:tc>
      </w:tr>
      <w:tr>
        <w:tc>
          <w:tcPr>
            <w:tcW w:type="dxa" w:w="132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Subtotal</w:t>
            </w:r>
          </w:p>
        </w:tc>
        <w:tc>
          <w:tcPr>
            <w:tcW w:type="dxa" w:w="576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3</w:t>
            </w:r>
          </w:p>
        </w:tc>
        <w:tc>
          <w:tcPr>
            <w:tcW w:type="dxa" w:w="720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1029</w:t>
            </w:r>
          </w:p>
        </w:tc>
        <w:tc>
          <w:tcPr>
            <w:tcW w:type="dxa" w:w="19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100% (44%, 100%)</w:t>
            </w:r>
          </w:p>
        </w:tc>
        <w:tc>
          <w:tcPr>
            <w:tcW w:type="dxa" w:w="20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1% (0%, 2%)</w:t>
            </w:r>
          </w:p>
        </w:tc>
        <w:tc>
          <w:tcPr>
            <w:tcW w:type="dxa" w:w="1612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64% (61%, 66%)</w:t>
            </w:r>
          </w:p>
        </w:tc>
        <w:tc>
          <w:tcPr>
            <w:tcW w:type="dxa" w:w="2015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125.00 (4050%, 38583%)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Fatality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Sanchez-Clemente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16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484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(81%,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10% (6%, 15%)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66% (62%, 70%)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10.25 (644%, 1633%)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Fatality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Yinka-Ogunleye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17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331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94% (73%, 99%)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15% (10%, 23%)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68% (63%, 73%)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6.62 (422%, 1041%)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Fatality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Li et al. 2024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33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1324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91% (76%, 97%)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9% (7%, 13%)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76% (73%, 78%)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10.70 (761%, 1504%)</w:t>
            </w:r>
          </w:p>
        </w:tc>
      </w:tr>
      <w:tr>
        <w:tc>
          <w:tcPr>
            <w:tcW w:type="dxa" w:w="13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Fatality</w:t>
            </w:r>
          </w:p>
        </w:tc>
        <w:tc>
          <w:tcPr>
            <w:tcW w:type="dxa" w:w="24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Sharif et al. 2023</w:t>
            </w:r>
          </w:p>
        </w:tc>
        <w:tc>
          <w:tcPr>
            <w:tcW w:type="dxa" w:w="57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12</w:t>
            </w:r>
          </w:p>
        </w:tc>
        <w:tc>
          <w:tcPr>
            <w:tcW w:type="dxa" w:w="7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1947</w:t>
            </w:r>
          </w:p>
        </w:tc>
        <w:tc>
          <w:tcPr>
            <w:tcW w:type="dxa" w:w="19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100% (76%, 100%)</w:t>
            </w:r>
          </w:p>
        </w:tc>
        <w:tc>
          <w:tcPr>
            <w:tcW w:type="dxa" w:w="204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1% (1%, 2%)</w:t>
            </w:r>
          </w:p>
        </w:tc>
        <w:tc>
          <w:tcPr>
            <w:tcW w:type="dxa" w:w="161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48% (46%, 51%)</w:t>
            </w:r>
          </w:p>
        </w:tc>
        <w:tc>
          <w:tcPr>
            <w:tcW w:type="dxa" w:w="201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4"/>
              </w:rPr>
              <w:t>83.58 (4763%, 14668%)</w:t>
            </w:r>
          </w:p>
        </w:tc>
      </w:tr>
      <w:tr>
        <w:tc>
          <w:tcPr>
            <w:tcW w:type="dxa" w:w="132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Subtotal</w:t>
            </w:r>
          </w:p>
        </w:tc>
        <w:tc>
          <w:tcPr>
            <w:tcW w:type="dxa" w:w="576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78</w:t>
            </w:r>
          </w:p>
        </w:tc>
        <w:tc>
          <w:tcPr>
            <w:tcW w:type="dxa" w:w="720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4086</w:t>
            </w:r>
          </w:p>
        </w:tc>
        <w:tc>
          <w:tcPr>
            <w:tcW w:type="dxa" w:w="19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95% (88%, 98%)</w:t>
            </w:r>
          </w:p>
        </w:tc>
        <w:tc>
          <w:tcPr>
            <w:tcW w:type="dxa" w:w="20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5% (4%, 6%)</w:t>
            </w:r>
          </w:p>
        </w:tc>
        <w:tc>
          <w:tcPr>
            <w:tcW w:type="dxa" w:w="1612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61% (59%, 62%)</w:t>
            </w:r>
          </w:p>
        </w:tc>
        <w:tc>
          <w:tcPr>
            <w:tcW w:type="dxa" w:w="2015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21.54 (1724%, 2691%)</w:t>
            </w:r>
          </w:p>
        </w:tc>
      </w:tr>
      <w:tr>
        <w:tc>
          <w:tcPr>
            <w:tcW w:type="dxa" w:w="132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Total</w:t>
            </w:r>
          </w:p>
        </w:tc>
        <w:tc>
          <w:tcPr>
            <w:tcW w:type="dxa" w:w="576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114</w:t>
            </w:r>
          </w:p>
        </w:tc>
        <w:tc>
          <w:tcPr>
            <w:tcW w:type="dxa" w:w="720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5501</w:t>
            </w:r>
          </w:p>
        </w:tc>
        <w:tc>
          <w:tcPr>
            <w:tcW w:type="dxa" w:w="19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96% (90%, 98%)</w:t>
            </w:r>
          </w:p>
        </w:tc>
        <w:tc>
          <w:tcPr>
            <w:tcW w:type="dxa" w:w="2044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5% (4%, 6%)</w:t>
            </w:r>
          </w:p>
        </w:tc>
        <w:tc>
          <w:tcPr>
            <w:tcW w:type="dxa" w:w="1612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60% (59%, 62%)</w:t>
            </w:r>
          </w:p>
        </w:tc>
        <w:tc>
          <w:tcPr>
            <w:tcW w:type="dxa" w:w="2015"/>
            <w:vAlign w:val="center"/>
            <w:shd w:fill="EDEDED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sz w:val="14"/>
              </w:rPr>
              <w:t>19.99 (1665%, 2400%)</w:t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SimSun"/>
          <w:sz w:val="16"/>
        </w:rPr>
        <w:t>Note. GT, ground-truth included studies; Pool, candidate records retrieved for screening; WR, workload reduction; NNS, number needed to screen. Subtotal and Total rows aggregate performance within parameter domains and overall.</w:t>
      </w:r>
    </w:p>
    <w:p>
      <w:pPr>
        <w:spacing w:before="40"/>
      </w:pPr>
      <w:r>
        <w:rPr>
          <w:rFonts w:ascii="Times New Roman" w:hAnsi="Times New Roman" w:eastAsia="SimSun"/>
          <w:sz w:val="16"/>
        </w:rPr>
        <w:t>Source data: evaluation/mpox/results/SCREENING_REPORT.md.</w:t>
      </w:r>
    </w:p>
    <w:p>
      <w:pPr>
        <w:spacing w:before="160" w:after="60"/>
      </w:pPr>
      <w:r>
        <w:rPr>
          <w:rFonts w:ascii="Times New Roman" w:hAnsi="Times New Roman" w:eastAsia="SimSun"/>
          <w:b/>
          <w:sz w:val="18"/>
        </w:rPr>
        <w:t>References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1. Wu S, et al. Global transmission characteristics of mpox outbreaks: a systematic review and meta-analysis. EClinicalMedicine. 2025. PMID: 41079025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2. Ponce L, et al. Incubation Period and Serial Interval of Mpox in 2022 Global Outbreak Compared with Historical Estimates. Emerg Infect Dis. 2024. PMID: 38781950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3. Wang S, et al. Serial intervals and incubation periods of the monkeypox virus clades. J Travel Med. 2022. PMID: 36130210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4. Diaz Brochero C, et al. Decoding mpox: a systematic review and meta-analysis of the transmission and severity parameters of the 2022-2023 global outbreak. BMJ Glob Health. 2025. PMID: 39890207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5. Okoli GN, et al. A global systematic evidence review with meta-analysis of the epidemiological characteristics of the 2022 Mpox outbreaks. Infection. 2024. PMID: 38051425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6. Sanchez Clemente N, et al. Paediatric, maternal, and congenital mpox: a systematic review and meta-analysis. Lancet Glob Health. 2024. PMID: 38401556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7. Cadmus S, et al. Dynamics of Mpox infection in Nigeria: a systematic review and meta-analysis. Sci Rep. 2024. PMID: 38548826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8. Vasudevan SS, et al. Global and regional mortality rate statistics of mpox (formerly monkeypox): a comprehensive systematic review and meta-analysis. Pathog Glob Health. 2025. PMID: 40884410</w:t>
      </w:r>
    </w:p>
    <w:p>
      <w:pPr>
        <w:spacing w:after="20" w:line="240" w:lineRule="auto"/>
        <w:ind w:left="0" w:firstLine="0"/>
      </w:pPr>
      <w:r>
        <w:rPr>
          <w:rFonts w:ascii="Times New Roman" w:hAnsi="Times New Roman" w:eastAsia="SimSun"/>
          <w:sz w:val="15"/>
        </w:rPr>
        <w:t>9. Sharif N, et al. Molecular epidemiology, transmission and clinical features of 2022-mpox outbreak: A systematic review. Health Sci Rep. 2023. PMID: 37808926</w:t>
      </w:r>
    </w:p>
    <w:sectPr w:rsidR="00FC693F" w:rsidRPr="0006063C" w:rsidSect="00034616"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