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</w:t>
      </w:r>
      <w:r>
        <w:rPr>
          <w:rFonts w:hint="default"/>
          <w:b/>
          <w:lang w:val="ru-RU"/>
        </w:rPr>
        <w:t>1</w:t>
      </w:r>
      <w:bookmarkStart w:id="0" w:name="_GoBack"/>
      <w:bookmarkEnd w:id="0"/>
      <w:r>
        <w:rPr>
          <w:b/>
        </w:rPr>
        <w:t xml:space="preserve"> учебный год</w:t>
      </w:r>
      <w:r>
        <w:br w:type="textWrapping"/>
      </w:r>
      <w:r>
        <w:rPr>
          <w:b/>
        </w:rPr>
        <w:t>группа № 222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работы с определителем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Практика работы с определителями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Техника определения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первичных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 распределеиния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 на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ао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17F704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2020-11-14T09:38:00Z</dcterms:created>
  <dc:creator>Vadim Khaitov</dc:creator>
  <cp:lastModifiedBy>Vadim Khaitov</cp:lastModifiedBy>
  <dcterms:modified xsi:type="dcterms:W3CDTF">2020-11-14T09:39:15Z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