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3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22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25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22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и прилежащие территории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  <w:bookmarkStart w:id="0" w:name="_GoBack"/>
      <w:bookmarkEnd w:id="0"/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C0436E"/>
    <w:rsid w:val="2F7D201D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2022-05-18T12:33:30Z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53ACE896A1F14F0AB57F896CA693E428</vt:lpwstr>
  </property>
</Properties>
</file>