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jc w:val="left"/>
      </w:pPr>
      <w:r>
        <w:t>RuVector Documentation Guide</w:t>
      </w:r>
    </w:p>
    <w:p>
      <w:pPr>
        <w:pStyle w:val="SubtitleCustom"/>
      </w:pPr>
      <w:r>
        <w:t>How to find, verify, and use the official documentation without drifting into incorrect sources</w:t>
      </w:r>
    </w:p>
    <w:p>
      <w:pPr>
        <w:spacing w:before="240"/>
      </w:pPr>
      <w:r>
        <w:rPr>
          <w:color w:val="425466"/>
          <w:sz w:val="20"/>
        </w:rPr>
        <w:t>Prepared for: Sherlock-it shared drive colleagues</w:t>
        <w:br/>
        <w:t>Prepared: April 13, 2026</w:t>
        <w:br/>
        <w:t>Source base: official RuVector repository materials, RVF and RuVix documentation, uploaded hardware research note, and Sherlock-it research notes surfaced in this workspace.</w:t>
      </w:r>
    </w:p>
    <w:p>
      <w:pPr>
        <w:spacing w:before="240"/>
        <w:pBdr>
          <w:bottom w:val="single" w:sz="14" w:space="1" w:color="5B8DEF"/>
        </w:pBdr>
      </w:pPr>
      <w:r>
        <w:t xml:space="preserve"> 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792"/>
      </w:tblGrid>
      <w:tr>
        <w:tc>
          <w:tcPr>
            <w:tcW w:type="dxa" w:w="9792"/>
            <w:shd w:fill="EEF4FF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pStyle w:val="Heading3Custom"/>
            </w:pPr>
            <w:r>
              <w:t>Plain rule</w:t>
            </w:r>
          </w:p>
          <w:p>
            <w:pPr>
              <w:pStyle w:val="CalloutCustom"/>
            </w:pPr>
            <w:r>
              <w:t>When accuracy matters, start from the official GitHub repository root. Use internal Drive notes only as context, not as the authoritative source for RuVector behavior, package names, or implementation claims.</w:t>
            </w:r>
          </w:p>
        </w:tc>
      </w:tr>
    </w:tbl>
    <w:p/>
    <w:p>
      <w:pPr>
        <w:pStyle w:val="Heading1Custom"/>
      </w:pPr>
      <w:r>
        <w:t>1. The only safe starting point</w:t>
      </w:r>
    </w:p>
    <w:p>
      <w:pPr>
        <w:ind w:left="0" w:hanging="259"/>
      </w:pPr>
      <w:r>
        <w:rPr>
          <w:b/>
        </w:rPr>
        <w:t xml:space="preserve">• </w:t>
      </w:r>
      <w:r>
        <w:t>Open the official GitHub repository owned by ruvnet: RuVector.</w:t>
      </w:r>
    </w:p>
    <w:p>
      <w:pPr>
        <w:ind w:left="0" w:hanging="259"/>
      </w:pPr>
      <w:r>
        <w:rPr>
          <w:b/>
        </w:rPr>
        <w:t xml:space="preserve">• </w:t>
      </w:r>
      <w:r>
        <w:t>Use the root README as the documentation index.</w:t>
      </w:r>
    </w:p>
    <w:p>
      <w:pPr>
        <w:ind w:left="0" w:hanging="259"/>
      </w:pPr>
      <w:r>
        <w:rPr>
          <w:b/>
        </w:rPr>
        <w:t xml:space="preserve">• </w:t>
      </w:r>
      <w:r>
        <w:t>Use the official Getting Started guide before diving into specialized modules.</w:t>
      </w:r>
    </w:p>
    <w:p>
      <w:pPr>
        <w:ind w:left="0" w:hanging="259"/>
      </w:pPr>
      <w:r>
        <w:rPr>
          <w:b/>
        </w:rPr>
        <w:t xml:space="preserve">• </w:t>
      </w:r>
      <w:r>
        <w:t>Only trust package-specific documentation when it is linked from the official repo structure.</w:t>
      </w:r>
    </w:p>
    <w:p>
      <w:pPr>
        <w:pStyle w:val="Heading1Custom"/>
      </w:pPr>
      <w:r>
        <w:t>2. Fast navigation path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7DEE8"/>
          <w:left w:val="single" w:sz="8" w:space="0" w:color="D7DEE8"/>
          <w:bottom w:val="single" w:sz="8" w:space="0" w:color="D7DEE8"/>
          <w:right w:val="single" w:sz="8" w:space="0" w:color="D7DEE8"/>
          <w:insideH w:val="single" w:sz="8" w:space="0" w:color="D7DEE8"/>
          <w:insideV w:val="single" w:sz="8" w:space="0" w:color="D7DEE8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864"/>
            <w:shd w:fill="DDEB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83153"/>
                <w:sz w:val="19"/>
              </w:rPr>
              <w:t>Step</w:t>
            </w:r>
          </w:p>
        </w:tc>
        <w:tc>
          <w:tcPr>
            <w:tcW w:type="dxa" w:w="3312"/>
            <w:shd w:fill="DDEB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83153"/>
                <w:sz w:val="19"/>
              </w:rPr>
              <w:t>Where to go</w:t>
            </w:r>
          </w:p>
        </w:tc>
        <w:tc>
          <w:tcPr>
            <w:tcW w:type="dxa" w:w="5040"/>
            <w:shd w:fill="DDEB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83153"/>
                <w:sz w:val="19"/>
              </w:rPr>
              <w:t>Why</w:t>
            </w:r>
          </w:p>
        </w:tc>
      </w:tr>
      <w:tr>
        <w:tc>
          <w:tcPr>
            <w:tcW w:type="dxa" w:w="326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326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Repo root README</w:t>
            </w:r>
          </w:p>
        </w:tc>
        <w:tc>
          <w:tcPr>
            <w:tcW w:type="dxa" w:w="326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Best high-level index of modules, package families, and documentation branches.</w:t>
            </w:r>
          </w:p>
        </w:tc>
      </w:tr>
      <w:tr>
        <w:tc>
          <w:tcPr>
            <w:tcW w:type="dxa" w:w="326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326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docs/guides/GETTING_STARTED.md</w:t>
            </w:r>
          </w:p>
        </w:tc>
        <w:tc>
          <w:tcPr>
            <w:tcW w:type="dxa" w:w="326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Fastest clean re-entry point for package names, API surfaces, and next-step links.</w:t>
            </w:r>
          </w:p>
        </w:tc>
      </w:tr>
      <w:tr>
        <w:tc>
          <w:tcPr>
            <w:tcW w:type="dxa" w:w="326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326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Package-specific README</w:t>
            </w:r>
          </w:p>
        </w:tc>
        <w:tc>
          <w:tcPr>
            <w:tcW w:type="dxa" w:w="326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Use only after choosing the exact surface you need.</w:t>
            </w:r>
          </w:p>
        </w:tc>
      </w:tr>
      <w:tr>
        <w:tc>
          <w:tcPr>
            <w:tcW w:type="dxa" w:w="326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326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Examples and ADRs</w:t>
            </w:r>
          </w:p>
        </w:tc>
        <w:tc>
          <w:tcPr>
            <w:tcW w:type="dxa" w:w="326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Use to validate behavior, not to replace the official entry docs.</w:t>
            </w:r>
          </w:p>
        </w:tc>
      </w:tr>
    </w:tbl>
    <w:p/>
    <w:p>
      <w:pPr>
        <w:pStyle w:val="Heading1Custom"/>
      </w:pPr>
      <w:r>
        <w:t>3. Choose the right documentation branch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7DEE8"/>
          <w:left w:val="single" w:sz="8" w:space="0" w:color="D7DEE8"/>
          <w:bottom w:val="single" w:sz="8" w:space="0" w:color="D7DEE8"/>
          <w:right w:val="single" w:sz="8" w:space="0" w:color="D7DEE8"/>
          <w:insideH w:val="single" w:sz="8" w:space="0" w:color="D7DEE8"/>
          <w:insideV w:val="single" w:sz="8" w:space="0" w:color="D7DEE8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160"/>
            <w:shd w:fill="DDEB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83153"/>
                <w:sz w:val="19"/>
              </w:rPr>
              <w:t>Need</w:t>
            </w:r>
          </w:p>
        </w:tc>
        <w:tc>
          <w:tcPr>
            <w:tcW w:type="dxa" w:w="3168"/>
            <w:shd w:fill="DDEB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83153"/>
                <w:sz w:val="19"/>
              </w:rPr>
              <w:t>Official place to read</w:t>
            </w:r>
          </w:p>
        </w:tc>
        <w:tc>
          <w:tcPr>
            <w:tcW w:type="dxa" w:w="3888"/>
            <w:shd w:fill="DDEB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83153"/>
                <w:sz w:val="19"/>
              </w:rPr>
              <w:t>Notes</w:t>
            </w:r>
          </w:p>
        </w:tc>
      </w:tr>
      <w:tr>
        <w:tc>
          <w:tcPr>
            <w:tcW w:type="dxa" w:w="326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Core vector database</w:t>
            </w:r>
          </w:p>
        </w:tc>
        <w:tc>
          <w:tcPr>
            <w:tcW w:type="dxa" w:w="326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ruvector-core docs and linked examples</w:t>
            </w:r>
          </w:p>
        </w:tc>
        <w:tc>
          <w:tcPr>
            <w:tcW w:type="dxa" w:w="326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Best for main vector DB behavior and standard retrieval work.</w:t>
            </w:r>
          </w:p>
        </w:tc>
      </w:tr>
      <w:tr>
        <w:tc>
          <w:tcPr>
            <w:tcW w:type="dxa" w:w="326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Single-file runtime / packaging</w:t>
            </w:r>
          </w:p>
        </w:tc>
        <w:tc>
          <w:tcPr>
            <w:tcW w:type="dxa" w:w="326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crates/rvf/README.md</w:t>
            </w:r>
          </w:p>
        </w:tc>
        <w:tc>
          <w:tcPr>
            <w:tcW w:type="dxa" w:w="326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Use for RVF, witness chains, COW branching, runtime packaging, and cognitive-container concepts.</w:t>
            </w:r>
          </w:p>
        </w:tc>
      </w:tr>
      <w:tr>
        <w:tc>
          <w:tcPr>
            <w:tcW w:type="dxa" w:w="326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Kernel direction</w:t>
            </w:r>
          </w:p>
        </w:tc>
        <w:tc>
          <w:tcPr>
            <w:tcW w:type="dxa" w:w="326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crates/ruvix/README.md</w:t>
            </w:r>
          </w:p>
        </w:tc>
        <w:tc>
          <w:tcPr>
            <w:tcW w:type="dxa" w:w="326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Use for the cognition-kernel model and long-term system primitives.</w:t>
            </w:r>
          </w:p>
        </w:tc>
      </w:tr>
      <w:tr>
        <w:tc>
          <w:tcPr>
            <w:tcW w:type="dxa" w:w="326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Node.js usage</w:t>
            </w:r>
          </w:p>
        </w:tc>
        <w:tc>
          <w:tcPr>
            <w:tcW w:type="dxa" w:w="326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Getting Started + relevant npm/package readmes</w:t>
            </w:r>
          </w:p>
        </w:tc>
        <w:tc>
          <w:tcPr>
            <w:tcW w:type="dxa" w:w="326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Check the exact package names listed in official docs.</w:t>
            </w:r>
          </w:p>
        </w:tc>
      </w:tr>
      <w:tr>
        <w:tc>
          <w:tcPr>
            <w:tcW w:type="dxa" w:w="326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Browser / edge</w:t>
            </w:r>
          </w:p>
        </w:tc>
        <w:tc>
          <w:tcPr>
            <w:tcW w:type="dxa" w:w="326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WASM sections linked from the README</w:t>
            </w:r>
          </w:p>
        </w:tc>
        <w:tc>
          <w:tcPr>
            <w:tcW w:type="dxa" w:w="326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Use the package-specific WASM docs only after confirming the surface.</w:t>
            </w:r>
          </w:p>
        </w:tc>
      </w:tr>
      <w:tr>
        <w:tc>
          <w:tcPr>
            <w:tcW w:type="dxa" w:w="326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Postgres extension</w:t>
            </w:r>
          </w:p>
        </w:tc>
        <w:tc>
          <w:tcPr>
            <w:tcW w:type="dxa" w:w="326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docs/postgres/ and ruvector-postgres README</w:t>
            </w:r>
          </w:p>
        </w:tc>
        <w:tc>
          <w:tcPr>
            <w:tcW w:type="dxa" w:w="326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Best for pgvector-replacement or SQL-based integration work.</w:t>
            </w:r>
          </w:p>
        </w:tc>
      </w:tr>
    </w:tbl>
    <w:p/>
    <w:p>
      <w:pPr>
        <w:pStyle w:val="Heading1Custom"/>
      </w:pPr>
      <w:r>
        <w:t>4. Authenticity checks</w:t>
      </w:r>
    </w:p>
    <w:p>
      <w:pPr>
        <w:ind w:left="0" w:hanging="259"/>
      </w:pPr>
      <w:r>
        <w:rPr>
          <w:b/>
        </w:rPr>
        <w:t xml:space="preserve">• </w:t>
      </w:r>
      <w:r>
        <w:t>Confirm the owner and repo name: ruvnet / RuVector.</w:t>
      </w:r>
    </w:p>
    <w:p>
      <w:pPr>
        <w:ind w:left="0" w:hanging="259"/>
      </w:pPr>
      <w:r>
        <w:rPr>
          <w:b/>
        </w:rPr>
        <w:t xml:space="preserve">• </w:t>
      </w:r>
      <w:r>
        <w:t>Confirm package names against the official docs before using them in notes, commands, or procurement discussions.</w:t>
      </w:r>
    </w:p>
    <w:p>
      <w:pPr>
        <w:ind w:left="0" w:hanging="259"/>
      </w:pPr>
      <w:r>
        <w:rPr>
          <w:b/>
        </w:rPr>
        <w:t xml:space="preserve">• </w:t>
      </w:r>
      <w:r>
        <w:t>Prefer files linked from the root README over detached markdown files found in shared folders or copied exports.</w:t>
      </w:r>
    </w:p>
    <w:p>
      <w:pPr>
        <w:ind w:left="0" w:hanging="259"/>
      </w:pPr>
      <w:r>
        <w:rPr>
          <w:b/>
        </w:rPr>
        <w:t xml:space="preserve">• </w:t>
      </w:r>
      <w:r>
        <w:t>Check whether internal links stay inside the official repo structure, such as docs/, crates/, and examples/.</w:t>
      </w:r>
    </w:p>
    <w:p>
      <w:pPr>
        <w:ind w:left="0" w:hanging="259"/>
      </w:pPr>
      <w:r>
        <w:rPr>
          <w:b/>
        </w:rPr>
        <w:t xml:space="preserve">• </w:t>
      </w:r>
      <w:r>
        <w:t>Treat broad strategy memos, PDFs, or Drive notes as interpretations unless the same claim is visible in the official repo.</w:t>
      </w:r>
    </w:p>
    <w:p>
      <w:pPr>
        <w:pStyle w:val="Heading1Custom"/>
      </w:pPr>
      <w:r>
        <w:t>5. Special guidance for the /chatGPT/Sherlock-it shared folder</w:t>
      </w:r>
    </w:p>
    <w:p>
      <w:pPr>
        <w:ind w:left="0" w:hanging="259"/>
      </w:pPr>
      <w:r>
        <w:rPr>
          <w:b/>
        </w:rPr>
        <w:t xml:space="preserve">• </w:t>
      </w:r>
      <w:r>
        <w:t>Use Drive materials for Sherlock-IT planning context, colleague notes, architecture synthesis, and internal decision support.</w:t>
      </w:r>
    </w:p>
    <w:p>
      <w:pPr>
        <w:ind w:left="0" w:hanging="259"/>
      </w:pPr>
      <w:r>
        <w:rPr>
          <w:b/>
        </w:rPr>
        <w:t xml:space="preserve">• </w:t>
      </w:r>
      <w:r>
        <w:t>Do not treat Drive notes as the upstream truth for RuVector package structure or implementation details.</w:t>
      </w:r>
    </w:p>
    <w:p>
      <w:pPr>
        <w:ind w:left="0" w:hanging="259"/>
      </w:pPr>
      <w:r>
        <w:rPr>
          <w:b/>
        </w:rPr>
        <w:t xml:space="preserve">• </w:t>
      </w:r>
      <w:r>
        <w:t>If a Drive note mentions RuVector behavior, cross-check the claim in the official README, the Getting Started guide, or the relevant package README before reusing it elsewhere.</w:t>
      </w:r>
    </w:p>
    <w:p>
      <w:pPr>
        <w:ind w:left="0" w:hanging="259"/>
      </w:pPr>
      <w:r>
        <w:rPr>
          <w:b/>
        </w:rPr>
        <w:t xml:space="preserve">• </w:t>
      </w:r>
      <w:r>
        <w:t>Where Drive materials and official docs differ, default to the official repo unless there is a documented reason not to.</w:t>
      </w:r>
    </w:p>
    <w:p>
      <w:pPr>
        <w:pStyle w:val="Heading1Custom"/>
      </w:pPr>
      <w:r>
        <w:t>6. Common mistakes to avoid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7DEE8"/>
          <w:left w:val="single" w:sz="8" w:space="0" w:color="D7DEE8"/>
          <w:bottom w:val="single" w:sz="8" w:space="0" w:color="D7DEE8"/>
          <w:right w:val="single" w:sz="8" w:space="0" w:color="D7DEE8"/>
          <w:insideH w:val="single" w:sz="8" w:space="0" w:color="D7DEE8"/>
          <w:insideV w:val="single" w:sz="8" w:space="0" w:color="D7DEE8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176"/>
            <w:shd w:fill="DDEB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83153"/>
                <w:sz w:val="19"/>
              </w:rPr>
              <w:t>Mistake</w:t>
            </w:r>
          </w:p>
        </w:tc>
        <w:tc>
          <w:tcPr>
            <w:tcW w:type="dxa" w:w="4752"/>
            <w:shd w:fill="DDEB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83153"/>
                <w:sz w:val="19"/>
              </w:rPr>
              <w:t>Safer move</w:t>
            </w:r>
          </w:p>
        </w:tc>
      </w:tr>
      <w:tr>
        <w:tc>
          <w:tcPr>
            <w:tcW w:type="dxa" w:w="4896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Starting from an internal memo or copied markdown file</w:t>
            </w:r>
          </w:p>
        </w:tc>
        <w:tc>
          <w:tcPr>
            <w:tcW w:type="dxa" w:w="4896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Start from the official repo root, then branch outward.</w:t>
            </w:r>
          </w:p>
        </w:tc>
      </w:tr>
      <w:tr>
        <w:tc>
          <w:tcPr>
            <w:tcW w:type="dxa" w:w="4896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Mixing RuVector core docs with RVF docs</w:t>
            </w:r>
          </w:p>
        </w:tc>
        <w:tc>
          <w:tcPr>
            <w:tcW w:type="dxa" w:w="4896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Decide first whether the task is about VectorDB or RVF.</w:t>
            </w:r>
          </w:p>
        </w:tc>
      </w:tr>
      <w:tr>
        <w:tc>
          <w:tcPr>
            <w:tcW w:type="dxa" w:w="4896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Following a fork or snapshot without checking ownership</w:t>
            </w:r>
          </w:p>
        </w:tc>
        <w:tc>
          <w:tcPr>
            <w:tcW w:type="dxa" w:w="4896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Verify ruvnet / RuVector before trusting the material.</w:t>
            </w:r>
          </w:p>
        </w:tc>
      </w:tr>
      <w:tr>
        <w:tc>
          <w:tcPr>
            <w:tcW w:type="dxa" w:w="4896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Reading deep specialized files before the entry docs</w:t>
            </w:r>
          </w:p>
        </w:tc>
        <w:tc>
          <w:tcPr>
            <w:tcW w:type="dxa" w:w="4896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Use README -&gt; Getting Started -&gt; package README.</w:t>
            </w:r>
          </w:p>
        </w:tc>
      </w:tr>
      <w:tr>
        <w:tc>
          <w:tcPr>
            <w:tcW w:type="dxa" w:w="4896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Treating Sherlock-it Drive research as upstream documentation</w:t>
            </w:r>
          </w:p>
        </w:tc>
        <w:tc>
          <w:tcPr>
            <w:tcW w:type="dxa" w:w="4896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Use Drive for context; use GitHub for truth.</w:t>
            </w:r>
          </w:p>
        </w:tc>
      </w:tr>
    </w:tbl>
    <w:p/>
    <w:p>
      <w:pPr>
        <w:pStyle w:val="Heading1Custom"/>
      </w:pPr>
      <w:r>
        <w:t>7. Reference links</w:t>
      </w:r>
    </w:p>
    <w:p>
      <w:pPr/>
      <w:r>
        <w:rPr>
          <w:b/>
        </w:rPr>
        <w:t xml:space="preserve">Repo root: </w:t>
      </w:r>
      <w:hyperlink r:id="rId9">
        <w:r>
          <w:rPr>
            <w:color w:val="1155CC"/>
            <w:u w:val="single"/>
          </w:rPr>
          <w:t>https://github.com/ruvnet/RuVector</w:t>
        </w:r>
      </w:hyperlink>
      <w:r>
        <w:t xml:space="preserve"> - Official repository</w:t>
      </w:r>
    </w:p>
    <w:p>
      <w:pPr/>
      <w:r>
        <w:rPr>
          <w:b/>
        </w:rPr>
        <w:t xml:space="preserve">README: </w:t>
      </w:r>
      <w:hyperlink r:id="rId10">
        <w:r>
          <w:rPr>
            <w:color w:val="1155CC"/>
            <w:u w:val="single"/>
          </w:rPr>
          <w:t>https://github.com/ruvnet/RuVector/blob/main/README.md</w:t>
        </w:r>
      </w:hyperlink>
      <w:r>
        <w:t xml:space="preserve"> - Primary documentation index</w:t>
      </w:r>
    </w:p>
    <w:p>
      <w:pPr/>
      <w:r>
        <w:rPr>
          <w:b/>
        </w:rPr>
        <w:t xml:space="preserve">Getting Started: </w:t>
      </w:r>
      <w:hyperlink r:id="rId11">
        <w:r>
          <w:rPr>
            <w:color w:val="1155CC"/>
            <w:u w:val="single"/>
          </w:rPr>
          <w:t>https://github.com/ruvnet/RuVector/blob/main/docs/guides/GETTING_STARTED.md</w:t>
        </w:r>
      </w:hyperlink>
      <w:r>
        <w:t xml:space="preserve"> - Best quick-start reference</w:t>
      </w:r>
    </w:p>
    <w:p>
      <w:pPr/>
      <w:r>
        <w:rPr>
          <w:b/>
        </w:rPr>
        <w:t xml:space="preserve">RVF: </w:t>
      </w:r>
      <w:hyperlink r:id="rId12">
        <w:r>
          <w:rPr>
            <w:color w:val="1155CC"/>
            <w:u w:val="single"/>
          </w:rPr>
          <w:t>https://github.com/ruvnet/RuVector/blob/main/crates/rvf/README.md</w:t>
        </w:r>
      </w:hyperlink>
      <w:r>
        <w:t xml:space="preserve"> - Packaging and runtime documentation</w:t>
      </w:r>
    </w:p>
    <w:p>
      <w:pPr/>
      <w:r>
        <w:rPr>
          <w:b/>
        </w:rPr>
        <w:t xml:space="preserve">RuVix: </w:t>
      </w:r>
      <w:hyperlink r:id="rId13">
        <w:r>
          <w:rPr>
            <w:color w:val="1155CC"/>
            <w:u w:val="single"/>
          </w:rPr>
          <w:t>https://github.com/ruvnet/RuVector/blob/main/crates/ruvix/README.md</w:t>
        </w:r>
      </w:hyperlink>
      <w:r>
        <w:t xml:space="preserve"> - Kernel-direction documentation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basedOn w:val="Title"/>
    <w:rPr>
      <w:rFonts w:ascii="Aptos" w:hAnsi="Aptos"/>
      <w:b/>
      <w:color w:val="183153"/>
      <w:sz w:val="48"/>
    </w:rPr>
  </w:style>
  <w:style w:type="paragraph" w:customStyle="1" w:styleId="SubtitleCustom">
    <w:name w:val="SubtitleCustom"/>
    <w:basedOn w:val="Subtitle"/>
    <w:rPr>
      <w:rFonts w:ascii="Aptos" w:hAnsi="Aptos"/>
      <w:b w:val="0"/>
      <w:color w:val="516074"/>
      <w:sz w:val="22"/>
    </w:rPr>
  </w:style>
  <w:style w:type="paragraph" w:customStyle="1" w:styleId="Heading1Custom">
    <w:name w:val="Heading1Custom"/>
    <w:basedOn w:val="Heading1"/>
    <w:pPr>
      <w:spacing w:before="320" w:after="120"/>
    </w:pPr>
    <w:rPr>
      <w:rFonts w:ascii="Aptos" w:hAnsi="Aptos"/>
      <w:b/>
      <w:color w:val="183153"/>
      <w:sz w:val="32"/>
    </w:rPr>
  </w:style>
  <w:style w:type="paragraph" w:customStyle="1" w:styleId="Heading2Custom">
    <w:name w:val="Heading2Custom"/>
    <w:basedOn w:val="Heading2"/>
    <w:pPr>
      <w:spacing w:before="240" w:after="80"/>
    </w:pPr>
    <w:rPr>
      <w:rFonts w:ascii="Aptos" w:hAnsi="Aptos"/>
      <w:b/>
      <w:color w:val="244C73"/>
      <w:sz w:val="25"/>
    </w:rPr>
  </w:style>
  <w:style w:type="paragraph" w:customStyle="1" w:styleId="Heading3Custom">
    <w:name w:val="Heading3Custom"/>
    <w:basedOn w:val="Heading3"/>
    <w:pPr>
      <w:spacing w:before="160" w:after="40"/>
    </w:pPr>
    <w:rPr>
      <w:rFonts w:ascii="Aptos" w:hAnsi="Aptos"/>
      <w:b/>
      <w:color w:val="365F91"/>
      <w:sz w:val="22"/>
    </w:rPr>
  </w:style>
  <w:style w:type="paragraph" w:customStyle="1" w:styleId="SmallCustom">
    <w:name w:val="SmallCustom"/>
    <w:basedOn w:val="Normal"/>
    <w:pPr>
      <w:spacing w:after="40"/>
    </w:pPr>
    <w:rPr>
      <w:rFonts w:ascii="Aptos" w:hAnsi="Aptos"/>
      <w:b w:val="0"/>
      <w:color w:val="5C6B7A"/>
      <w:sz w:val="17"/>
    </w:rPr>
  </w:style>
  <w:style w:type="paragraph" w:customStyle="1" w:styleId="CalloutCustom">
    <w:name w:val="CalloutCustom"/>
    <w:basedOn w:val="Normal"/>
    <w:pPr>
      <w:spacing w:after="80"/>
    </w:pPr>
    <w:rPr>
      <w:rFonts w:ascii="Aptos" w:hAnsi="Aptos"/>
      <w:b w:val="0"/>
      <w:color w:val="2F3A45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ruvnet/RuVector" TargetMode="External"/><Relationship Id="rId10" Type="http://schemas.openxmlformats.org/officeDocument/2006/relationships/hyperlink" Target="https://github.com/ruvnet/RuVector/blob/main/README.md" TargetMode="External"/><Relationship Id="rId11" Type="http://schemas.openxmlformats.org/officeDocument/2006/relationships/hyperlink" Target="https://github.com/ruvnet/RuVector/blob/main/docs/guides/GETTING_STARTED.md" TargetMode="External"/><Relationship Id="rId12" Type="http://schemas.openxmlformats.org/officeDocument/2006/relationships/hyperlink" Target="https://github.com/ruvnet/RuVector/blob/main/crates/rvf/README.md" TargetMode="External"/><Relationship Id="rId13" Type="http://schemas.openxmlformats.org/officeDocument/2006/relationships/hyperlink" Target="https://github.com/ruvnet/RuVector/blob/main/crates/ruvix/READM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