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Sherlock-IT Platform Roadmap</w:t>
      </w:r>
    </w:p>
    <w:p>
      <w:pPr>
        <w:pStyle w:val="SubtitleCustom"/>
      </w:pPr>
      <w:r>
        <w:t>Phased development roadmap based on accessible research, official RuVector documentation, and current platform notes</w:t>
      </w:r>
    </w:p>
    <w:p>
      <w:pPr>
        <w:spacing w:before="240"/>
      </w:pPr>
      <w:r>
        <w:rPr>
          <w:color w:val="425466"/>
          <w:sz w:val="20"/>
        </w:rPr>
        <w:t>Prepared for: Sherlock-it shared drive colleagues</w:t>
        <w:br/>
        <w:t>Prepared: April 13, 2026</w:t>
        <w:br/>
        <w:t>Source base: official RuVector repository materials, RVF and RuVix documentation, uploaded hardware research note, and Sherlock-it research notes surfaced in this workspace.</w:t>
      </w:r>
    </w:p>
    <w:p>
      <w:pPr>
        <w:spacing w:before="240"/>
        <w:pBdr>
          <w:bottom w:val="single" w:sz="14" w:space="1" w:color="5B8DEF"/>
        </w:pBdr>
      </w:pPr>
      <w: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shd w:fill="EEF4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pStyle w:val="Heading3Custom"/>
            </w:pPr>
            <w:r>
              <w:t>Roadmap position</w:t>
            </w:r>
          </w:p>
          <w:p>
            <w:pPr>
              <w:pStyle w:val="CalloutCustom"/>
            </w:pPr>
            <w:r>
              <w:t>This roadmap is intentionally conservative where the research is uncertain. It recommends adoption of the parts that are well-supported now and defers kernel-native or hardware-native ambitions until the platform contracts are stable.</w:t>
            </w:r>
          </w:p>
        </w:tc>
      </w:tr>
    </w:tbl>
    <w:p/>
    <w:p>
      <w:pPr>
        <w:pStyle w:val="Heading1Custom"/>
      </w:pPr>
      <w:r>
        <w:t>1. Guiding principles</w:t>
      </w:r>
    </w:p>
    <w:p>
      <w:pPr>
        <w:ind w:left="0" w:hanging="259"/>
      </w:pPr>
      <w:r>
        <w:rPr>
          <w:b/>
        </w:rPr>
        <w:t xml:space="preserve">• </w:t>
      </w:r>
      <w:r>
        <w:t>Local-first and shared-memory-first.</w:t>
      </w:r>
    </w:p>
    <w:p>
      <w:pPr>
        <w:ind w:left="0" w:hanging="259"/>
      </w:pPr>
      <w:r>
        <w:rPr>
          <w:b/>
        </w:rPr>
        <w:t xml:space="preserve">• </w:t>
      </w:r>
      <w:r>
        <w:t>Use official upstream documentation for implementation decisions.</w:t>
      </w:r>
    </w:p>
    <w:p>
      <w:pPr>
        <w:ind w:left="0" w:hanging="259"/>
      </w:pPr>
      <w:r>
        <w:rPr>
          <w:b/>
        </w:rPr>
        <w:t xml:space="preserve">• </w:t>
      </w:r>
      <w:r>
        <w:t>Adopt selectively; do not pull the whole RuVector monorepo into scope at once.</w:t>
      </w:r>
    </w:p>
    <w:p>
      <w:pPr>
        <w:ind w:left="0" w:hanging="259"/>
      </w:pPr>
      <w:r>
        <w:rPr>
          <w:b/>
        </w:rPr>
        <w:t xml:space="preserve">• </w:t>
      </w:r>
      <w:r>
        <w:t>Treat RVF-style portability as a platform asset, not just an implementation detail.</w:t>
      </w:r>
    </w:p>
    <w:p>
      <w:pPr>
        <w:ind w:left="0" w:hanging="259"/>
      </w:pPr>
      <w:r>
        <w:rPr>
          <w:b/>
        </w:rPr>
        <w:t xml:space="preserve">• </w:t>
      </w:r>
      <w:r>
        <w:t>Separate credible production work from long-range kernel and hardware aspirations.</w:t>
      </w:r>
    </w:p>
    <w:p>
      <w:pPr>
        <w:pStyle w:val="Heading1Custom"/>
      </w:pPr>
      <w:r>
        <w:t>2. Recommended stack stance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Layer</w:t>
            </w:r>
          </w:p>
        </w:tc>
        <w:tc>
          <w:tcPr>
            <w:tcW w:type="dxa" w:w="532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Recommendation</w:t>
            </w:r>
          </w:p>
        </w:tc>
        <w:tc>
          <w:tcPr>
            <w:tcW w:type="dxa" w:w="172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Status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Memory / retrieval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Adopt RuVector first for shared memory, vector retrieval, and graph-adjacent reasoning.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Adopt now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Packaging / portability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RVF concepts as the packaging and portability substrate.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Adopt now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Execution surfaces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Support Linux appliance nodes first; treat browser/mobile as thin clients.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Adopt now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Kernel-native model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Track RuVix concepts and primitives, but do not make them the immediate root dependency.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Validate next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Custom edge hardware alignment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Continue research, but do not roadmap around a proven off-the-shelf 257-core match that the current sources do not establish.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Defer / research</w:t>
            </w:r>
          </w:p>
        </w:tc>
      </w:tr>
    </w:tbl>
    <w:p/>
    <w:p>
      <w:pPr>
        <w:pStyle w:val="Heading1Custom"/>
      </w:pPr>
      <w:r>
        <w:t>3. Phased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72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Phase</w:t>
            </w:r>
          </w:p>
        </w:tc>
        <w:tc>
          <w:tcPr>
            <w:tcW w:type="dxa" w:w="172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Goal</w:t>
            </w:r>
          </w:p>
        </w:tc>
        <w:tc>
          <w:tcPr>
            <w:tcW w:type="dxa" w:w="3312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Key work</w:t>
            </w:r>
          </w:p>
        </w:tc>
        <w:tc>
          <w:tcPr>
            <w:tcW w:type="dxa" w:w="216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Primary dependency</w:t>
            </w:r>
          </w:p>
        </w:tc>
        <w:tc>
          <w:tcPr>
            <w:tcW w:type="dxa" w:w="216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Expected output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Freeze the baseline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Create one canonical platform baseline, source map, and terminology set.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Current Sherlock-it notes + official repo docs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Shared reference pack for engineering and planning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Stand up the nucleus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Prototype Sherlock shared memory and retrieval on RuVector surfaces.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RuVector core surfaces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Working memory kernel and retrieval prototype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Standardize packaging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Define a portable project unit aligned to RVF concepts.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RVF documentation and examples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Repeatable deployable artifact pattern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Operationalize agents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Reduce agent sprawl into governed execution lanes with shared contracts.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Stable memory, routing, and context model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Usable agent runtime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Add coherence controls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Introduce cut-aware retrieval, boundary handling, and routing discipline where justified.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Validated memory and graph behavior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More reliable cross-domain orchestration</w:t>
            </w:r>
          </w:p>
        </w:tc>
      </w:tr>
      <w:tr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Future-state alignment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Map stable platform contracts to RuVix and hardware-alignment research without blocking delivery.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Prior phases complete</w:t>
            </w:r>
          </w:p>
        </w:tc>
        <w:tc>
          <w:tcPr>
            <w:tcW w:type="dxa" w:w="195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Kernel and hardware alignment spec</w:t>
            </w:r>
          </w:p>
        </w:tc>
      </w:tr>
    </w:tbl>
    <w:p/>
    <w:p>
      <w:pPr>
        <w:pStyle w:val="Heading1Custom"/>
      </w:pPr>
      <w:r>
        <w:t>4. Priority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Decision</w:t>
            </w:r>
          </w:p>
        </w:tc>
        <w:tc>
          <w:tcPr>
            <w:tcW w:type="dxa" w:w="316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Recommendation</w:t>
            </w:r>
          </w:p>
        </w:tc>
        <w:tc>
          <w:tcPr>
            <w:tcW w:type="dxa" w:w="3744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Reason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Primary source of truth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official GitHub docs.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Shared Drive notes are valuable, but not upstream truth.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First implementation focus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Memory and retrieval before kernel work.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This is the most immediately valuable and best-supported layer.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Packaging choice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Adopt an RVF-aligned packaging pattern.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Supports portability, auditability, and cleaner deployment boundaries.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Mobile posture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Thin clients first.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Matches the strongest currently credible deployment reading.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Hardware posture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Do not anchor roadmap timing to a 257-core product assumption.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The accessible research did not verify a direct commercial match.</w:t>
            </w:r>
          </w:p>
        </w:tc>
      </w:tr>
    </w:tbl>
    <w:p/>
    <w:p>
      <w:pPr>
        <w:pStyle w:val="Heading1Custom"/>
      </w:pPr>
      <w:r>
        <w:t>5. Risks and controls</w:t>
      </w:r>
    </w:p>
    <w:p>
      <w:pPr>
        <w:ind w:left="0" w:hanging="259"/>
      </w:pPr>
      <w:r>
        <w:rPr>
          <w:b/>
        </w:rPr>
        <w:t xml:space="preserve">• </w:t>
      </w:r>
      <w:r>
        <w:t>Risk: documentation drift between internal notes and upstream repo docs. Control: always cross-check implementation decisions in the official repo.</w:t>
      </w:r>
    </w:p>
    <w:p>
      <w:pPr>
        <w:ind w:left="0" w:hanging="259"/>
      </w:pPr>
      <w:r>
        <w:rPr>
          <w:b/>
        </w:rPr>
        <w:t xml:space="preserve">• </w:t>
      </w:r>
      <w:r>
        <w:t>Risk: over-scoping the monorepo. Control: define a short approved component list and review additions deliberately.</w:t>
      </w:r>
    </w:p>
    <w:p>
      <w:pPr>
        <w:ind w:left="0" w:hanging="259"/>
      </w:pPr>
      <w:r>
        <w:rPr>
          <w:b/>
        </w:rPr>
        <w:t xml:space="preserve">• </w:t>
      </w:r>
      <w:r>
        <w:t>Risk: premature kernel dependence. Control: keep kernel alignment in a separate stream until platform interfaces stabilize.</w:t>
      </w:r>
    </w:p>
    <w:p>
      <w:pPr>
        <w:ind w:left="0" w:hanging="259"/>
      </w:pPr>
      <w:r>
        <w:rPr>
          <w:b/>
        </w:rPr>
        <w:t xml:space="preserve">• </w:t>
      </w:r>
      <w:r>
        <w:t>Risk: hardware wish-casting. Control: treat hardware notes as research inputs unless backed by a verified shipping product or validated prototype path.</w:t>
      </w:r>
    </w:p>
    <w:p>
      <w:pPr>
        <w:pStyle w:val="Heading1Custom"/>
      </w:pPr>
      <w:r>
        <w:t>6. Reference links</w:t>
      </w:r>
    </w:p>
    <w:p>
      <w:pPr/>
      <w:r>
        <w:rPr>
          <w:b/>
        </w:rPr>
        <w:t xml:space="preserve">Repo root: </w:t>
      </w:r>
      <w:hyperlink r:id="rId9">
        <w:r>
          <w:rPr>
            <w:color w:val="1155CC"/>
            <w:u w:val="single"/>
          </w:rPr>
          <w:t>https://github.com/ruvnet/RuVector</w:t>
        </w:r>
      </w:hyperlink>
      <w:r>
        <w:t xml:space="preserve"> - Official source tree</w:t>
      </w:r>
    </w:p>
    <w:p>
      <w:pPr/>
      <w:r>
        <w:rPr>
          <w:b/>
        </w:rPr>
        <w:t xml:space="preserve">README: </w:t>
      </w:r>
      <w:hyperlink r:id="rId10">
        <w:r>
          <w:rPr>
            <w:color w:val="1155CC"/>
            <w:u w:val="single"/>
          </w:rPr>
          <w:t>https://github.com/ruvnet/RuVector/blob/main/README.md</w:t>
        </w:r>
      </w:hyperlink>
      <w:r>
        <w:t xml:space="preserve"> - Primary repo map</w:t>
      </w:r>
    </w:p>
    <w:p>
      <w:pPr/>
      <w:r>
        <w:rPr>
          <w:b/>
        </w:rPr>
        <w:t xml:space="preserve">Getting Started: </w:t>
      </w:r>
      <w:hyperlink r:id="rId11">
        <w:r>
          <w:rPr>
            <w:color w:val="1155CC"/>
            <w:u w:val="single"/>
          </w:rPr>
          <w:t>https://github.com/ruvnet/RuVector/blob/main/docs/guides/GETTING_STARTED.md</w:t>
        </w:r>
      </w:hyperlink>
      <w:r>
        <w:t xml:space="preserve"> - Entry guide</w:t>
      </w:r>
    </w:p>
    <w:p>
      <w:pPr/>
      <w:r>
        <w:rPr>
          <w:b/>
        </w:rPr>
        <w:t xml:space="preserve">RVF: </w:t>
      </w:r>
      <w:hyperlink r:id="rId12">
        <w:r>
          <w:rPr>
            <w:color w:val="1155CC"/>
            <w:u w:val="single"/>
          </w:rPr>
          <w:t>https://github.com/ruvnet/RuVector/blob/main/crates/rvf/README.md</w:t>
        </w:r>
      </w:hyperlink>
      <w:r>
        <w:t xml:space="preserve"> - Packaging/runtime model</w:t>
      </w:r>
    </w:p>
    <w:p>
      <w:pPr/>
      <w:r>
        <w:rPr>
          <w:b/>
        </w:rPr>
        <w:t xml:space="preserve">RuVix: </w:t>
      </w:r>
      <w:hyperlink r:id="rId13">
        <w:r>
          <w:rPr>
            <w:color w:val="1155CC"/>
            <w:u w:val="single"/>
          </w:rPr>
          <w:t>https://github.com/ruvnet/RuVector/blob/main/crates/ruvix/README.md</w:t>
        </w:r>
      </w:hyperlink>
      <w:r>
        <w:t xml:space="preserve"> - Kernel direction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" w:hAnsi="Aptos"/>
      <w:b/>
      <w:color w:val="183153"/>
      <w:sz w:val="48"/>
    </w:rPr>
  </w:style>
  <w:style w:type="paragraph" w:customStyle="1" w:styleId="SubtitleCustom">
    <w:name w:val="SubtitleCustom"/>
    <w:basedOn w:val="Subtitle"/>
    <w:rPr>
      <w:rFonts w:ascii="Aptos" w:hAnsi="Aptos"/>
      <w:b w:val="0"/>
      <w:color w:val="516074"/>
      <w:sz w:val="22"/>
    </w:rPr>
  </w:style>
  <w:style w:type="paragraph" w:customStyle="1" w:styleId="Heading1Custom">
    <w:name w:val="Heading1Custom"/>
    <w:basedOn w:val="Heading1"/>
    <w:pPr>
      <w:spacing w:before="320" w:after="120"/>
    </w:pPr>
    <w:rPr>
      <w:rFonts w:ascii="Aptos" w:hAnsi="Aptos"/>
      <w:b/>
      <w:color w:val="183153"/>
      <w:sz w:val="32"/>
    </w:rPr>
  </w:style>
  <w:style w:type="paragraph" w:customStyle="1" w:styleId="Heading2Custom">
    <w:name w:val="Heading2Custom"/>
    <w:basedOn w:val="Heading2"/>
    <w:pPr>
      <w:spacing w:before="240" w:after="80"/>
    </w:pPr>
    <w:rPr>
      <w:rFonts w:ascii="Aptos" w:hAnsi="Aptos"/>
      <w:b/>
      <w:color w:val="244C73"/>
      <w:sz w:val="25"/>
    </w:rPr>
  </w:style>
  <w:style w:type="paragraph" w:customStyle="1" w:styleId="Heading3Custom">
    <w:name w:val="Heading3Custom"/>
    <w:basedOn w:val="Heading3"/>
    <w:pPr>
      <w:spacing w:before="160" w:after="40"/>
    </w:pPr>
    <w:rPr>
      <w:rFonts w:ascii="Aptos" w:hAnsi="Aptos"/>
      <w:b/>
      <w:color w:val="365F91"/>
      <w:sz w:val="22"/>
    </w:rPr>
  </w:style>
  <w:style w:type="paragraph" w:customStyle="1" w:styleId="SmallCustom">
    <w:name w:val="SmallCustom"/>
    <w:basedOn w:val="Normal"/>
    <w:pPr>
      <w:spacing w:after="40"/>
    </w:pPr>
    <w:rPr>
      <w:rFonts w:ascii="Aptos" w:hAnsi="Aptos"/>
      <w:b w:val="0"/>
      <w:color w:val="5C6B7A"/>
      <w:sz w:val="17"/>
    </w:rPr>
  </w:style>
  <w:style w:type="paragraph" w:customStyle="1" w:styleId="CalloutCustom">
    <w:name w:val="CalloutCustom"/>
    <w:basedOn w:val="Normal"/>
    <w:pPr>
      <w:spacing w:after="80"/>
    </w:pPr>
    <w:rPr>
      <w:rFonts w:ascii="Aptos" w:hAnsi="Aptos"/>
      <w:b w:val="0"/>
      <w:color w:val="2F3A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uvnet/RuVector" TargetMode="External"/><Relationship Id="rId10" Type="http://schemas.openxmlformats.org/officeDocument/2006/relationships/hyperlink" Target="https://github.com/ruvnet/RuVector/blob/main/README.md" TargetMode="External"/><Relationship Id="rId11" Type="http://schemas.openxmlformats.org/officeDocument/2006/relationships/hyperlink" Target="https://github.com/ruvnet/RuVector/blob/main/docs/guides/GETTING_STARTED.md" TargetMode="External"/><Relationship Id="rId12" Type="http://schemas.openxmlformats.org/officeDocument/2006/relationships/hyperlink" Target="https://github.com/ruvnet/RuVector/blob/main/crates/rvf/README.md" TargetMode="External"/><Relationship Id="rId13" Type="http://schemas.openxmlformats.org/officeDocument/2006/relationships/hyperlink" Target="https://github.com/ruvnet/RuVector/blob/main/crates/ruvix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