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ustom"/>
        <w:jc w:val="left"/>
      </w:pPr>
      <w:r>
        <w:t>Sherlock-IT Research Executive Brief</w:t>
      </w:r>
    </w:p>
    <w:p>
      <w:pPr>
        <w:pStyle w:val="SubtitleCustom"/>
      </w:pPr>
      <w:r>
        <w:t>Accessible-source summary for platform planning, colleague handoff, and follow-on execution</w:t>
      </w:r>
    </w:p>
    <w:p>
      <w:pPr>
        <w:spacing w:before="240"/>
      </w:pPr>
      <w:r>
        <w:rPr>
          <w:color w:val="425466"/>
          <w:sz w:val="20"/>
        </w:rPr>
        <w:t>Prepared for: Sherlock-it shared drive colleagues</w:t>
        <w:br/>
        <w:t>Prepared: April 13, 2026</w:t>
        <w:br/>
        <w:t>Source base: official RuVector repository materials, RVF and RuVix documentation, uploaded hardware research note, and Sherlock-it research notes surfaced in this workspace.</w:t>
      </w:r>
    </w:p>
    <w:p>
      <w:pPr>
        <w:spacing w:before="240"/>
        <w:pBdr>
          <w:bottom w:val="single" w:sz="14" w:space="1" w:color="5B8DEF"/>
        </w:pBdr>
      </w:pPr>
      <w:r>
        <w:t xml:space="preserve"> 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792"/>
      </w:tblGrid>
      <w:tr>
        <w:tc>
          <w:tcPr>
            <w:tcW w:type="dxa" w:w="9792"/>
            <w:shd w:fill="EEF4FF"/>
            <w:tcMar>
              <w:top w:w="110" w:type="dxa"/>
              <w:start w:w="140" w:type="dxa"/>
              <w:bottom w:w="110" w:type="dxa"/>
              <w:end w:w="140" w:type="dxa"/>
            </w:tcMar>
            <w:vAlign w:val="center"/>
          </w:tcPr>
          <w:p>
            <w:pPr>
              <w:pStyle w:val="Heading3Custom"/>
            </w:pPr>
            <w:r>
              <w:t>What this brief is for</w:t>
            </w:r>
          </w:p>
          <w:p>
            <w:pPr>
              <w:pStyle w:val="CalloutCustom"/>
            </w:pPr>
            <w:r>
              <w:t>This brief consolidates the research materials that were verifiable in-session into a short decision document. It is designed for colleagues who need a clean snapshot of what Sherlock-IT is trying to become, what RuVector contributes, and where the strongest current evidence points.</w:t>
            </w:r>
          </w:p>
        </w:tc>
      </w:tr>
    </w:tbl>
    <w:p/>
    <w:p>
      <w:pPr>
        <w:pStyle w:val="Heading1Custom"/>
      </w:pPr>
      <w:r>
        <w:t>1. Source base used for this brief</w:t>
      </w:r>
    </w:p>
    <w:p>
      <w:pPr>
        <w:ind w:left="0" w:hanging="259"/>
      </w:pPr>
      <w:r>
        <w:rPr>
          <w:b/>
        </w:rPr>
        <w:t xml:space="preserve">• </w:t>
      </w:r>
      <w:r>
        <w:t>Official RuVector GitHub repository root and linked documentation tree.</w:t>
      </w:r>
    </w:p>
    <w:p>
      <w:pPr>
        <w:ind w:left="0" w:hanging="259"/>
      </w:pPr>
      <w:r>
        <w:rPr>
          <w:b/>
        </w:rPr>
        <w:t xml:space="preserve">• </w:t>
      </w:r>
      <w:r>
        <w:t>Official Getting Started guide for package and surface-area orientation.</w:t>
      </w:r>
    </w:p>
    <w:p>
      <w:pPr>
        <w:ind w:left="0" w:hanging="259"/>
      </w:pPr>
      <w:r>
        <w:rPr>
          <w:b/>
        </w:rPr>
        <w:t xml:space="preserve">• </w:t>
      </w:r>
      <w:r>
        <w:t>Official RVF documentation for the single-file cognitive container model.</w:t>
      </w:r>
    </w:p>
    <w:p>
      <w:pPr>
        <w:ind w:left="0" w:hanging="259"/>
      </w:pPr>
      <w:r>
        <w:rPr>
          <w:b/>
        </w:rPr>
        <w:t xml:space="preserve">• </w:t>
      </w:r>
      <w:r>
        <w:t>Official RuVix documentation for the longer-term cognition-kernel direction.</w:t>
      </w:r>
    </w:p>
    <w:p>
      <w:pPr>
        <w:ind w:left="0" w:hanging="259"/>
      </w:pPr>
      <w:r>
        <w:rPr>
          <w:b/>
        </w:rPr>
        <w:t xml:space="preserve">• </w:t>
      </w:r>
      <w:r>
        <w:t>Uploaded hardware research note: “Accelerated Edge AI Hardware Landscape Against a 257-Core Agentic Chip Target.”</w:t>
      </w:r>
    </w:p>
    <w:p>
      <w:pPr>
        <w:ind w:left="0" w:hanging="259"/>
      </w:pPr>
      <w:r>
        <w:rPr>
          <w:b/>
        </w:rPr>
        <w:t xml:space="preserve">• </w:t>
      </w:r>
      <w:r>
        <w:t>Sherlock-it architecture and research notes already surfaced in this workspace, including platform architecture, document inventory, agent catalog, and RuVector/Cognitum research conclusions.</w:t>
      </w:r>
    </w:p>
    <w:p>
      <w:pPr>
        <w:pStyle w:val="Heading1Custom"/>
      </w:pPr>
      <w:r>
        <w:t>2. Platform snapshot</w:t>
      </w:r>
    </w:p>
    <w:p>
      <w:pPr>
        <w:ind w:left="0" w:hanging="259"/>
      </w:pPr>
      <w:r>
        <w:rPr>
          <w:b/>
        </w:rPr>
        <w:t xml:space="preserve">• </w:t>
      </w:r>
      <w:r>
        <w:t>Sherlock-IT is best understood as a local-first, multi-agent platform rather than a single application.</w:t>
      </w:r>
    </w:p>
    <w:p>
      <w:pPr>
        <w:ind w:left="0" w:hanging="259"/>
      </w:pPr>
      <w:r>
        <w:rPr>
          <w:b/>
        </w:rPr>
        <w:t xml:space="preserve">• </w:t>
      </w:r>
      <w:r>
        <w:t>The documented platform intent spans robotics, DevOps, personal workflows, and work workflows under a shared coordination layer.</w:t>
      </w:r>
    </w:p>
    <w:p>
      <w:pPr>
        <w:ind w:left="0" w:hanging="259"/>
      </w:pPr>
      <w:r>
        <w:rPr>
          <w:b/>
        </w:rPr>
        <w:t xml:space="preserve">• </w:t>
      </w:r>
      <w:r>
        <w:t>The existing research points to a system centered on an Agent Coordinator, domain agents, shared context/memory, and local AI infrastructure.</w:t>
      </w:r>
    </w:p>
    <w:p>
      <w:pPr>
        <w:ind w:left="0" w:hanging="259"/>
      </w:pPr>
      <w:r>
        <w:rPr>
          <w:b/>
        </w:rPr>
        <w:t xml:space="preserve">• </w:t>
      </w:r>
      <w:r>
        <w:t>The strongest currently credible deployment direction is a Linux-appliance-first platform, with mobile and browser endpoints treated as thin clients rather than equal root nodes.</w:t>
      </w:r>
    </w:p>
    <w:p>
      <w:pPr>
        <w:pStyle w:val="Heading1Custom"/>
      </w:pPr>
      <w:r>
        <w:t>3. Key findings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584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Theme</w:t>
            </w:r>
          </w:p>
        </w:tc>
        <w:tc>
          <w:tcPr>
            <w:tcW w:type="dxa" w:w="4464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Finding</w:t>
            </w:r>
          </w:p>
        </w:tc>
        <w:tc>
          <w:tcPr>
            <w:tcW w:type="dxa" w:w="3168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Why it matters to Sherlock-IT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Platform shape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Sherlock-IT is converging on a multi-agent operating environment with shared memory and domain specialization.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This favors a substrate that unifies memory, retrieval, routing, and packaging.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RuVector fit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RuVector is not just a vector DB; it combines vector memory, graph capabilities, local AI surfaces, packaging, and multiple integration targets.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It reduces platform fragmentation and gives Sherlock-IT a practical starting base.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Packaging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RVF offers a portable single-file unit that can hold vectors, indexes, models, witness trails, and optional runtime layers.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This supports repeatable deployment, auditability, and simpler handoff between environments.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Kernel direction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RuVix is strategically aligned with Sherlock-IT’s long-term agent-native vision, but it should be treated as a future alignment target rather than the immediate production dependency.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This avoids overcommitting the roadmap to immature kernel-level assumptions.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Hardware reality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The reviewed hardware landscape did not confirm a commercially sold, disclosed 257-core edge-AI accelerator that matches the full target profile.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Roadmap decisions should not assume a proven off-the-shelf hardware match that the current research does not establish.</w:t>
            </w:r>
          </w:p>
        </w:tc>
      </w:tr>
    </w:tbl>
    <w:p/>
    <w:p>
      <w:pPr>
        <w:pStyle w:val="Heading1Custom"/>
      </w:pPr>
      <w:r>
        <w:t>4. What appears ready now</w:t>
      </w:r>
    </w:p>
    <w:p>
      <w:pPr>
        <w:ind w:left="0" w:hanging="259"/>
      </w:pPr>
      <w:r>
        <w:rPr>
          <w:b/>
        </w:rPr>
        <w:t xml:space="preserve">• </w:t>
      </w:r>
      <w:r>
        <w:t>Use the official RuVector repo as the upstream source of truth.</w:t>
      </w:r>
    </w:p>
    <w:p>
      <w:pPr>
        <w:ind w:left="0" w:hanging="259"/>
      </w:pPr>
      <w:r>
        <w:rPr>
          <w:b/>
        </w:rPr>
        <w:t xml:space="preserve">• </w:t>
      </w:r>
      <w:r>
        <w:t>Build platform memory, retrieval, and routing around RuVector first.</w:t>
      </w:r>
    </w:p>
    <w:p>
      <w:pPr>
        <w:ind w:left="0" w:hanging="259"/>
      </w:pPr>
      <w:r>
        <w:rPr>
          <w:b/>
        </w:rPr>
        <w:t xml:space="preserve">• </w:t>
      </w:r>
      <w:r>
        <w:t>Use RVF concepts as the packaging and portability layer for deployable Sherlock-IT units.</w:t>
      </w:r>
    </w:p>
    <w:p>
      <w:pPr>
        <w:ind w:left="0" w:hanging="259"/>
      </w:pPr>
      <w:r>
        <w:rPr>
          <w:b/>
        </w:rPr>
        <w:t xml:space="preserve">• </w:t>
      </w:r>
      <w:r>
        <w:t>Adopt a Linux-appliance-first root deployment posture.</w:t>
      </w:r>
    </w:p>
    <w:p>
      <w:pPr>
        <w:ind w:left="0" w:hanging="259"/>
      </w:pPr>
      <w:r>
        <w:rPr>
          <w:b/>
        </w:rPr>
        <w:t xml:space="preserve">• </w:t>
      </w:r>
      <w:r>
        <w:t>Use browser and mobile endpoints mainly as clients, monitors, and thin control surfaces.</w:t>
      </w:r>
    </w:p>
    <w:p>
      <w:pPr>
        <w:pStyle w:val="Heading1Custom"/>
      </w:pPr>
      <w:r>
        <w:t>5. What remains experimental or unsettled</w:t>
      </w:r>
    </w:p>
    <w:p>
      <w:pPr>
        <w:ind w:left="0" w:hanging="259"/>
      </w:pPr>
      <w:r>
        <w:rPr>
          <w:b/>
        </w:rPr>
        <w:t xml:space="preserve">• </w:t>
      </w:r>
      <w:r>
        <w:t>A full bare-metal or universal RuVix-based replacement environment is not the safest immediate production assumption.</w:t>
      </w:r>
    </w:p>
    <w:p>
      <w:pPr>
        <w:ind w:left="0" w:hanging="259"/>
      </w:pPr>
      <w:r>
        <w:rPr>
          <w:b/>
        </w:rPr>
        <w:t xml:space="preserve">• </w:t>
      </w:r>
      <w:r>
        <w:t>The 257-core “agentic chip” concept remains a design target or research analogy, not a verified mainstream product match in the materials reviewed.</w:t>
      </w:r>
    </w:p>
    <w:p>
      <w:pPr>
        <w:ind w:left="0" w:hanging="259"/>
      </w:pPr>
      <w:r>
        <w:rPr>
          <w:b/>
        </w:rPr>
        <w:t xml:space="preserve">• </w:t>
      </w:r>
      <w:r>
        <w:t>Many advanced RuVector claims extend across a very broad monorepo; adoption should be staged rather than wholesale.</w:t>
      </w:r>
    </w:p>
    <w:p>
      <w:pPr>
        <w:ind w:left="0" w:hanging="259"/>
      </w:pPr>
      <w:r>
        <w:rPr>
          <w:b/>
        </w:rPr>
        <w:t xml:space="preserve">• </w:t>
      </w:r>
      <w:r>
        <w:t>The strongest route for Sherlock-IT is selective uptake: core memory and packaging first, kernel-native aspirations second.</w:t>
      </w:r>
    </w:p>
    <w:p>
      <w:pPr>
        <w:pStyle w:val="Heading1Custom"/>
      </w:pPr>
      <w:r>
        <w:t>6. Recommended next actions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7DEE8"/>
          <w:left w:val="single" w:sz="8" w:space="0" w:color="D7DEE8"/>
          <w:bottom w:val="single" w:sz="8" w:space="0" w:color="D7DEE8"/>
          <w:right w:val="single" w:sz="8" w:space="0" w:color="D7DEE8"/>
          <w:insideH w:val="single" w:sz="8" w:space="0" w:color="D7DEE8"/>
          <w:insideV w:val="single" w:sz="8" w:space="0" w:color="D7DEE8"/>
        </w:tblBorders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1152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Priority</w:t>
            </w:r>
          </w:p>
        </w:tc>
        <w:tc>
          <w:tcPr>
            <w:tcW w:type="dxa" w:w="5040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Action</w:t>
            </w:r>
          </w:p>
        </w:tc>
        <w:tc>
          <w:tcPr>
            <w:tcW w:type="dxa" w:w="3024"/>
            <w:shd w:fill="DDEB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183153"/>
                <w:sz w:val="19"/>
              </w:rPr>
              <w:t>Output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Freeze one canonical Sherlock-IT platform baseline document.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Shared architecture reference with approved vocabulary and scope.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P0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Create a RuVector source map that separates must-use components from research-only components.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Implementation shortlist for engineering.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Prototype a Sherlock memory kernel on top of RuVector core surfaces.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Validated retrieval and memory layer.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P1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Standardize a packaging pattern aligned to RVF concepts.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Portable, auditable project unit.</w:t>
            </w:r>
          </w:p>
        </w:tc>
      </w:tr>
      <w:tr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center"/>
            </w:pPr>
            <w:r>
              <w:rPr>
                <w:sz w:val="19"/>
              </w:rPr>
              <w:t>P2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Define future-state kernel and hardware alignment separately from immediate delivery work.</w:t>
            </w:r>
          </w:p>
        </w:tc>
        <w:tc>
          <w:tcPr>
            <w:tcW w:type="dxa" w:w="3264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jc w:val="left"/>
            </w:pPr>
            <w:r>
              <w:rPr>
                <w:sz w:val="19"/>
              </w:rPr>
              <w:t>Reduced roadmap ambiguity and fewer false dependencies.</w:t>
            </w:r>
          </w:p>
        </w:tc>
      </w:tr>
    </w:tbl>
    <w:p/>
    <w:p>
      <w:pPr>
        <w:pStyle w:val="Heading1Custom"/>
      </w:pPr>
      <w:r>
        <w:t>7. Source references</w:t>
      </w:r>
    </w:p>
    <w:p>
      <w:pPr/>
      <w:r>
        <w:rPr>
          <w:b/>
        </w:rPr>
        <w:t xml:space="preserve">Official repository: </w:t>
      </w:r>
      <w:hyperlink r:id="rId9">
        <w:r>
          <w:rPr>
            <w:color w:val="1155CC"/>
            <w:u w:val="single"/>
          </w:rPr>
          <w:t>https://github.com/ruvnet/RuVector</w:t>
        </w:r>
      </w:hyperlink>
      <w:r>
        <w:t xml:space="preserve"> - Root source of truth for repo structure and linked documentation</w:t>
      </w:r>
    </w:p>
    <w:p>
      <w:pPr/>
      <w:r>
        <w:rPr>
          <w:b/>
        </w:rPr>
        <w:t xml:space="preserve">Repo README: </w:t>
      </w:r>
      <w:hyperlink r:id="rId10">
        <w:r>
          <w:rPr>
            <w:color w:val="1155CC"/>
            <w:u w:val="single"/>
          </w:rPr>
          <w:t>https://github.com/ruvnet/RuVector/blob/main/README.md</w:t>
        </w:r>
      </w:hyperlink>
      <w:r>
        <w:t xml:space="preserve"> - Primary index for major capability areas and linked docs</w:t>
      </w:r>
    </w:p>
    <w:p>
      <w:pPr/>
      <w:r>
        <w:rPr>
          <w:b/>
        </w:rPr>
        <w:t xml:space="preserve">Getting Started guide: </w:t>
      </w:r>
      <w:hyperlink r:id="rId11">
        <w:r>
          <w:rPr>
            <w:color w:val="1155CC"/>
            <w:u w:val="single"/>
          </w:rPr>
          <w:t>https://github.com/ruvnet/RuVector/blob/main/docs/guides/GETTING_STARTED.md</w:t>
        </w:r>
      </w:hyperlink>
      <w:r>
        <w:t xml:space="preserve"> - Best re-entry point for orientation and package split</w:t>
      </w:r>
    </w:p>
    <w:p>
      <w:pPr/>
      <w:r>
        <w:rPr>
          <w:b/>
        </w:rPr>
        <w:t xml:space="preserve">RVF documentation: </w:t>
      </w:r>
      <w:hyperlink r:id="rId12">
        <w:r>
          <w:rPr>
            <w:color w:val="1155CC"/>
            <w:u w:val="single"/>
          </w:rPr>
          <w:t>https://github.com/ruvnet/RuVector/blob/main/crates/rvf/README.md</w:t>
        </w:r>
      </w:hyperlink>
      <w:r>
        <w:t xml:space="preserve"> - Canonical packaging/runtime container material</w:t>
      </w:r>
    </w:p>
    <w:p>
      <w:pPr/>
      <w:r>
        <w:rPr>
          <w:b/>
        </w:rPr>
        <w:t xml:space="preserve">RuVix documentation: </w:t>
      </w:r>
      <w:hyperlink r:id="rId13">
        <w:r>
          <w:rPr>
            <w:color w:val="1155CC"/>
            <w:u w:val="single"/>
          </w:rPr>
          <w:t>https://github.com/ruvnet/RuVector/blob/main/crates/ruvix/README.md</w:t>
        </w:r>
      </w:hyperlink>
      <w:r>
        <w:t xml:space="preserve"> - Kernel-direction documentation</w:t>
      </w:r>
    </w:p>
    <w:p>
      <w:pPr/>
      <w:r>
        <w:rPr>
          <w:b/>
        </w:rPr>
        <w:t xml:space="preserve">Uploaded hardware research note: </w:t>
      </w:r>
      <w:hyperlink r:id="rId14">
        <w:r>
          <w:rPr>
            <w:color w:val="1155CC"/>
            <w:u w:val="single"/>
          </w:rPr>
          <w:t>Accelerated Edge AI Hardware Landscape Against a 257-Core Agentic Chip Target.docx</w:t>
        </w:r>
      </w:hyperlink>
      <w:r>
        <w:t xml:space="preserve"> - Session-uploaded research note used for hardware reality check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ustom">
    <w:name w:val="TitleCustom"/>
    <w:basedOn w:val="Title"/>
    <w:rPr>
      <w:rFonts w:ascii="Aptos" w:hAnsi="Aptos"/>
      <w:b/>
      <w:color w:val="183153"/>
      <w:sz w:val="48"/>
    </w:rPr>
  </w:style>
  <w:style w:type="paragraph" w:customStyle="1" w:styleId="SubtitleCustom">
    <w:name w:val="SubtitleCustom"/>
    <w:basedOn w:val="Subtitle"/>
    <w:rPr>
      <w:rFonts w:ascii="Aptos" w:hAnsi="Aptos"/>
      <w:b w:val="0"/>
      <w:color w:val="516074"/>
      <w:sz w:val="22"/>
    </w:rPr>
  </w:style>
  <w:style w:type="paragraph" w:customStyle="1" w:styleId="Heading1Custom">
    <w:name w:val="Heading1Custom"/>
    <w:basedOn w:val="Heading1"/>
    <w:pPr>
      <w:spacing w:before="320" w:after="120"/>
    </w:pPr>
    <w:rPr>
      <w:rFonts w:ascii="Aptos" w:hAnsi="Aptos"/>
      <w:b/>
      <w:color w:val="183153"/>
      <w:sz w:val="32"/>
    </w:rPr>
  </w:style>
  <w:style w:type="paragraph" w:customStyle="1" w:styleId="Heading2Custom">
    <w:name w:val="Heading2Custom"/>
    <w:basedOn w:val="Heading2"/>
    <w:pPr>
      <w:spacing w:before="240" w:after="80"/>
    </w:pPr>
    <w:rPr>
      <w:rFonts w:ascii="Aptos" w:hAnsi="Aptos"/>
      <w:b/>
      <w:color w:val="244C73"/>
      <w:sz w:val="25"/>
    </w:rPr>
  </w:style>
  <w:style w:type="paragraph" w:customStyle="1" w:styleId="Heading3Custom">
    <w:name w:val="Heading3Custom"/>
    <w:basedOn w:val="Heading3"/>
    <w:pPr>
      <w:spacing w:before="160" w:after="40"/>
    </w:pPr>
    <w:rPr>
      <w:rFonts w:ascii="Aptos" w:hAnsi="Aptos"/>
      <w:b/>
      <w:color w:val="365F91"/>
      <w:sz w:val="22"/>
    </w:rPr>
  </w:style>
  <w:style w:type="paragraph" w:customStyle="1" w:styleId="SmallCustom">
    <w:name w:val="SmallCustom"/>
    <w:basedOn w:val="Normal"/>
    <w:pPr>
      <w:spacing w:after="40"/>
    </w:pPr>
    <w:rPr>
      <w:rFonts w:ascii="Aptos" w:hAnsi="Aptos"/>
      <w:b w:val="0"/>
      <w:color w:val="5C6B7A"/>
      <w:sz w:val="17"/>
    </w:rPr>
  </w:style>
  <w:style w:type="paragraph" w:customStyle="1" w:styleId="CalloutCustom">
    <w:name w:val="CalloutCustom"/>
    <w:basedOn w:val="Normal"/>
    <w:pPr>
      <w:spacing w:after="80"/>
    </w:pPr>
    <w:rPr>
      <w:rFonts w:ascii="Aptos" w:hAnsi="Aptos"/>
      <w:b w:val="0"/>
      <w:color w:val="2F3A4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ruvnet/RuVector" TargetMode="External"/><Relationship Id="rId10" Type="http://schemas.openxmlformats.org/officeDocument/2006/relationships/hyperlink" Target="https://github.com/ruvnet/RuVector/blob/main/README.md" TargetMode="External"/><Relationship Id="rId11" Type="http://schemas.openxmlformats.org/officeDocument/2006/relationships/hyperlink" Target="https://github.com/ruvnet/RuVector/blob/main/docs/guides/GETTING_STARTED.md" TargetMode="External"/><Relationship Id="rId12" Type="http://schemas.openxmlformats.org/officeDocument/2006/relationships/hyperlink" Target="https://github.com/ruvnet/RuVector/blob/main/crates/rvf/README.md" TargetMode="External"/><Relationship Id="rId13" Type="http://schemas.openxmlformats.org/officeDocument/2006/relationships/hyperlink" Target="https://github.com/ruvnet/RuVector/blob/main/crates/ruvix/README.md" TargetMode="External"/><Relationship Id="rId14" Type="http://schemas.openxmlformats.org/officeDocument/2006/relationships/hyperlink" Target="Accelerated Edge AI Hardware Landscape Against a 257-Core Agentic Chip Target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