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</w:t>
      </w:r>
      <w:r>
        <w:rPr>
          <w:lang w:val="en-US"/>
        </w:rPr>
        <w:t>param1</w:t>
      </w:r>
      <w:r>
        <w:rPr>
          <w:lang w:val="en-US"/>
        </w:rPr>
        <w:t xml:space="preserve">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5FD8FDDC" w:rsidR="005B55F7" w:rsidRPr="005B55F7" w:rsidRDefault="005B55F7" w:rsidP="00E91A2B">
      <w:pPr>
        <w:pStyle w:val="a5"/>
        <w:rPr>
          <w:lang w:val="en-US"/>
        </w:rPr>
      </w:pPr>
      <w:r>
        <w:rPr>
          <w:lang w:val="en-US"/>
        </w:rPr>
        <w:t xml:space="preserve">5. [1] = *,  [n] = [n] </w:t>
      </w:r>
      <w:r>
        <w:t xml:space="preserve">при </w:t>
      </w:r>
      <w:r>
        <w:rPr>
          <w:lang w:val="en-US"/>
        </w:rPr>
        <w:t>n &gt; 1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lastRenderedPageBreak/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 xml:space="preserve"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</w:t>
      </w:r>
      <w:r>
        <w:lastRenderedPageBreak/>
        <w:t>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5B55F7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6CDD799E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Default="00A84467" w:rsidP="0049270B">
      <w:pPr>
        <w:pStyle w:val="a5"/>
      </w:pPr>
      <w:r w:rsidRPr="00B45C0A">
        <w:t xml:space="preserve">44) </w:t>
      </w:r>
      <w:r w:rsidR="00B45C0A">
        <w:t xml:space="preserve">флаги размером один бит </w:t>
      </w:r>
      <w:proofErr w:type="gramStart"/>
      <w:r w:rsidR="00B45C0A">
        <w:t>почему то</w:t>
      </w:r>
      <w:proofErr w:type="gramEnd"/>
      <w:r w:rsidR="00B45C0A">
        <w:t xml:space="preserve"> интерпретируется как 1 байт, дополняя не нужными битами</w:t>
      </w:r>
      <w:r w:rsidR="00B45C0A" w:rsidRPr="00B45C0A">
        <w:t>: [var_1_8] = (([var_1_8] &amp;.1 0xf7{247}) |.1 (([mem_5_64] == 0x0{0}) *.1 0x8{8}))</w:t>
      </w:r>
      <w:r w:rsidR="00D84FE7" w:rsidRPr="00D84FE7">
        <w:t xml:space="preserve">. </w:t>
      </w:r>
      <w:r w:rsidR="00D84FE7">
        <w:t xml:space="preserve">Также в циклах некорректно работает </w:t>
      </w:r>
      <w:proofErr w:type="spellStart"/>
      <w:r w:rsidR="00D84FE7" w:rsidRPr="00D84FE7">
        <w:t>hasAllRegistersGatheredOnWay</w:t>
      </w:r>
      <w:proofErr w:type="spellEnd"/>
      <w:r w:rsidR="00F459B8">
        <w:t>.</w:t>
      </w:r>
    </w:p>
    <w:p w14:paraId="5361357C" w14:textId="11B01BDF" w:rsidR="00F459B8" w:rsidRPr="00F459B8" w:rsidRDefault="00F459B8" w:rsidP="0049270B">
      <w:pPr>
        <w:pStyle w:val="a5"/>
      </w:pPr>
      <w:r>
        <w:t>Тут же надо заменить 2 условия одним, ибо они одинаковы, если посмотреть, какие символы к чему присваиваются. Само условие</w:t>
      </w:r>
      <w:r w:rsidRPr="00F459B8">
        <w:t>: [var_3_64] == 0x0{0}</w:t>
      </w:r>
    </w:p>
    <w:p w14:paraId="3F30055A" w14:textId="2C3E4DF5" w:rsidR="00010E74" w:rsidRPr="00EC3723" w:rsidRDefault="00EC3723" w:rsidP="003C23A2">
      <w:r w:rsidRPr="00EC3723">
        <w:t xml:space="preserve">45) </w:t>
      </w:r>
      <w:r>
        <w:t>Маска представляется как значение 64 бита и смещение!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5B55F7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lastRenderedPageBreak/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</w:t>
      </w:r>
      <w:r w:rsidR="00B70B6E">
        <w:lastRenderedPageBreak/>
        <w:t>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5E8F"/>
    <w:rsid w:val="000C608D"/>
    <w:rsid w:val="000D03EC"/>
    <w:rsid w:val="000D17B9"/>
    <w:rsid w:val="000D4BDA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137BD"/>
    <w:rsid w:val="00313E66"/>
    <w:rsid w:val="00316ABB"/>
    <w:rsid w:val="00317042"/>
    <w:rsid w:val="00317C0C"/>
    <w:rsid w:val="003203FB"/>
    <w:rsid w:val="00323A6F"/>
    <w:rsid w:val="00324AE3"/>
    <w:rsid w:val="00324F6E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1AC7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2A6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395C"/>
    <w:rsid w:val="005E3D90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E5DC5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4B0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467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4FE7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181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92245</TotalTime>
  <Pages>65</Pages>
  <Words>15184</Words>
  <Characters>86549</Characters>
  <Application>Microsoft Office Word</Application>
  <DocSecurity>0</DocSecurity>
  <Lines>721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1517</cp:revision>
  <dcterms:created xsi:type="dcterms:W3CDTF">2020-04-01T07:26:00Z</dcterms:created>
  <dcterms:modified xsi:type="dcterms:W3CDTF">2020-08-12T15:21:00Z</dcterms:modified>
</cp:coreProperties>
</file>