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961343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61C" w14:textId="4310E943" w:rsidR="00176EAE" w:rsidRPr="00176EAE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516F8124" w14:textId="77777777" w:rsidR="00553179" w:rsidRPr="003D196B" w:rsidRDefault="00553179" w:rsidP="00553179"/>
    <w:p w14:paraId="4E33A8FB" w14:textId="77777777" w:rsidR="00EB0449" w:rsidRDefault="00EB0449" w:rsidP="00EB0449">
      <w:pPr>
        <w:pStyle w:val="2"/>
      </w:pPr>
      <w:r>
        <w:t>Гибкая декомпиляция</w:t>
      </w:r>
    </w:p>
    <w:p w14:paraId="550F463C" w14:textId="77777777" w:rsidR="00553179" w:rsidRDefault="00EB0449" w:rsidP="00EB0449">
      <w:r>
        <w:t>Необходимо автоматически находить размеры</w:t>
      </w:r>
      <w:r w:rsidR="005856FA">
        <w:t xml:space="preserve"> и кол-во</w:t>
      </w:r>
      <w:r>
        <w:t xml:space="preserve"> параметров функций</w:t>
      </w:r>
      <w:r w:rsidRPr="00EB0449">
        <w:t xml:space="preserve">: </w:t>
      </w:r>
      <w:r>
        <w:t xml:space="preserve">самой </w:t>
      </w:r>
      <w:proofErr w:type="spellStart"/>
      <w:r>
        <w:t>декомпилируемой</w:t>
      </w:r>
      <w:proofErr w:type="spellEnd"/>
      <w:r>
        <w:t xml:space="preserve"> функции и вызываемых функций.</w:t>
      </w:r>
    </w:p>
    <w:p w14:paraId="08E0869D" w14:textId="20D6372C" w:rsidR="002335F8" w:rsidRPr="003D196B" w:rsidRDefault="002335F8" w:rsidP="00EB0449">
      <w:r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38297EE2" w:rsidR="003F77B6" w:rsidRP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961343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lastRenderedPageBreak/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65A6"/>
    <w:rsid w:val="004802B4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150162</TotalTime>
  <Pages>76</Pages>
  <Words>18896</Words>
  <Characters>107711</Characters>
  <Application>Microsoft Office Word</Application>
  <DocSecurity>0</DocSecurity>
  <Lines>897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1869</cp:revision>
  <dcterms:created xsi:type="dcterms:W3CDTF">2020-04-01T07:26:00Z</dcterms:created>
  <dcterms:modified xsi:type="dcterms:W3CDTF">2021-04-27T11:15:00Z</dcterms:modified>
</cp:coreProperties>
</file>