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9D19C7" w:rsidRDefault="009D19C7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9D19C7" w:rsidRDefault="009D19C7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9D19C7" w:rsidRDefault="009D19C7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9D19C7" w:rsidRDefault="009D19C7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9D19C7" w:rsidRDefault="009D19C7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9D19C7" w:rsidRDefault="009D19C7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9D19C7" w:rsidRPr="005339D1" w:rsidRDefault="009D19C7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9D19C7" w:rsidRPr="005339D1" w:rsidRDefault="009D19C7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9D19C7" w:rsidRPr="004B4900" w:rsidRDefault="009D19C7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9D19C7" w:rsidRPr="004B4900" w:rsidRDefault="009D19C7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9D19C7" w:rsidRPr="005A039D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9D19C7" w:rsidRDefault="009D19C7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9D19C7" w:rsidRDefault="009D19C7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9D19C7" w:rsidRDefault="009D19C7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9D19C7" w:rsidRPr="005A039D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9D19C7" w:rsidRDefault="009D19C7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9D19C7" w:rsidRDefault="009D19C7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9D19C7" w:rsidRDefault="009D19C7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9D19C7" w:rsidRDefault="009D19C7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9D19C7" w:rsidRDefault="009D19C7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9D19C7" w:rsidRDefault="009D19C7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9D19C7" w:rsidRDefault="009D19C7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9D19C7" w:rsidRDefault="009D19C7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9D19C7" w:rsidRDefault="009D19C7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9D19C7" w:rsidRDefault="009D19C7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9D19C7" w:rsidRDefault="009D19C7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9D19C7" w:rsidRDefault="009D19C7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9D19C7" w:rsidRDefault="009D19C7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9D19C7" w:rsidRDefault="009D19C7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9D19C7" w:rsidRDefault="009D19C7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9D19C7" w:rsidRDefault="009D19C7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9D19C7" w:rsidRDefault="009D19C7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9D19C7" w:rsidRDefault="009D19C7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9D19C7" w:rsidRDefault="009D19C7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9D19C7" w:rsidRDefault="009D19C7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9D19C7" w:rsidRDefault="009D19C7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9D19C7" w:rsidRDefault="009D19C7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9D19C7" w:rsidRDefault="009D19C7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9D19C7" w:rsidRDefault="009D19C7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9D19C7" w:rsidRDefault="009D19C7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9D19C7" w:rsidRDefault="009D19C7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9D19C7" w:rsidRDefault="009D19C7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9D19C7" w:rsidRDefault="009D19C7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9D19C7" w:rsidRDefault="009D19C7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9D19C7" w:rsidRDefault="009D19C7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9D19C7" w:rsidRDefault="009D19C7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9D19C7" w:rsidRDefault="009D19C7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9D19C7" w:rsidRDefault="009D19C7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6DFE0CB4" w14:textId="1F64568B" w:rsidR="00AE6781" w:rsidRDefault="00AE6781" w:rsidP="00AC2F06">
      <w:r>
        <w:t>Параметры для функций записываются всевозможные. Там могут быть выражения.</w:t>
      </w:r>
      <w:r w:rsidR="00C05BEE">
        <w:t xml:space="preserve"> Например прямо перед функцией</w:t>
      </w:r>
      <w:r w:rsidR="00C05BEE" w:rsidRPr="00C05BEE">
        <w:t xml:space="preserve">: </w:t>
      </w:r>
      <w:r w:rsidR="00C05BEE">
        <w:rPr>
          <w:lang w:val="en-US"/>
        </w:rPr>
        <w:t>mov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[</w:t>
      </w:r>
      <w:proofErr w:type="spellStart"/>
      <w:r w:rsidR="00C05BEE">
        <w:rPr>
          <w:lang w:val="en-US"/>
        </w:rPr>
        <w:t>rdx</w:t>
      </w:r>
      <w:proofErr w:type="spellEnd"/>
      <w:r w:rsidR="00C05BEE" w:rsidRPr="00C05BEE">
        <w:t xml:space="preserve">] </w:t>
      </w:r>
      <w:r w:rsidR="00C05BEE">
        <w:t xml:space="preserve">а потом </w:t>
      </w:r>
      <w:r w:rsidR="00C05BEE">
        <w:rPr>
          <w:lang w:val="en-US"/>
        </w:rPr>
        <w:t>sub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0</w:t>
      </w:r>
      <w:r w:rsidR="00C05BEE">
        <w:rPr>
          <w:lang w:val="en-US"/>
        </w:rPr>
        <w:t>x</w:t>
      </w:r>
      <w:r w:rsidR="00C05BEE" w:rsidRPr="00C05BEE">
        <w:t>2</w:t>
      </w:r>
      <w:r w:rsidR="00C05BEE">
        <w:tab/>
      </w:r>
      <w:r w:rsidR="00C05BEE" w:rsidRPr="00C05BEE">
        <w:t>=&gt;</w:t>
      </w:r>
      <w:r w:rsidR="00C05BEE">
        <w:tab/>
      </w:r>
      <w:proofErr w:type="gramStart"/>
      <w:r w:rsidR="00C05BEE">
        <w:rPr>
          <w:lang w:val="en-US"/>
        </w:rPr>
        <w:t>fun</w:t>
      </w:r>
      <w:r w:rsidR="00C05BEE" w:rsidRPr="00C05BEE">
        <w:t>(</w:t>
      </w:r>
      <w:proofErr w:type="gramEnd"/>
      <w:r w:rsidR="00C05BEE" w:rsidRPr="00DA1253">
        <w:t>*</w:t>
      </w:r>
      <w:r w:rsidR="00C05BEE">
        <w:rPr>
          <w:lang w:val="en-US"/>
        </w:rPr>
        <w:t>param</w:t>
      </w:r>
      <w:r w:rsidR="00C05BEE" w:rsidRPr="00DA1253">
        <w:t>2 - 2</w:t>
      </w:r>
      <w:r w:rsidR="00C05BEE" w:rsidRPr="00C05BEE">
        <w:t>)</w:t>
      </w:r>
    </w:p>
    <w:p w14:paraId="6758E238" w14:textId="225FF4C7" w:rsidR="00DA1253" w:rsidRPr="00F26C9A" w:rsidRDefault="00DA1253" w:rsidP="00AC2F06">
      <w:r>
        <w:t xml:space="preserve">Можно сделать эмулятор процессора, чтобы лучше потом </w:t>
      </w:r>
      <w:proofErr w:type="spellStart"/>
      <w:r>
        <w:t>дебажить</w:t>
      </w:r>
      <w:proofErr w:type="spellEnd"/>
      <w:r w:rsidR="00BC317E">
        <w:t>.</w:t>
      </w:r>
      <w:r w:rsidR="00C44EF2" w:rsidRPr="00C44EF2">
        <w:t xml:space="preserve"> </w:t>
      </w:r>
      <w:r w:rsidR="00C44EF2">
        <w:t xml:space="preserve">Сразу на </w:t>
      </w:r>
      <w:proofErr w:type="spellStart"/>
      <w:r w:rsidR="00C44EF2">
        <w:t>асме</w:t>
      </w:r>
      <w:proofErr w:type="spellEnd"/>
      <w:r w:rsidR="00C44EF2">
        <w:t xml:space="preserve"> выполнять. После каждой команды вызывать функцию сохранения контекста</w:t>
      </w:r>
      <w:r w:rsidR="00EF054C">
        <w:t xml:space="preserve"> </w:t>
      </w:r>
      <w:r w:rsidR="00C44EF2">
        <w:t>(состояния всех регистров) в стеке для последующего чтения.</w:t>
      </w:r>
      <w:r w:rsidR="00EF054C"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>
        <w:t>дебажить</w:t>
      </w:r>
      <w:proofErr w:type="spellEnd"/>
      <w:r w:rsidR="00EF054C">
        <w:t xml:space="preserve"> код в </w:t>
      </w:r>
      <w:proofErr w:type="spellStart"/>
      <w:r w:rsidR="00EF054C">
        <w:t>оффлайне</w:t>
      </w:r>
      <w:proofErr w:type="spellEnd"/>
      <w:r w:rsidR="00EF054C">
        <w:t xml:space="preserve">. Также можно сделать дамп памяти и </w:t>
      </w:r>
      <w:proofErr w:type="spellStart"/>
      <w:r w:rsidR="00EF054C">
        <w:t>дебажить</w:t>
      </w:r>
      <w:proofErr w:type="spellEnd"/>
      <w:r w:rsidR="00EF054C">
        <w:t xml:space="preserve"> с ним</w:t>
      </w:r>
      <w:r w:rsidR="00F26C9A">
        <w:t xml:space="preserve">, правда надо решить проблему с </w:t>
      </w:r>
      <w:r w:rsidR="00F26C9A">
        <w:rPr>
          <w:lang w:val="en-US"/>
        </w:rPr>
        <w:t>RIP</w:t>
      </w:r>
      <w:r w:rsidR="00F26C9A" w:rsidRPr="00F26C9A">
        <w:t xml:space="preserve"> </w:t>
      </w:r>
      <w:r w:rsidR="00F26C9A">
        <w:t>и потоками.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5902E5">
        <w:t xml:space="preserve"> </w:t>
      </w:r>
      <w:r>
        <w:rPr>
          <w:lang w:val="en-US"/>
        </w:rPr>
        <w:t>map</w:t>
      </w:r>
      <w:r w:rsidR="005902E5" w:rsidRPr="005902E5">
        <w:t xml:space="preserve"> </w:t>
      </w:r>
      <w:r w:rsidRPr="005902E5">
        <w:t>(</w:t>
      </w:r>
      <w:r>
        <w:rPr>
          <w:lang w:val="en-US"/>
        </w:rPr>
        <w:t>string</w:t>
      </w:r>
      <w:r w:rsidRPr="005902E5">
        <w:t xml:space="preserve">, </w:t>
      </w:r>
      <w:r>
        <w:rPr>
          <w:lang w:val="en-US"/>
        </w:rPr>
        <w:t>Expression</w:t>
      </w:r>
      <w:r w:rsidRPr="005902E5">
        <w:t xml:space="preserve">), </w:t>
      </w:r>
      <w:r>
        <w:t>где</w:t>
      </w:r>
      <w:r w:rsidRPr="005902E5">
        <w:t xml:space="preserve"> </w:t>
      </w:r>
      <w:r>
        <w:rPr>
          <w:lang w:val="en-US"/>
        </w:rPr>
        <w:t>string</w:t>
      </w:r>
      <w:r w:rsidRPr="005902E5">
        <w:t xml:space="preserve"> – </w:t>
      </w:r>
      <w:r>
        <w:t>адрес</w:t>
      </w:r>
      <w:r w:rsidRPr="005902E5">
        <w:t xml:space="preserve">: </w:t>
      </w:r>
      <w:proofErr w:type="spellStart"/>
      <w:r>
        <w:rPr>
          <w:lang w:val="en-US"/>
        </w:rPr>
        <w:t>rax</w:t>
      </w:r>
      <w:proofErr w:type="spellEnd"/>
      <w:r w:rsidRPr="005902E5">
        <w:t xml:space="preserve">, </w:t>
      </w:r>
      <w:r>
        <w:rPr>
          <w:lang w:val="en-US"/>
        </w:rPr>
        <w:t>ram</w:t>
      </w:r>
      <w:r w:rsidRPr="005902E5">
        <w:t>:0</w:t>
      </w:r>
      <w:r>
        <w:rPr>
          <w:lang w:val="en-US"/>
        </w:rPr>
        <w:t>x</w:t>
      </w:r>
      <w:r w:rsidRPr="005902E5">
        <w:t xml:space="preserve">103, </w:t>
      </w:r>
      <w:proofErr w:type="gramStart"/>
      <w:r>
        <w:rPr>
          <w:lang w:val="en-US"/>
        </w:rPr>
        <w:t>stack</w:t>
      </w:r>
      <w:r w:rsidRPr="005902E5">
        <w:t>:-</w:t>
      </w:r>
      <w:proofErr w:type="gramEnd"/>
      <w:r w:rsidRPr="005902E5">
        <w:t>0</w:t>
      </w:r>
      <w:r>
        <w:rPr>
          <w:lang w:val="en-US"/>
        </w:rPr>
        <w:t>x</w:t>
      </w:r>
      <w:r w:rsidRPr="005902E5">
        <w:t>2</w:t>
      </w:r>
      <w:r w:rsidR="00FE2C02" w:rsidRPr="005902E5"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Func_1</w:t>
      </w:r>
    </w:p>
    <w:p w14:paraId="14394309" w14:textId="34600DB3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Func_2</w:t>
      </w:r>
    </w:p>
    <w:p w14:paraId="63FA5D8C" w14:textId="549A394E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>
        <w:rPr>
          <w:lang w:val="en-US"/>
        </w:rPr>
        <w:t xml:space="preserve"> =&gt; Expression (param3,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562A9E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 надо</w:t>
      </w:r>
      <w:r w:rsidRPr="00562A9E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</w:t>
      </w:r>
      <w:r w:rsidR="008000FC">
        <w:lastRenderedPageBreak/>
        <w:t>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Default="00C6405B" w:rsidP="00C6405B">
      <w:pPr>
        <w:rPr>
          <w:lang w:val="en-US"/>
        </w:rPr>
      </w:pPr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>
        <w:rPr>
          <w:lang w:val="en-US"/>
        </w:rPr>
        <w:t>:</w:t>
      </w:r>
    </w:p>
    <w:p w14:paraId="774CB509" w14:textId="1EB3857B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qword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Default="00F824F6" w:rsidP="00E24036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Reg:rax</w:t>
      </w:r>
      <w:proofErr w:type="spellEnd"/>
      <w:proofErr w:type="gramEnd"/>
    </w:p>
    <w:p w14:paraId="4DD3155A" w14:textId="74D3AED0" w:rsidR="00F824F6" w:rsidRDefault="00F824F6" w:rsidP="00E24036">
      <w:pPr>
        <w:pStyle w:val="a5"/>
        <w:rPr>
          <w:lang w:val="en-US"/>
        </w:rPr>
      </w:pPr>
      <w:r>
        <w:rPr>
          <w:lang w:val="en-US"/>
        </w:rPr>
        <w:t>Stack:0x8</w:t>
      </w:r>
    </w:p>
    <w:p w14:paraId="547A59CB" w14:textId="504DFFEA" w:rsidR="00F824F6" w:rsidRPr="00F824F6" w:rsidRDefault="00050577" w:rsidP="00E24036">
      <w:pPr>
        <w:pStyle w:val="a5"/>
        <w:rPr>
          <w:lang w:val="en-US"/>
        </w:rPr>
      </w:pPr>
      <w:r>
        <w:rPr>
          <w:lang w:val="en-US"/>
        </w:rPr>
        <w:t>0x200</w:t>
      </w:r>
      <w:r w:rsidR="00F824F6">
        <w:rPr>
          <w:lang w:val="en-US"/>
        </w:rPr>
        <w:t>:0x100000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395B33" w:rsidRDefault="0084033B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3A10E9C6" w14:textId="6A9123C6" w:rsidR="0084033B" w:rsidRPr="00D75EBB" w:rsidRDefault="009A204C" w:rsidP="000B6CB6">
      <w:pPr>
        <w:pStyle w:val="a5"/>
        <w:rPr>
          <w:i/>
          <w:iCs/>
          <w:lang w:val="en-US"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 xml:space="preserve">ah </w:t>
      </w:r>
      <w:r w:rsidR="00D75EBB">
        <w:rPr>
          <w:i/>
          <w:iCs/>
          <w:color w:val="A8D08D" w:themeColor="accent6" w:themeTint="99"/>
        </w:rPr>
        <w:t>это</w:t>
      </w:r>
      <w:r w:rsidR="00D75EBB">
        <w:rPr>
          <w:i/>
          <w:iCs/>
          <w:color w:val="A8D08D" w:themeColor="accent6" w:themeTint="99"/>
          <w:lang w:val="en-US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>, ax</w:t>
      </w:r>
    </w:p>
    <w:p w14:paraId="56BCC9C7" w14:textId="78DEAEBD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bl = </w:t>
      </w:r>
      <w:r w:rsidR="00344686" w:rsidRPr="00395B33">
        <w:rPr>
          <w:lang w:val="en-US"/>
        </w:rPr>
        <w:t>0</w:t>
      </w:r>
      <w:r w:rsidR="00344686">
        <w:rPr>
          <w:lang w:val="en-US"/>
        </w:rPr>
        <w:t>x</w:t>
      </w:r>
      <w:r w:rsidR="00344686" w:rsidRPr="00395B33">
        <w:rPr>
          <w:lang w:val="en-US"/>
        </w:rPr>
        <w:t>10235555</w:t>
      </w:r>
      <w:r w:rsidR="00344686">
        <w:rPr>
          <w:lang w:val="en-US"/>
        </w:rPr>
        <w:t xml:space="preserve"> &amp; ~0xFF00 | (0x2 &lt;&lt; 8) </w:t>
      </w:r>
      <w:r>
        <w:rPr>
          <w:lang w:val="en-US"/>
        </w:rPr>
        <w:t>&amp; 0xFF</w:t>
      </w:r>
    </w:p>
    <w:p w14:paraId="7F1BFE38" w14:textId="1F317D06" w:rsidR="00CC2A2F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="00695436">
        <w:rPr>
          <w:lang w:val="en-US"/>
        </w:rPr>
        <w:t>2</w:t>
      </w:r>
    </w:p>
    <w:p w14:paraId="2BA41A2F" w14:textId="518D46BA" w:rsidR="002A248C" w:rsidRDefault="002A248C" w:rsidP="000B6CB6">
      <w:pPr>
        <w:pStyle w:val="a5"/>
        <w:rPr>
          <w:lang w:val="en-US"/>
        </w:rPr>
      </w:pPr>
    </w:p>
    <w:p w14:paraId="33DF3C9D" w14:textId="77777777" w:rsidR="002A248C" w:rsidRDefault="002A248C" w:rsidP="000B6CB6">
      <w:pPr>
        <w:pStyle w:val="a5"/>
        <w:rPr>
          <w:lang w:val="en-US"/>
        </w:rPr>
      </w:pPr>
    </w:p>
    <w:p w14:paraId="66A625AC" w14:textId="0BAB6FAF" w:rsidR="0005081B" w:rsidRPr="002E1F87" w:rsidRDefault="002E1F87" w:rsidP="002E1F87">
      <w:pPr>
        <w:pStyle w:val="2"/>
        <w:rPr>
          <w:lang w:val="en-US"/>
        </w:rPr>
      </w:pPr>
      <w:r>
        <w:t>Вариант</w:t>
      </w:r>
      <w:r w:rsidRPr="00465B05">
        <w:rPr>
          <w:lang w:val="en-US"/>
        </w:rPr>
        <w:t xml:space="preserve"> 2</w:t>
      </w:r>
    </w:p>
    <w:p w14:paraId="18B7EE13" w14:textId="572970DF" w:rsidR="00520B43" w:rsidRPr="002E1F87" w:rsidRDefault="00CB2505" w:rsidP="000B6CB6">
      <w:pPr>
        <w:pStyle w:val="a5"/>
        <w:rPr>
          <w:lang w:val="en-US"/>
        </w:rPr>
      </w:pPr>
      <w:r>
        <w:rPr>
          <w:lang w:val="en-US"/>
        </w:rPr>
        <w:t>mov</w:t>
      </w:r>
      <w:r w:rsidRPr="002E1F87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2E1F87">
        <w:rPr>
          <w:lang w:val="en-US"/>
        </w:rPr>
        <w:t>, 0</w:t>
      </w:r>
      <w:r>
        <w:rPr>
          <w:lang w:val="en-US"/>
        </w:rPr>
        <w:t>x</w:t>
      </w:r>
      <w:r w:rsidRPr="002E1F87">
        <w:rPr>
          <w:lang w:val="en-US"/>
        </w:rPr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Default="00D546B8" w:rsidP="00D546B8">
      <w:pPr>
        <w:pStyle w:val="2"/>
      </w:pPr>
      <w:r>
        <w:t>Вариант 3</w:t>
      </w:r>
    </w:p>
    <w:p w14:paraId="1CD9F783" w14:textId="77777777" w:rsidR="0044710C" w:rsidRPr="0044710C" w:rsidRDefault="0044710C" w:rsidP="0044710C">
      <w:pPr>
        <w:pStyle w:val="a5"/>
      </w:pPr>
      <w:r>
        <w:rPr>
          <w:lang w:val="en-US"/>
        </w:rPr>
        <w:t>mov</w:t>
      </w:r>
      <w:r w:rsidRPr="0044710C">
        <w:t xml:space="preserve"> </w:t>
      </w:r>
      <w:proofErr w:type="spellStart"/>
      <w:r>
        <w:rPr>
          <w:lang w:val="en-US"/>
        </w:rPr>
        <w:t>rax</w:t>
      </w:r>
      <w:proofErr w:type="spellEnd"/>
      <w:r w:rsidRPr="0044710C">
        <w:t>, 0</w:t>
      </w:r>
      <w:r>
        <w:rPr>
          <w:lang w:val="en-US"/>
        </w:rPr>
        <w:t>x</w:t>
      </w:r>
      <w:r w:rsidRPr="0044710C"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5F3A0F" w:rsidRDefault="0044710C" w:rsidP="003C0A8D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5F3A0F">
        <w:t xml:space="preserve"> = 0</w:t>
      </w:r>
      <w:r>
        <w:rPr>
          <w:lang w:val="en-US"/>
        </w:rPr>
        <w:t>x</w:t>
      </w:r>
      <w:r w:rsidRPr="005F3A0F">
        <w:t>10235555</w:t>
      </w:r>
    </w:p>
    <w:p w14:paraId="31C0021D" w14:textId="2430B547" w:rsidR="0044710C" w:rsidRPr="00DE78F8" w:rsidRDefault="005F3A0F" w:rsidP="003C0A8D">
      <w:pPr>
        <w:pStyle w:val="a5"/>
      </w:pPr>
      <w:r>
        <w:rPr>
          <w:lang w:val="en-US"/>
        </w:rPr>
        <w:t>dh</w:t>
      </w:r>
      <w:r w:rsidRPr="00DE78F8">
        <w:t xml:space="preserve"> = 0</w:t>
      </w:r>
      <w:r>
        <w:rPr>
          <w:lang w:val="en-US"/>
        </w:rPr>
        <w:t>x</w:t>
      </w:r>
      <w:r w:rsidRPr="00DE78F8">
        <w:t>10235555 &amp; 0</w:t>
      </w:r>
      <w:proofErr w:type="spellStart"/>
      <w:r>
        <w:rPr>
          <w:lang w:val="en-US"/>
        </w:rPr>
        <w:t>xFF</w:t>
      </w:r>
      <w:proofErr w:type="spellEnd"/>
      <w:r w:rsidRPr="00DE78F8">
        <w:t>00</w:t>
      </w:r>
      <w:r w:rsidR="00156B52" w:rsidRPr="00156B52">
        <w:t xml:space="preserve"> </w:t>
      </w:r>
      <w:r w:rsidR="00156B52" w:rsidRPr="00FD4C4E">
        <w:t>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Default="000B3D77" w:rsidP="000B3D77">
      <w:pPr>
        <w:pStyle w:val="2"/>
      </w:pPr>
      <w:r>
        <w:t>Вариант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60E84FE5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4B4DFFAC" w14:textId="0A565084" w:rsidR="008341AA" w:rsidRDefault="008341AA" w:rsidP="003C0A8D">
      <w:pPr>
        <w:pStyle w:val="a5"/>
        <w:rPr>
          <w:lang w:val="en-US"/>
        </w:rPr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254DA5F0" w:rsidR="00903633" w:rsidRPr="00E96EE6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33039E17" w14:textId="77777777" w:rsidR="0044710C" w:rsidRPr="008341AA" w:rsidRDefault="0044710C" w:rsidP="00D546B8"/>
    <w:p w14:paraId="7DA7C7F8" w14:textId="7B4105F1" w:rsidR="00D546B8" w:rsidRPr="008341AA" w:rsidRDefault="00D546B8" w:rsidP="00D546B8">
      <w:pPr>
        <w:sectPr w:rsidR="00D546B8" w:rsidRPr="008341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9D19C7" w:rsidRPr="003B67F9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9D19C7" w:rsidRDefault="009D19C7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9D19C7" w:rsidRDefault="009D19C7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9D19C7" w:rsidRDefault="009D19C7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9D19C7" w:rsidRDefault="009D19C7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9D19C7" w:rsidRDefault="009D19C7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9D19C7" w:rsidRDefault="009D19C7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9D19C7" w:rsidRDefault="009D19C7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9D19C7" w:rsidRPr="003B67F9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9D19C7" w:rsidRDefault="009D19C7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9D19C7" w:rsidRDefault="009D19C7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9D19C7" w:rsidRDefault="009D19C7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9D19C7" w:rsidRDefault="009D19C7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9D19C7" w:rsidRDefault="009D19C7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9D19C7" w:rsidRDefault="009D19C7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9D19C7" w:rsidRDefault="009D19C7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EE9"/>
    <w:rsid w:val="00010C7C"/>
    <w:rsid w:val="00012592"/>
    <w:rsid w:val="00020344"/>
    <w:rsid w:val="00027636"/>
    <w:rsid w:val="00042943"/>
    <w:rsid w:val="00050577"/>
    <w:rsid w:val="0005081B"/>
    <w:rsid w:val="0005771F"/>
    <w:rsid w:val="0006634F"/>
    <w:rsid w:val="00070925"/>
    <w:rsid w:val="00073105"/>
    <w:rsid w:val="00083ACD"/>
    <w:rsid w:val="0009194D"/>
    <w:rsid w:val="00093390"/>
    <w:rsid w:val="000A171F"/>
    <w:rsid w:val="000B359D"/>
    <w:rsid w:val="000B3D77"/>
    <w:rsid w:val="000B4605"/>
    <w:rsid w:val="000B6581"/>
    <w:rsid w:val="000B65E9"/>
    <w:rsid w:val="000B6CB6"/>
    <w:rsid w:val="000C3C8A"/>
    <w:rsid w:val="000D17B9"/>
    <w:rsid w:val="000D4BDA"/>
    <w:rsid w:val="000F5CAA"/>
    <w:rsid w:val="00101681"/>
    <w:rsid w:val="001061E0"/>
    <w:rsid w:val="00122C59"/>
    <w:rsid w:val="001275A5"/>
    <w:rsid w:val="00140070"/>
    <w:rsid w:val="00151955"/>
    <w:rsid w:val="00151A55"/>
    <w:rsid w:val="00156B52"/>
    <w:rsid w:val="00171095"/>
    <w:rsid w:val="001A1FFB"/>
    <w:rsid w:val="001B2096"/>
    <w:rsid w:val="001C155F"/>
    <w:rsid w:val="001F6081"/>
    <w:rsid w:val="00204048"/>
    <w:rsid w:val="00205C92"/>
    <w:rsid w:val="00213217"/>
    <w:rsid w:val="00216D89"/>
    <w:rsid w:val="0022303D"/>
    <w:rsid w:val="002266AF"/>
    <w:rsid w:val="00236302"/>
    <w:rsid w:val="002411CA"/>
    <w:rsid w:val="00245D99"/>
    <w:rsid w:val="002512F6"/>
    <w:rsid w:val="00251CB8"/>
    <w:rsid w:val="0025612F"/>
    <w:rsid w:val="00257A9F"/>
    <w:rsid w:val="002666EE"/>
    <w:rsid w:val="0026756A"/>
    <w:rsid w:val="00272EE1"/>
    <w:rsid w:val="0027729B"/>
    <w:rsid w:val="00280895"/>
    <w:rsid w:val="00287E31"/>
    <w:rsid w:val="002919AA"/>
    <w:rsid w:val="002A248C"/>
    <w:rsid w:val="002B56BD"/>
    <w:rsid w:val="002B665B"/>
    <w:rsid w:val="002B75B3"/>
    <w:rsid w:val="002C7915"/>
    <w:rsid w:val="002E1F87"/>
    <w:rsid w:val="002E573B"/>
    <w:rsid w:val="00324AE3"/>
    <w:rsid w:val="003260DD"/>
    <w:rsid w:val="00344686"/>
    <w:rsid w:val="00353808"/>
    <w:rsid w:val="00354783"/>
    <w:rsid w:val="0035780F"/>
    <w:rsid w:val="00377F3E"/>
    <w:rsid w:val="00385442"/>
    <w:rsid w:val="00392CEF"/>
    <w:rsid w:val="00395B33"/>
    <w:rsid w:val="003A6D13"/>
    <w:rsid w:val="003B67F9"/>
    <w:rsid w:val="003C0A8D"/>
    <w:rsid w:val="003C383D"/>
    <w:rsid w:val="003D2B9D"/>
    <w:rsid w:val="003D5698"/>
    <w:rsid w:val="003D7571"/>
    <w:rsid w:val="003F0B67"/>
    <w:rsid w:val="003F1329"/>
    <w:rsid w:val="00410DE4"/>
    <w:rsid w:val="00414CAA"/>
    <w:rsid w:val="004219C1"/>
    <w:rsid w:val="00432899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92178"/>
    <w:rsid w:val="00497F15"/>
    <w:rsid w:val="004A0D27"/>
    <w:rsid w:val="004B4900"/>
    <w:rsid w:val="004B4C3F"/>
    <w:rsid w:val="004B4DBA"/>
    <w:rsid w:val="004D2037"/>
    <w:rsid w:val="004D715E"/>
    <w:rsid w:val="004F6240"/>
    <w:rsid w:val="004F68C1"/>
    <w:rsid w:val="00501869"/>
    <w:rsid w:val="00512B8E"/>
    <w:rsid w:val="00520B43"/>
    <w:rsid w:val="00527012"/>
    <w:rsid w:val="005339BC"/>
    <w:rsid w:val="005339D1"/>
    <w:rsid w:val="0053572A"/>
    <w:rsid w:val="0054068D"/>
    <w:rsid w:val="005425A2"/>
    <w:rsid w:val="0055688B"/>
    <w:rsid w:val="00556AB2"/>
    <w:rsid w:val="00562A9E"/>
    <w:rsid w:val="00563922"/>
    <w:rsid w:val="00565E8C"/>
    <w:rsid w:val="00583025"/>
    <w:rsid w:val="00583B16"/>
    <w:rsid w:val="005877C7"/>
    <w:rsid w:val="005902E5"/>
    <w:rsid w:val="0059705E"/>
    <w:rsid w:val="005A039D"/>
    <w:rsid w:val="005A5269"/>
    <w:rsid w:val="005A5906"/>
    <w:rsid w:val="005A7C44"/>
    <w:rsid w:val="005B1744"/>
    <w:rsid w:val="005B63E4"/>
    <w:rsid w:val="005B7203"/>
    <w:rsid w:val="005C4ED4"/>
    <w:rsid w:val="005C5499"/>
    <w:rsid w:val="005C56DB"/>
    <w:rsid w:val="005D3AF7"/>
    <w:rsid w:val="005E3025"/>
    <w:rsid w:val="005E41AE"/>
    <w:rsid w:val="005E7558"/>
    <w:rsid w:val="005F3A0F"/>
    <w:rsid w:val="00602D4F"/>
    <w:rsid w:val="00615521"/>
    <w:rsid w:val="00617E5F"/>
    <w:rsid w:val="00620FEB"/>
    <w:rsid w:val="00630EB4"/>
    <w:rsid w:val="00637B82"/>
    <w:rsid w:val="006420F3"/>
    <w:rsid w:val="00673782"/>
    <w:rsid w:val="00674AE7"/>
    <w:rsid w:val="00676E20"/>
    <w:rsid w:val="00677CA0"/>
    <w:rsid w:val="00682DDE"/>
    <w:rsid w:val="006843CC"/>
    <w:rsid w:val="00686A7C"/>
    <w:rsid w:val="00691AD0"/>
    <w:rsid w:val="00695436"/>
    <w:rsid w:val="006B0DF5"/>
    <w:rsid w:val="006B604C"/>
    <w:rsid w:val="006C6DDB"/>
    <w:rsid w:val="006D3E59"/>
    <w:rsid w:val="00703071"/>
    <w:rsid w:val="00712F65"/>
    <w:rsid w:val="00723785"/>
    <w:rsid w:val="007262B7"/>
    <w:rsid w:val="00727120"/>
    <w:rsid w:val="007308F8"/>
    <w:rsid w:val="00733F33"/>
    <w:rsid w:val="007363E5"/>
    <w:rsid w:val="00740A47"/>
    <w:rsid w:val="00740E41"/>
    <w:rsid w:val="00746DA5"/>
    <w:rsid w:val="00753EB6"/>
    <w:rsid w:val="00760623"/>
    <w:rsid w:val="00771EEE"/>
    <w:rsid w:val="007730EE"/>
    <w:rsid w:val="00781689"/>
    <w:rsid w:val="0078281E"/>
    <w:rsid w:val="00785546"/>
    <w:rsid w:val="007A6A55"/>
    <w:rsid w:val="007A7B99"/>
    <w:rsid w:val="007B3586"/>
    <w:rsid w:val="007F2101"/>
    <w:rsid w:val="008000FC"/>
    <w:rsid w:val="0080079E"/>
    <w:rsid w:val="00802D5C"/>
    <w:rsid w:val="0081172D"/>
    <w:rsid w:val="00813C7E"/>
    <w:rsid w:val="0081664B"/>
    <w:rsid w:val="0081756C"/>
    <w:rsid w:val="00832296"/>
    <w:rsid w:val="008341AA"/>
    <w:rsid w:val="00834335"/>
    <w:rsid w:val="00835A55"/>
    <w:rsid w:val="0084033B"/>
    <w:rsid w:val="008510E0"/>
    <w:rsid w:val="00857D76"/>
    <w:rsid w:val="00857D9E"/>
    <w:rsid w:val="00860C23"/>
    <w:rsid w:val="00862060"/>
    <w:rsid w:val="00874123"/>
    <w:rsid w:val="00883C01"/>
    <w:rsid w:val="008852E6"/>
    <w:rsid w:val="008877D1"/>
    <w:rsid w:val="00891599"/>
    <w:rsid w:val="008B2C3B"/>
    <w:rsid w:val="008B2CC5"/>
    <w:rsid w:val="008B36BF"/>
    <w:rsid w:val="008C50CE"/>
    <w:rsid w:val="008D01BC"/>
    <w:rsid w:val="008D11AE"/>
    <w:rsid w:val="008D1985"/>
    <w:rsid w:val="008D7462"/>
    <w:rsid w:val="008E1F61"/>
    <w:rsid w:val="008E37D8"/>
    <w:rsid w:val="008E60AB"/>
    <w:rsid w:val="008F03EF"/>
    <w:rsid w:val="00900FB5"/>
    <w:rsid w:val="00903633"/>
    <w:rsid w:val="00910209"/>
    <w:rsid w:val="009130F5"/>
    <w:rsid w:val="00913EEC"/>
    <w:rsid w:val="00922509"/>
    <w:rsid w:val="009556C5"/>
    <w:rsid w:val="0095763B"/>
    <w:rsid w:val="00960D6D"/>
    <w:rsid w:val="00964AFB"/>
    <w:rsid w:val="0097025F"/>
    <w:rsid w:val="00992C9E"/>
    <w:rsid w:val="00993AE3"/>
    <w:rsid w:val="009A194D"/>
    <w:rsid w:val="009A204C"/>
    <w:rsid w:val="009A43DA"/>
    <w:rsid w:val="009B35C7"/>
    <w:rsid w:val="009B3C4D"/>
    <w:rsid w:val="009B3FF2"/>
    <w:rsid w:val="009B6D8C"/>
    <w:rsid w:val="009C1C2D"/>
    <w:rsid w:val="009D19C7"/>
    <w:rsid w:val="009D3C9B"/>
    <w:rsid w:val="009F1105"/>
    <w:rsid w:val="009F2C84"/>
    <w:rsid w:val="009F4145"/>
    <w:rsid w:val="00A15846"/>
    <w:rsid w:val="00A17DBE"/>
    <w:rsid w:val="00A2263A"/>
    <w:rsid w:val="00A27E4C"/>
    <w:rsid w:val="00A40914"/>
    <w:rsid w:val="00A4091A"/>
    <w:rsid w:val="00A4663E"/>
    <w:rsid w:val="00A507DE"/>
    <w:rsid w:val="00A523B8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AE6781"/>
    <w:rsid w:val="00AF028E"/>
    <w:rsid w:val="00AF09BE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4198E"/>
    <w:rsid w:val="00B42616"/>
    <w:rsid w:val="00B456B9"/>
    <w:rsid w:val="00B45E11"/>
    <w:rsid w:val="00B478FE"/>
    <w:rsid w:val="00B50C3A"/>
    <w:rsid w:val="00B5100B"/>
    <w:rsid w:val="00B51461"/>
    <w:rsid w:val="00B558CF"/>
    <w:rsid w:val="00B65B2A"/>
    <w:rsid w:val="00B70720"/>
    <w:rsid w:val="00B8077F"/>
    <w:rsid w:val="00B80845"/>
    <w:rsid w:val="00B8205C"/>
    <w:rsid w:val="00B86EE0"/>
    <w:rsid w:val="00BA469D"/>
    <w:rsid w:val="00BB49CD"/>
    <w:rsid w:val="00BC317E"/>
    <w:rsid w:val="00BC6D99"/>
    <w:rsid w:val="00BD0348"/>
    <w:rsid w:val="00BD667F"/>
    <w:rsid w:val="00BE1E64"/>
    <w:rsid w:val="00BE237A"/>
    <w:rsid w:val="00BE39E8"/>
    <w:rsid w:val="00BE5D16"/>
    <w:rsid w:val="00BE6FE8"/>
    <w:rsid w:val="00BE750C"/>
    <w:rsid w:val="00BF34A5"/>
    <w:rsid w:val="00BF5429"/>
    <w:rsid w:val="00C05BEE"/>
    <w:rsid w:val="00C06A96"/>
    <w:rsid w:val="00C10D2B"/>
    <w:rsid w:val="00C11248"/>
    <w:rsid w:val="00C150D9"/>
    <w:rsid w:val="00C21D20"/>
    <w:rsid w:val="00C21EB5"/>
    <w:rsid w:val="00C26DEF"/>
    <w:rsid w:val="00C37B81"/>
    <w:rsid w:val="00C42194"/>
    <w:rsid w:val="00C44EF2"/>
    <w:rsid w:val="00C573B1"/>
    <w:rsid w:val="00C6094D"/>
    <w:rsid w:val="00C62D7A"/>
    <w:rsid w:val="00C63869"/>
    <w:rsid w:val="00C6405B"/>
    <w:rsid w:val="00C772A3"/>
    <w:rsid w:val="00C77E3B"/>
    <w:rsid w:val="00C81396"/>
    <w:rsid w:val="00C82FD2"/>
    <w:rsid w:val="00C971A0"/>
    <w:rsid w:val="00CA69EE"/>
    <w:rsid w:val="00CB2505"/>
    <w:rsid w:val="00CB4398"/>
    <w:rsid w:val="00CC1AF7"/>
    <w:rsid w:val="00CC2A2F"/>
    <w:rsid w:val="00CC396C"/>
    <w:rsid w:val="00CC60C4"/>
    <w:rsid w:val="00CE7A7D"/>
    <w:rsid w:val="00D10079"/>
    <w:rsid w:val="00D144AD"/>
    <w:rsid w:val="00D15181"/>
    <w:rsid w:val="00D23FFF"/>
    <w:rsid w:val="00D241C4"/>
    <w:rsid w:val="00D33B3A"/>
    <w:rsid w:val="00D36614"/>
    <w:rsid w:val="00D36CBE"/>
    <w:rsid w:val="00D453B6"/>
    <w:rsid w:val="00D5290F"/>
    <w:rsid w:val="00D52A3E"/>
    <w:rsid w:val="00D546B8"/>
    <w:rsid w:val="00D55014"/>
    <w:rsid w:val="00D55412"/>
    <w:rsid w:val="00D72932"/>
    <w:rsid w:val="00D75EBB"/>
    <w:rsid w:val="00D90255"/>
    <w:rsid w:val="00D9172E"/>
    <w:rsid w:val="00D91C9E"/>
    <w:rsid w:val="00DA1253"/>
    <w:rsid w:val="00DC19C1"/>
    <w:rsid w:val="00DC6770"/>
    <w:rsid w:val="00DD0FCF"/>
    <w:rsid w:val="00DD26C1"/>
    <w:rsid w:val="00DE57E0"/>
    <w:rsid w:val="00DE78F8"/>
    <w:rsid w:val="00DF13B5"/>
    <w:rsid w:val="00DF19DA"/>
    <w:rsid w:val="00DF6A63"/>
    <w:rsid w:val="00DF6D92"/>
    <w:rsid w:val="00E07126"/>
    <w:rsid w:val="00E24036"/>
    <w:rsid w:val="00E36435"/>
    <w:rsid w:val="00E36734"/>
    <w:rsid w:val="00E41506"/>
    <w:rsid w:val="00E57643"/>
    <w:rsid w:val="00E7705E"/>
    <w:rsid w:val="00E7714E"/>
    <w:rsid w:val="00E832A2"/>
    <w:rsid w:val="00E95D50"/>
    <w:rsid w:val="00E96EE6"/>
    <w:rsid w:val="00EA127A"/>
    <w:rsid w:val="00EB6DD3"/>
    <w:rsid w:val="00EB7269"/>
    <w:rsid w:val="00EC43E5"/>
    <w:rsid w:val="00ED0384"/>
    <w:rsid w:val="00ED20FD"/>
    <w:rsid w:val="00EE00A5"/>
    <w:rsid w:val="00EF054C"/>
    <w:rsid w:val="00EF3849"/>
    <w:rsid w:val="00F12C85"/>
    <w:rsid w:val="00F15195"/>
    <w:rsid w:val="00F171F8"/>
    <w:rsid w:val="00F17EB6"/>
    <w:rsid w:val="00F21247"/>
    <w:rsid w:val="00F229CB"/>
    <w:rsid w:val="00F26C9A"/>
    <w:rsid w:val="00F432AE"/>
    <w:rsid w:val="00F51340"/>
    <w:rsid w:val="00F529DA"/>
    <w:rsid w:val="00F55691"/>
    <w:rsid w:val="00F6398B"/>
    <w:rsid w:val="00F71181"/>
    <w:rsid w:val="00F7186F"/>
    <w:rsid w:val="00F77D49"/>
    <w:rsid w:val="00F824F6"/>
    <w:rsid w:val="00F84026"/>
    <w:rsid w:val="00F93722"/>
    <w:rsid w:val="00FA01AF"/>
    <w:rsid w:val="00FA20E8"/>
    <w:rsid w:val="00FA544D"/>
    <w:rsid w:val="00FA58C6"/>
    <w:rsid w:val="00FA79AD"/>
    <w:rsid w:val="00FA7C6E"/>
    <w:rsid w:val="00FC4DB8"/>
    <w:rsid w:val="00FD455B"/>
    <w:rsid w:val="00FD4C4E"/>
    <w:rsid w:val="00FD76CD"/>
    <w:rsid w:val="00FE2C02"/>
    <w:rsid w:val="00FE3E3A"/>
    <w:rsid w:val="00FE706F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EC431-D1EB-4056-BE55-69FE1B5B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6343</TotalTime>
  <Pages>24</Pages>
  <Words>5430</Words>
  <Characters>30951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396</cp:revision>
  <dcterms:created xsi:type="dcterms:W3CDTF">2020-04-01T07:26:00Z</dcterms:created>
  <dcterms:modified xsi:type="dcterms:W3CDTF">2020-05-26T14:18:00Z</dcterms:modified>
</cp:coreProperties>
</file>