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On Long Term Thinking</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often think about where we are going and unless we think about where we are going, then when we think about what we should do based on the facts of the future, we think too short term.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people who changed the world the most saw a certain future, and focused on creating it.**</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obvious when started out loud, long term thinking always beats short term thinking in the long run. You are going to be here your whole life, and your whole life may be far longer than you are expecting. So, you may as well plan for it.</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good people in life hack moral relativism and think super long term.**</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awareness is probably longer than you think it is. As expected value equation… it is infinite. No reason not to believe it.</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Irrational rationality means for acting in accordance with statistics:</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there is a .000000000000000000001% chance that quantum immortality is real, then you should expect to live infinitely. Any number multiplied by infinity is infinity after all.</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of course the promise of many religions, an eternal utopia. </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layer of meaning in reality means rewarding better choices and punishing worst choices.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