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This Isn't Base Reality [Does That Matter]</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 we are, on earth, as human beings in the 21st century. It's crazy right, technology is just booming, the internet has connected our world like a thriving brain, and we are building machine to TAP INTO OUR FUCKING BRAINS and read our thoughts.</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following are things created over the past 150 years.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Computers</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Smartphones</w:t>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Internet</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Cars</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Airplanes</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Rockets</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 &amp; robotics</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Antibiotics</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Nuclear power</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Lasers</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Sonar &amp; radar</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Radio &amp; TV</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Microwave oven</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Instant coffee</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Toilet paper</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Velcro</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don't think that the next 150 years will bring some WILD SHIT. Then you need a heavy dose of WAKE THE FUCK UP JACKASS.</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step back a bit,</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brain is made our neurons,</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neurons and their inputs create your REALITY.</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 hit your head really hard and get some mental static, it's like an old tv experiencing some signal loss. Once we can control each NEURON, we can control the ENTIRE EXPERIENCE including taste, touch, smell, sight, and hearing. Oh yeah, that's everything…. Do you really think 150 more years with a human race who is now equipped with everything from the past 150 years won't figure out how to expand the neuralink to a full-brain. I mean the fact of the matter is that many people estimate a human level artificial intelligence by 2050, which means the tech would be available far sooner.</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13.6 billion years in, and your spawn point is within 150 years of being able to simulate a new reality to the user.</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