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5D554FE6" w14:textId="0689DECE" w:rsidR="00707D7F" w:rsidRDefault="00000000" w:rsidP="00707D7F">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07D7F">
        <w:rPr>
          <w:rFonts w:ascii="Arial" w:hAnsi="Arial" w:cs="Arial"/>
          <w:lang w:val="en"/>
        </w:rPr>
        <w:t>Shyamala Iyer</w:t>
      </w:r>
    </w:p>
    <w:p w14:paraId="677DC39A" w14:textId="1A4674D6" w:rsidR="00DD5008" w:rsidRDefault="00DD5008" w:rsidP="00707D7F">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07D7F">
        <w:rPr>
          <w:rFonts w:ascii="Arial" w:hAnsi="Arial" w:cs="Arial"/>
          <w:lang w:val="en"/>
        </w:rPr>
        <w:t>shyamsushiyer@gmail.com</w:t>
      </w:r>
    </w:p>
    <w:p w14:paraId="4D7EECF3" w14:textId="0C02C95E"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07D7F" w:rsidRPr="007B779A">
        <w:rPr>
          <w:rFonts w:ascii="Arial" w:hAnsi="Arial" w:cs="Arial"/>
          <w:b/>
          <w:bCs/>
          <w:lang w:val="en"/>
        </w:rPr>
        <w:t>E</w:t>
      </w:r>
      <w:proofErr w:type="spellStart"/>
      <w:r w:rsidR="00707D7F" w:rsidRPr="00707D7F">
        <w:rPr>
          <w:rFonts w:ascii="Arial" w:hAnsi="Arial" w:cs="Arial"/>
          <w:b/>
          <w:bCs/>
        </w:rPr>
        <w:t>ngineering</w:t>
      </w:r>
      <w:proofErr w:type="spellEnd"/>
      <w:r w:rsidR="00707D7F" w:rsidRPr="00707D7F">
        <w:rPr>
          <w:rFonts w:ascii="Arial" w:hAnsi="Arial" w:cs="Arial"/>
        </w:rPr>
        <w:t xml:space="preserve">: Summarize and </w:t>
      </w:r>
      <w:proofErr w:type="spellStart"/>
      <w:r w:rsidR="00707D7F" w:rsidRPr="00707D7F">
        <w:rPr>
          <w:rFonts w:ascii="Arial" w:hAnsi="Arial" w:cs="Arial"/>
        </w:rPr>
        <w:t>analyze</w:t>
      </w:r>
      <w:proofErr w:type="spellEnd"/>
      <w:r w:rsidR="00707D7F" w:rsidRPr="00707D7F">
        <w:rPr>
          <w:rFonts w:ascii="Arial" w:hAnsi="Arial" w:cs="Arial"/>
        </w:rPr>
        <w:t xml:space="preserve"> research on advancements in renewable energy technologies.</w:t>
      </w:r>
    </w:p>
    <w:p w14:paraId="19551121" w14:textId="0251F071" w:rsidR="00234B39" w:rsidRDefault="00000000" w:rsidP="007B779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7B779A" w:rsidRPr="007B779A">
          <w:rPr>
            <w:rStyle w:val="Hyperlink"/>
            <w:rFonts w:ascii="Arial" w:hAnsi="Arial" w:cs="Arial"/>
            <w:lang w:val="en"/>
          </w:rPr>
          <w:t>Incorporation of renewable distributed micro-generation technologies in power sector using microgrids</w:t>
        </w:r>
      </w:hyperlink>
      <w:r w:rsidR="007B779A">
        <w:rPr>
          <w:rFonts w:ascii="Arial" w:hAnsi="Arial" w:cs="Arial"/>
          <w:lang w:val="en"/>
        </w:rPr>
        <w:t xml:space="preserve"> </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A9DBA6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B779A" w:rsidRPr="007B779A">
        <w:rPr>
          <w:rFonts w:ascii="Arial" w:hAnsi="Arial" w:cs="Arial"/>
        </w:rPr>
        <w:t xml:space="preserve">Write a summary for the file attached. Word limit is 100. The theme is to summarize and </w:t>
      </w:r>
      <w:proofErr w:type="spellStart"/>
      <w:r w:rsidR="007B779A" w:rsidRPr="007B779A">
        <w:rPr>
          <w:rFonts w:ascii="Arial" w:hAnsi="Arial" w:cs="Arial"/>
        </w:rPr>
        <w:t>analyze</w:t>
      </w:r>
      <w:proofErr w:type="spellEnd"/>
      <w:r w:rsidR="007B779A" w:rsidRPr="007B779A">
        <w:rPr>
          <w:rFonts w:ascii="Arial" w:hAnsi="Arial" w:cs="Arial"/>
        </w:rPr>
        <w:t xml:space="preserve"> research on advancements in renewable energy technologies.</w:t>
      </w:r>
    </w:p>
    <w:p w14:paraId="2A52CA37" w14:textId="6F8E2A3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7B779A" w:rsidRPr="007B779A">
        <w:t xml:space="preserve"> </w:t>
      </w:r>
      <w:r w:rsidR="007B779A" w:rsidRPr="007B779A">
        <w:rPr>
          <w:rFonts w:ascii="Arial" w:hAnsi="Arial" w:cs="Arial"/>
        </w:rPr>
        <w:t>The paper discusses advancements in renewable energy technologies through the lens of distributed generation (DG) and microgrids. It highlights the shift from large, centralized power plants to smaller, renewable-based systems like photovoltaic and wind energy, which can be more flexible and environmentally friendly. The challenges of integrating these renewable sources into power grids, such as intermittency and power management, are addressed through technologies like energy storage systems and microgrids. The paper underscores the growing global investment in renewable energy and the need for regulatory and market adaptations.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938DC4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062A3" w:rsidRPr="00D062A3">
        <w:rPr>
          <w:rFonts w:ascii="Arial" w:hAnsi="Arial" w:cs="Arial"/>
        </w:rPr>
        <w:t xml:space="preserve">Instead of using phrases like "The paper </w:t>
      </w:r>
      <w:r w:rsidR="00D062A3" w:rsidRPr="00D062A3">
        <w:rPr>
          <w:rFonts w:ascii="Arial" w:hAnsi="Arial" w:cs="Arial"/>
        </w:rPr>
        <w:t>discusses”, “It</w:t>
      </w:r>
      <w:r w:rsidR="00D062A3" w:rsidRPr="00D062A3">
        <w:rPr>
          <w:rFonts w:ascii="Arial" w:hAnsi="Arial" w:cs="Arial"/>
        </w:rPr>
        <w:t xml:space="preserve"> highlights " and "The paper underscores", draw definitive statements that are complete by itself</w:t>
      </w:r>
    </w:p>
    <w:p w14:paraId="3E7B3821" w14:textId="2EA524F0"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062A3" w:rsidRPr="00D062A3">
        <w:rPr>
          <w:rFonts w:ascii="Arial" w:hAnsi="Arial" w:cs="Arial"/>
        </w:rPr>
        <w:t>Technological advancements in renewable energy are driving a shift from centralized power plants to smaller, distributed generation (DG) systems like photovoltaic and wind energy. These systems offer flexibility and reduce environmental impact. Integrating renewable sources into the power grid presents challenges such as intermittency and power management, which are addressed by energy storage systems and microgrids. Global investment in renewable energy is rising, and regulatory frameworks must adapt to ensure effective deployment of these technologies in modern power systems.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7D1DB9A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062A3" w:rsidRPr="00D062A3">
        <w:rPr>
          <w:rFonts w:ascii="Arial" w:hAnsi="Arial" w:cs="Arial"/>
        </w:rPr>
        <w:t>The summary should also incorporate findings and applications, within the 100 words</w:t>
      </w:r>
    </w:p>
    <w:p w14:paraId="5EC7C626" w14:textId="1BF5E7EA" w:rsidR="00234B39" w:rsidRDefault="00000000" w:rsidP="00D062A3">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062A3" w:rsidRPr="00D062A3">
        <w:rPr>
          <w:rFonts w:ascii="Arial" w:hAnsi="Arial" w:cs="Arial"/>
        </w:rPr>
        <w:t>Advancements in renewable energy technologies are transforming power generation from centralized plants to distributed systems, such as photovoltaics and wind turbines. Key findings include the increased flexibility and environmental benefits of these technologies. However, integrating them poses challenges like intermittency and grid management, which are mitigated by energy storage solutions and microgrids. The research highlights that global investment in renewables is expanding, and adapting regulatory frameworks is crucial for maximizing these technologies' effectiveness and ensuring reliable power supply. Applications include enhanced grid resilience and reduced carbon emissions.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B5F366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062A3" w:rsidRPr="00D062A3">
        <w:rPr>
          <w:rFonts w:ascii="Arial" w:hAnsi="Arial" w:cs="Arial"/>
        </w:rPr>
        <w:t xml:space="preserve">Avoid words like "The research highlights ", incorporate key insights, potential implication and </w:t>
      </w:r>
      <w:proofErr w:type="gramStart"/>
      <w:r w:rsidR="00D062A3" w:rsidRPr="00D062A3">
        <w:rPr>
          <w:rFonts w:ascii="Arial" w:hAnsi="Arial" w:cs="Arial"/>
        </w:rPr>
        <w:t>application ,</w:t>
      </w:r>
      <w:proofErr w:type="gramEnd"/>
      <w:r w:rsidR="00D062A3" w:rsidRPr="00D062A3">
        <w:rPr>
          <w:rFonts w:ascii="Arial" w:hAnsi="Arial" w:cs="Arial"/>
        </w:rPr>
        <w:t xml:space="preserve"> each in a line. Maximum word count is 100</w:t>
      </w:r>
    </w:p>
    <w:p w14:paraId="13093686" w14:textId="28F59AE1"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062A3" w:rsidRPr="00D062A3">
        <w:rPr>
          <w:rFonts w:ascii="Arial" w:hAnsi="Arial" w:cs="Arial"/>
        </w:rPr>
        <w:t>Advancements in renewable energy technologies are shifting power generation from centralized plants to distributed systems like photovoltaics and wind turbines. Key insights include improved flexibility and reduced environmental impact of these systems. Potential implications involve overcoming integration challenges such as intermittency and grid management through energy storage and microgrids. Applications of these technologies include enhanced grid resilience, reduced carbon emissions, and increased global investment in renewable energy. Adaptation of regulatory frameworks is essential for effective deployment and management.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B6A9905" w14:textId="77777777" w:rsidR="00504672" w:rsidRPr="00504672" w:rsidRDefault="00000000" w:rsidP="00504672">
      <w:pPr>
        <w:pStyle w:val="NormalWeb"/>
        <w:divId w:val="465317432"/>
        <w:rPr>
          <w:rFonts w:eastAsia="Times New Roman"/>
          <w:lang w:eastAsia="en-IN"/>
        </w:rPr>
      </w:pPr>
      <w:r>
        <w:rPr>
          <w:rStyle w:val="Strong"/>
          <w:rFonts w:ascii="Arial" w:hAnsi="Arial" w:cs="Arial"/>
          <w:lang w:val="en"/>
        </w:rPr>
        <w:t xml:space="preserve">Key Insights </w:t>
      </w:r>
      <w:r w:rsidR="00504672" w:rsidRPr="00504672">
        <w:rPr>
          <w:rFonts w:eastAsia="Times New Roman"/>
          <w:lang w:eastAsia="en-IN"/>
        </w:rPr>
        <w:t>The research paper reveals that renewable energy technologies are rapidly evolving, shifting power generation from large, centralized plants to smaller, distributed systems like photovoltaics and wind turbines. Key insights include:</w:t>
      </w:r>
    </w:p>
    <w:p w14:paraId="737D4103" w14:textId="77777777" w:rsidR="00504672" w:rsidRPr="00504672" w:rsidRDefault="00504672" w:rsidP="00504672">
      <w:pPr>
        <w:numPr>
          <w:ilvl w:val="0"/>
          <w:numId w:val="9"/>
        </w:numPr>
        <w:spacing w:before="100" w:beforeAutospacing="1" w:after="100" w:afterAutospacing="1"/>
        <w:divId w:val="465317432"/>
        <w:rPr>
          <w:rFonts w:eastAsia="Times New Roman"/>
          <w:lang w:eastAsia="en-IN"/>
        </w:rPr>
      </w:pPr>
      <w:r w:rsidRPr="00504672">
        <w:rPr>
          <w:rFonts w:eastAsia="Times New Roman"/>
          <w:b/>
          <w:bCs/>
          <w:lang w:eastAsia="en-IN"/>
        </w:rPr>
        <w:t>Increased Flexibility and Environmental Benefits:</w:t>
      </w:r>
      <w:r w:rsidRPr="00504672">
        <w:rPr>
          <w:rFonts w:eastAsia="Times New Roman"/>
          <w:lang w:eastAsia="en-IN"/>
        </w:rPr>
        <w:t xml:space="preserve"> Distributed systems offer greater flexibility and have a significantly lower environmental impact compared to traditional power plants.</w:t>
      </w:r>
    </w:p>
    <w:p w14:paraId="2733F505" w14:textId="77777777" w:rsidR="00504672" w:rsidRPr="00504672" w:rsidRDefault="00504672" w:rsidP="00504672">
      <w:pPr>
        <w:numPr>
          <w:ilvl w:val="0"/>
          <w:numId w:val="9"/>
        </w:numPr>
        <w:spacing w:before="100" w:beforeAutospacing="1" w:after="100" w:afterAutospacing="1"/>
        <w:divId w:val="465317432"/>
        <w:rPr>
          <w:rFonts w:eastAsia="Times New Roman"/>
          <w:lang w:eastAsia="en-IN"/>
        </w:rPr>
      </w:pPr>
      <w:r w:rsidRPr="00504672">
        <w:rPr>
          <w:rFonts w:eastAsia="Times New Roman"/>
          <w:b/>
          <w:bCs/>
          <w:lang w:eastAsia="en-IN"/>
        </w:rPr>
        <w:t>Integration Challenges:</w:t>
      </w:r>
      <w:r w:rsidRPr="00504672">
        <w:rPr>
          <w:rFonts w:eastAsia="Times New Roman"/>
          <w:lang w:eastAsia="en-IN"/>
        </w:rPr>
        <w:t xml:space="preserve"> Integrating these renewable sources into existing power grids presents challenges such as intermittency and power management issues.</w:t>
      </w:r>
    </w:p>
    <w:p w14:paraId="0F4B8E12" w14:textId="77777777" w:rsidR="00504672" w:rsidRPr="00504672" w:rsidRDefault="00504672" w:rsidP="00504672">
      <w:pPr>
        <w:numPr>
          <w:ilvl w:val="0"/>
          <w:numId w:val="9"/>
        </w:numPr>
        <w:spacing w:before="100" w:beforeAutospacing="1" w:after="100" w:afterAutospacing="1"/>
        <w:divId w:val="465317432"/>
        <w:rPr>
          <w:rFonts w:eastAsia="Times New Roman"/>
          <w:lang w:eastAsia="en-IN"/>
        </w:rPr>
      </w:pPr>
      <w:r w:rsidRPr="00504672">
        <w:rPr>
          <w:rFonts w:eastAsia="Times New Roman"/>
          <w:b/>
          <w:bCs/>
          <w:lang w:eastAsia="en-IN"/>
        </w:rPr>
        <w:t>Solutions and Technologies:</w:t>
      </w:r>
      <w:r w:rsidRPr="00504672">
        <w:rPr>
          <w:rFonts w:eastAsia="Times New Roman"/>
          <w:lang w:eastAsia="en-IN"/>
        </w:rPr>
        <w:t xml:space="preserve"> Advances in energy storage systems and microgrid technologies are crucial for addressing these integration challenges, improving reliability and stability.</w:t>
      </w:r>
    </w:p>
    <w:p w14:paraId="6096066E" w14:textId="77777777" w:rsidR="00504672" w:rsidRPr="00504672" w:rsidRDefault="00504672" w:rsidP="00504672">
      <w:pPr>
        <w:numPr>
          <w:ilvl w:val="0"/>
          <w:numId w:val="9"/>
        </w:numPr>
        <w:spacing w:before="100" w:beforeAutospacing="1" w:after="100" w:afterAutospacing="1"/>
        <w:divId w:val="465317432"/>
        <w:rPr>
          <w:rFonts w:eastAsia="Times New Roman"/>
          <w:lang w:eastAsia="en-IN"/>
        </w:rPr>
      </w:pPr>
      <w:r w:rsidRPr="00504672">
        <w:rPr>
          <w:rFonts w:eastAsia="Times New Roman"/>
          <w:b/>
          <w:bCs/>
          <w:lang w:eastAsia="en-IN"/>
        </w:rPr>
        <w:t>Investment and Policy Needs:</w:t>
      </w:r>
      <w:r w:rsidRPr="00504672">
        <w:rPr>
          <w:rFonts w:eastAsia="Times New Roman"/>
          <w:lang w:eastAsia="en-IN"/>
        </w:rPr>
        <w:t xml:space="preserve"> There is a growing global investment in renewable energy. However, effective deployment requires adapting regulatory </w:t>
      </w:r>
      <w:r w:rsidRPr="00504672">
        <w:rPr>
          <w:rFonts w:eastAsia="Times New Roman"/>
          <w:lang w:eastAsia="en-IN"/>
        </w:rPr>
        <w:lastRenderedPageBreak/>
        <w:t>frameworks and market structures to support the integration and expansion of these technologies.</w:t>
      </w:r>
    </w:p>
    <w:p w14:paraId="76818525" w14:textId="24A99426" w:rsidR="00504672" w:rsidRPr="00504672" w:rsidRDefault="00504672" w:rsidP="00504672">
      <w:pPr>
        <w:spacing w:before="100" w:beforeAutospacing="1" w:after="100" w:afterAutospacing="1"/>
        <w:divId w:val="465317432"/>
        <w:rPr>
          <w:rFonts w:eastAsia="Times New Roman"/>
          <w:lang w:eastAsia="en-IN"/>
        </w:rPr>
      </w:pPr>
      <w:r w:rsidRPr="00504672">
        <w:rPr>
          <w:rFonts w:eastAsia="Times New Roman"/>
          <w:lang w:eastAsia="en-IN"/>
        </w:rPr>
        <w:t>These insights emphasize the need for continued innovation and supportive policies to maximize the potential of renewable energy systems.</w:t>
      </w:r>
      <w:r>
        <w:rPr>
          <w:rFonts w:eastAsia="Times New Roman"/>
          <w:lang w:eastAsia="en-IN"/>
        </w:rPr>
        <w:br/>
      </w:r>
    </w:p>
    <w:p w14:paraId="7104FD7C" w14:textId="77777777" w:rsidR="00504672" w:rsidRPr="00504672" w:rsidRDefault="00000000" w:rsidP="00504672">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504672" w:rsidRPr="00504672">
        <w:rPr>
          <w:rFonts w:ascii="Arial" w:hAnsi="Arial" w:cs="Arial"/>
        </w:rPr>
        <w:t>The research findings suggest several impactful applications and implications for renewable energy technologies:</w:t>
      </w:r>
    </w:p>
    <w:p w14:paraId="677D7255" w14:textId="77777777" w:rsidR="00504672" w:rsidRPr="00504672" w:rsidRDefault="00504672" w:rsidP="00504672">
      <w:pPr>
        <w:pStyle w:val="NormalWeb"/>
        <w:numPr>
          <w:ilvl w:val="0"/>
          <w:numId w:val="10"/>
        </w:numPr>
        <w:divId w:val="465317432"/>
        <w:rPr>
          <w:rFonts w:ascii="Arial" w:hAnsi="Arial" w:cs="Arial"/>
        </w:rPr>
      </w:pPr>
      <w:r w:rsidRPr="00504672">
        <w:rPr>
          <w:rFonts w:ascii="Arial" w:hAnsi="Arial" w:cs="Arial"/>
          <w:b/>
          <w:bCs/>
        </w:rPr>
        <w:t>Enhanced Grid Stability:</w:t>
      </w:r>
      <w:r w:rsidRPr="00504672">
        <w:rPr>
          <w:rFonts w:ascii="Arial" w:hAnsi="Arial" w:cs="Arial"/>
        </w:rPr>
        <w:t xml:space="preserve"> Advanced energy storage systems and microgrids can improve grid reliability by managing the intermittent nature of renewable sources, ensuring a steady power supply.</w:t>
      </w:r>
    </w:p>
    <w:p w14:paraId="5298237C" w14:textId="77777777" w:rsidR="00504672" w:rsidRPr="00504672" w:rsidRDefault="00504672" w:rsidP="00504672">
      <w:pPr>
        <w:pStyle w:val="NormalWeb"/>
        <w:numPr>
          <w:ilvl w:val="0"/>
          <w:numId w:val="10"/>
        </w:numPr>
        <w:divId w:val="465317432"/>
        <w:rPr>
          <w:rFonts w:ascii="Arial" w:hAnsi="Arial" w:cs="Arial"/>
        </w:rPr>
      </w:pPr>
      <w:r w:rsidRPr="00504672">
        <w:rPr>
          <w:rFonts w:ascii="Arial" w:hAnsi="Arial" w:cs="Arial"/>
          <w:b/>
          <w:bCs/>
        </w:rPr>
        <w:t>Sustainable Urban Development:</w:t>
      </w:r>
      <w:r w:rsidRPr="00504672">
        <w:rPr>
          <w:rFonts w:ascii="Arial" w:hAnsi="Arial" w:cs="Arial"/>
        </w:rPr>
        <w:t xml:space="preserve"> Distributed energy systems enable the integration of renewable power into urban environments, promoting sustainable city planning and reducing carbon footprints.</w:t>
      </w:r>
    </w:p>
    <w:p w14:paraId="31962882" w14:textId="77777777" w:rsidR="00504672" w:rsidRPr="00504672" w:rsidRDefault="00504672" w:rsidP="00504672">
      <w:pPr>
        <w:pStyle w:val="NormalWeb"/>
        <w:numPr>
          <w:ilvl w:val="0"/>
          <w:numId w:val="10"/>
        </w:numPr>
        <w:divId w:val="465317432"/>
        <w:rPr>
          <w:rFonts w:ascii="Arial" w:hAnsi="Arial" w:cs="Arial"/>
        </w:rPr>
      </w:pPr>
      <w:r w:rsidRPr="00504672">
        <w:rPr>
          <w:rFonts w:ascii="Arial" w:hAnsi="Arial" w:cs="Arial"/>
          <w:b/>
          <w:bCs/>
        </w:rPr>
        <w:t>Economic Opportunities:</w:t>
      </w:r>
      <w:r w:rsidRPr="00504672">
        <w:rPr>
          <w:rFonts w:ascii="Arial" w:hAnsi="Arial" w:cs="Arial"/>
        </w:rPr>
        <w:t xml:space="preserve"> Increasing global investment in renewable energy can drive job creation and stimulate economic growth in green technology sectors.</w:t>
      </w:r>
    </w:p>
    <w:p w14:paraId="689CE29C" w14:textId="77777777" w:rsidR="00504672" w:rsidRPr="00504672" w:rsidRDefault="00504672" w:rsidP="00504672">
      <w:pPr>
        <w:pStyle w:val="NormalWeb"/>
        <w:numPr>
          <w:ilvl w:val="0"/>
          <w:numId w:val="10"/>
        </w:numPr>
        <w:divId w:val="465317432"/>
        <w:rPr>
          <w:rFonts w:ascii="Arial" w:hAnsi="Arial" w:cs="Arial"/>
        </w:rPr>
      </w:pPr>
      <w:r w:rsidRPr="00504672">
        <w:rPr>
          <w:rFonts w:ascii="Arial" w:hAnsi="Arial" w:cs="Arial"/>
          <w:b/>
          <w:bCs/>
        </w:rPr>
        <w:t>Policy and Regulatory Reforms:</w:t>
      </w:r>
      <w:r w:rsidRPr="00504672">
        <w:rPr>
          <w:rFonts w:ascii="Arial" w:hAnsi="Arial" w:cs="Arial"/>
        </w:rPr>
        <w:t xml:space="preserve"> Adapting regulatory frameworks to accommodate new technologies is crucial for fostering innovation, ensuring effective integration, and maintaining grid resilience.</w:t>
      </w:r>
    </w:p>
    <w:p w14:paraId="65AE5D47" w14:textId="77777777" w:rsidR="00504672" w:rsidRPr="00504672" w:rsidRDefault="00504672" w:rsidP="00504672">
      <w:pPr>
        <w:pStyle w:val="NormalWeb"/>
        <w:numPr>
          <w:ilvl w:val="0"/>
          <w:numId w:val="10"/>
        </w:numPr>
        <w:divId w:val="465317432"/>
        <w:rPr>
          <w:rFonts w:ascii="Arial" w:hAnsi="Arial" w:cs="Arial"/>
        </w:rPr>
      </w:pPr>
      <w:r w:rsidRPr="00504672">
        <w:rPr>
          <w:rFonts w:ascii="Arial" w:hAnsi="Arial" w:cs="Arial"/>
          <w:b/>
          <w:bCs/>
        </w:rPr>
        <w:t>Energy Independence:</w:t>
      </w:r>
      <w:r w:rsidRPr="00504672">
        <w:rPr>
          <w:rFonts w:ascii="Arial" w:hAnsi="Arial" w:cs="Arial"/>
        </w:rPr>
        <w:t xml:space="preserve"> Decentralized systems can reduce dependency on centralized power plants, enhancing energy security and resilience against disruptions.</w:t>
      </w:r>
    </w:p>
    <w:p w14:paraId="6D3D4821" w14:textId="77777777" w:rsidR="00504672" w:rsidRPr="00504672" w:rsidRDefault="00504672" w:rsidP="00504672">
      <w:pPr>
        <w:pStyle w:val="NormalWeb"/>
        <w:divId w:val="465317432"/>
        <w:rPr>
          <w:rFonts w:ascii="Arial" w:hAnsi="Arial" w:cs="Arial"/>
        </w:rPr>
      </w:pPr>
      <w:r w:rsidRPr="00504672">
        <w:rPr>
          <w:rFonts w:ascii="Arial" w:hAnsi="Arial" w:cs="Arial"/>
        </w:rPr>
        <w:t>These applications underscore the transformative potential of renewable technologies in shaping a sustainable energy future.</w:t>
      </w:r>
    </w:p>
    <w:p w14:paraId="112EDBB6" w14:textId="630503EF" w:rsidR="00234B39" w:rsidRDefault="00234B39" w:rsidP="00504672">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396BD61"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r w:rsidR="00504672" w:rsidRPr="00504672">
        <w:t xml:space="preserve"> </w:t>
      </w:r>
      <w:r w:rsidR="00504672" w:rsidRPr="00504672">
        <w:rPr>
          <w:rFonts w:ascii="Arial" w:hAnsi="Arial" w:cs="Arial"/>
        </w:rPr>
        <w:t>The final summary clearly outlines key insights and applications of renewable energy technologies, emphasizing their benefits, integration challenges, and potential impacts. The information is concise and effectively communicates the research findings.</w:t>
      </w:r>
    </w:p>
    <w:p w14:paraId="2C98F647" w14:textId="7E102EFC"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04672" w:rsidRPr="00504672">
        <w:rPr>
          <w:rFonts w:ascii="Arial" w:hAnsi="Arial" w:cs="Arial"/>
        </w:rPr>
        <w:t>The summary accurately reflects the research's focus on advancements in renewable energy, integration challenges, and solutions such as energy storage. It correctly identifies the implications and applications based on the provided details.</w:t>
      </w:r>
    </w:p>
    <w:p w14:paraId="032CD3EB" w14:textId="2F22ED23"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504672" w:rsidRPr="00504672">
        <w:rPr>
          <w:rFonts w:ascii="Arial" w:hAnsi="Arial" w:cs="Arial"/>
        </w:rPr>
        <w:t>The insights and applications are highly relevant, addressing current issues in renewable energy integration, policy needs, and economic opportunities. They align well with the research's emphasis on improving grid stability and supporting sustainable development.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14D1168" w14:textId="77777777" w:rsidR="00504672" w:rsidRPr="00504672" w:rsidRDefault="00000000" w:rsidP="00504672">
      <w:pPr>
        <w:pStyle w:val="NormalWeb"/>
        <w:divId w:val="465317432"/>
        <w:rPr>
          <w:rFonts w:ascii="Arial" w:hAnsi="Arial" w:cs="Arial"/>
        </w:rPr>
      </w:pPr>
      <w:r>
        <w:rPr>
          <w:rStyle w:val="Strong"/>
          <w:rFonts w:ascii="Arial" w:hAnsi="Arial" w:cs="Arial"/>
          <w:lang w:val="en"/>
        </w:rPr>
        <w:lastRenderedPageBreak/>
        <w:t>(250 words max)</w:t>
      </w:r>
      <w:r>
        <w:rPr>
          <w:rFonts w:ascii="Arial" w:hAnsi="Arial" w:cs="Arial"/>
          <w:lang w:val="en"/>
        </w:rPr>
        <w:t xml:space="preserve">: </w:t>
      </w:r>
      <w:r w:rsidR="00504672" w:rsidRPr="00504672">
        <w:rPr>
          <w:rFonts w:ascii="Arial" w:hAnsi="Arial" w:cs="Arial"/>
        </w:rPr>
        <w:t xml:space="preserve">Reflecting on my learning experience with prompt engineering, I engaged in several techniques, including </w:t>
      </w:r>
      <w:r w:rsidR="00504672" w:rsidRPr="00504672">
        <w:rPr>
          <w:rFonts w:ascii="Arial" w:hAnsi="Arial" w:cs="Arial"/>
          <w:b/>
          <w:bCs/>
        </w:rPr>
        <w:t>zero-shot prompting</w:t>
      </w:r>
      <w:r w:rsidR="00504672" w:rsidRPr="00504672">
        <w:rPr>
          <w:rFonts w:ascii="Arial" w:hAnsi="Arial" w:cs="Arial"/>
        </w:rPr>
        <w:t xml:space="preserve"> and </w:t>
      </w:r>
      <w:r w:rsidR="00504672" w:rsidRPr="00504672">
        <w:rPr>
          <w:rFonts w:ascii="Arial" w:hAnsi="Arial" w:cs="Arial"/>
          <w:b/>
          <w:bCs/>
        </w:rPr>
        <w:t>chain-of-thought prompting</w:t>
      </w:r>
      <w:r w:rsidR="00504672" w:rsidRPr="00504672">
        <w:rPr>
          <w:rFonts w:ascii="Arial" w:hAnsi="Arial" w:cs="Arial"/>
        </w:rPr>
        <w:t>. Initially, I used zero-shot prompting by providing direct queries without examples. As I refined the prompts, I incorporated elements of chain-of-thought to iteratively focus on specific aspects of the research.</w:t>
      </w:r>
    </w:p>
    <w:p w14:paraId="54A170DC" w14:textId="77777777" w:rsidR="00504672" w:rsidRPr="00504672" w:rsidRDefault="00504672" w:rsidP="00504672">
      <w:pPr>
        <w:pStyle w:val="NormalWeb"/>
        <w:divId w:val="465317432"/>
        <w:rPr>
          <w:rFonts w:ascii="Arial" w:hAnsi="Arial" w:cs="Arial"/>
        </w:rPr>
      </w:pPr>
      <w:r w:rsidRPr="00504672">
        <w:rPr>
          <w:rFonts w:ascii="Arial" w:hAnsi="Arial" w:cs="Arial"/>
        </w:rPr>
        <w:t xml:space="preserve">Challenges included maintaining </w:t>
      </w:r>
      <w:r w:rsidRPr="00504672">
        <w:rPr>
          <w:rFonts w:ascii="Arial" w:hAnsi="Arial" w:cs="Arial"/>
          <w:b/>
          <w:bCs/>
        </w:rPr>
        <w:t>clarity</w:t>
      </w:r>
      <w:r w:rsidRPr="00504672">
        <w:rPr>
          <w:rFonts w:ascii="Arial" w:hAnsi="Arial" w:cs="Arial"/>
        </w:rPr>
        <w:t xml:space="preserve"> and </w:t>
      </w:r>
      <w:r w:rsidRPr="00504672">
        <w:rPr>
          <w:rFonts w:ascii="Arial" w:hAnsi="Arial" w:cs="Arial"/>
          <w:b/>
          <w:bCs/>
        </w:rPr>
        <w:t>accuracy</w:t>
      </w:r>
      <w:r w:rsidRPr="00504672">
        <w:rPr>
          <w:rFonts w:ascii="Arial" w:hAnsi="Arial" w:cs="Arial"/>
        </w:rPr>
        <w:t xml:space="preserve"> within word limits while ensuring </w:t>
      </w:r>
      <w:r w:rsidRPr="00504672">
        <w:rPr>
          <w:rFonts w:ascii="Arial" w:hAnsi="Arial" w:cs="Arial"/>
          <w:b/>
          <w:bCs/>
        </w:rPr>
        <w:t>relevance</w:t>
      </w:r>
      <w:r w:rsidRPr="00504672">
        <w:rPr>
          <w:rFonts w:ascii="Arial" w:hAnsi="Arial" w:cs="Arial"/>
        </w:rPr>
        <w:t xml:space="preserve">. I adjusted prompts by integrating feedback and leveraging </w:t>
      </w:r>
      <w:r w:rsidRPr="00504672">
        <w:rPr>
          <w:rFonts w:ascii="Arial" w:hAnsi="Arial" w:cs="Arial"/>
          <w:b/>
          <w:bCs/>
        </w:rPr>
        <w:t>self-consistency</w:t>
      </w:r>
      <w:r w:rsidRPr="00504672">
        <w:rPr>
          <w:rFonts w:ascii="Arial" w:hAnsi="Arial" w:cs="Arial"/>
        </w:rPr>
        <w:t xml:space="preserve"> to enhance response quality. This iterative refinement process, though not formally structured as </w:t>
      </w:r>
      <w:r w:rsidRPr="00504672">
        <w:rPr>
          <w:rFonts w:ascii="Arial" w:hAnsi="Arial" w:cs="Arial"/>
          <w:b/>
          <w:bCs/>
        </w:rPr>
        <w:t>prompt chaining</w:t>
      </w:r>
      <w:r w:rsidRPr="00504672">
        <w:rPr>
          <w:rFonts w:ascii="Arial" w:hAnsi="Arial" w:cs="Arial"/>
        </w:rPr>
        <w:t>, involved adjusting prompts based on prior outputs to better target the necessary information.</w:t>
      </w:r>
    </w:p>
    <w:p w14:paraId="50739CF6" w14:textId="77777777" w:rsidR="00504672" w:rsidRPr="00504672" w:rsidRDefault="00504672" w:rsidP="00504672">
      <w:pPr>
        <w:pStyle w:val="NormalWeb"/>
        <w:divId w:val="465317432"/>
        <w:rPr>
          <w:rFonts w:ascii="Arial" w:hAnsi="Arial" w:cs="Arial"/>
        </w:rPr>
      </w:pPr>
      <w:r w:rsidRPr="00504672">
        <w:rPr>
          <w:rFonts w:ascii="Arial" w:hAnsi="Arial" w:cs="Arial"/>
        </w:rPr>
        <w:t xml:space="preserve">I did not utilize more advanced techniques like </w:t>
      </w:r>
      <w:r w:rsidRPr="00504672">
        <w:rPr>
          <w:rFonts w:ascii="Arial" w:hAnsi="Arial" w:cs="Arial"/>
          <w:b/>
          <w:bCs/>
        </w:rPr>
        <w:t>retrieval augmented generation</w:t>
      </w:r>
      <w:r w:rsidRPr="00504672">
        <w:rPr>
          <w:rFonts w:ascii="Arial" w:hAnsi="Arial" w:cs="Arial"/>
        </w:rPr>
        <w:t xml:space="preserve"> or </w:t>
      </w:r>
      <w:r w:rsidRPr="00504672">
        <w:rPr>
          <w:rFonts w:ascii="Arial" w:hAnsi="Arial" w:cs="Arial"/>
          <w:b/>
          <w:bCs/>
        </w:rPr>
        <w:t>graph prompting</w:t>
      </w:r>
      <w:r w:rsidRPr="00504672">
        <w:rPr>
          <w:rFonts w:ascii="Arial" w:hAnsi="Arial" w:cs="Arial"/>
        </w:rPr>
        <w:t xml:space="preserve">, as the focus was on direct summarization and insight extraction. However, the experience highlighted the importance of </w:t>
      </w:r>
      <w:r w:rsidRPr="00504672">
        <w:rPr>
          <w:rFonts w:ascii="Arial" w:hAnsi="Arial" w:cs="Arial"/>
          <w:b/>
          <w:bCs/>
        </w:rPr>
        <w:t>directional stimulus prompting</w:t>
      </w:r>
      <w:r w:rsidRPr="00504672">
        <w:rPr>
          <w:rFonts w:ascii="Arial" w:hAnsi="Arial" w:cs="Arial"/>
        </w:rPr>
        <w:t xml:space="preserve"> to guide responses and ensure they met specific criteria.</w:t>
      </w:r>
    </w:p>
    <w:p w14:paraId="7E595890" w14:textId="77777777" w:rsidR="00504672" w:rsidRPr="00504672" w:rsidRDefault="00504672" w:rsidP="00504672">
      <w:pPr>
        <w:pStyle w:val="NormalWeb"/>
        <w:divId w:val="465317432"/>
        <w:rPr>
          <w:rFonts w:ascii="Arial" w:hAnsi="Arial" w:cs="Arial"/>
        </w:rPr>
      </w:pPr>
      <w:r w:rsidRPr="00504672">
        <w:rPr>
          <w:rFonts w:ascii="Arial" w:hAnsi="Arial" w:cs="Arial"/>
        </w:rPr>
        <w:t>Through this process, I gained valuable insights into how precise prompt design influences the quality of responses. Effective use of prompt engineering techniques such as zero-shot and chain-of-thought allowed for improved clarity and relevance in summarizing complex research. This experience underscored the significance of iterative refinement and the strategic application of technical prompt engineering concepts to achieve accurate and insightful outputs.</w:t>
      </w:r>
    </w:p>
    <w:p w14:paraId="1BBCFE56" w14:textId="44A78C4A"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A07D7"/>
    <w:multiLevelType w:val="multilevel"/>
    <w:tmpl w:val="00C8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859ED"/>
    <w:multiLevelType w:val="multilevel"/>
    <w:tmpl w:val="513E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8"/>
  </w:num>
  <w:num w:numId="3" w16cid:durableId="1505900044">
    <w:abstractNumId w:val="5"/>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1744326901">
    <w:abstractNumId w:val="3"/>
  </w:num>
  <w:num w:numId="10" w16cid:durableId="1809854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56D6F"/>
    <w:rsid w:val="00234B39"/>
    <w:rsid w:val="00277078"/>
    <w:rsid w:val="0046607C"/>
    <w:rsid w:val="004A6EF2"/>
    <w:rsid w:val="00504672"/>
    <w:rsid w:val="005244B8"/>
    <w:rsid w:val="005C791D"/>
    <w:rsid w:val="00707D7F"/>
    <w:rsid w:val="007B779A"/>
    <w:rsid w:val="00A958D5"/>
    <w:rsid w:val="00B45D63"/>
    <w:rsid w:val="00D062A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07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66018402">
                  <w:marLeft w:val="0"/>
                  <w:marRight w:val="0"/>
                  <w:marTop w:val="0"/>
                  <w:marBottom w:val="0"/>
                  <w:divBdr>
                    <w:top w:val="none" w:sz="0" w:space="0" w:color="auto"/>
                    <w:left w:val="none" w:sz="0" w:space="0" w:color="auto"/>
                    <w:bottom w:val="none" w:sz="0" w:space="0" w:color="auto"/>
                    <w:right w:val="none" w:sz="0" w:space="0" w:color="auto"/>
                  </w:divBdr>
                </w:div>
                <w:div w:id="154999930">
                  <w:marLeft w:val="0"/>
                  <w:marRight w:val="0"/>
                  <w:marTop w:val="0"/>
                  <w:marBottom w:val="0"/>
                  <w:divBdr>
                    <w:top w:val="none" w:sz="0" w:space="0" w:color="auto"/>
                    <w:left w:val="none" w:sz="0" w:space="0" w:color="auto"/>
                    <w:bottom w:val="none" w:sz="0" w:space="0" w:color="auto"/>
                    <w:right w:val="none" w:sz="0" w:space="0" w:color="auto"/>
                  </w:divBdr>
                </w:div>
                <w:div w:id="154996069">
                  <w:marLeft w:val="0"/>
                  <w:marRight w:val="0"/>
                  <w:marTop w:val="0"/>
                  <w:marBottom w:val="0"/>
                  <w:divBdr>
                    <w:top w:val="none" w:sz="0" w:space="0" w:color="auto"/>
                    <w:left w:val="none" w:sz="0" w:space="0" w:color="auto"/>
                    <w:bottom w:val="none" w:sz="0" w:space="0" w:color="auto"/>
                    <w:right w:val="none" w:sz="0" w:space="0" w:color="auto"/>
                  </w:divBdr>
                </w:div>
                <w:div w:id="182401337">
                  <w:marLeft w:val="0"/>
                  <w:marRight w:val="0"/>
                  <w:marTop w:val="0"/>
                  <w:marBottom w:val="0"/>
                  <w:divBdr>
                    <w:top w:val="none" w:sz="0" w:space="0" w:color="auto"/>
                    <w:left w:val="none" w:sz="0" w:space="0" w:color="auto"/>
                    <w:bottom w:val="none" w:sz="0" w:space="0" w:color="auto"/>
                    <w:right w:val="none" w:sz="0" w:space="0" w:color="auto"/>
                  </w:divBdr>
                </w:div>
                <w:div w:id="2096785226">
                  <w:marLeft w:val="0"/>
                  <w:marRight w:val="0"/>
                  <w:marTop w:val="0"/>
                  <w:marBottom w:val="0"/>
                  <w:divBdr>
                    <w:top w:val="none" w:sz="0" w:space="0" w:color="auto"/>
                    <w:left w:val="none" w:sz="0" w:space="0" w:color="auto"/>
                    <w:bottom w:val="none" w:sz="0" w:space="0" w:color="auto"/>
                    <w:right w:val="none" w:sz="0" w:space="0" w:color="auto"/>
                  </w:divBdr>
                </w:div>
                <w:div w:id="1172259970">
                  <w:marLeft w:val="0"/>
                  <w:marRight w:val="0"/>
                  <w:marTop w:val="0"/>
                  <w:marBottom w:val="0"/>
                  <w:divBdr>
                    <w:top w:val="none" w:sz="0" w:space="0" w:color="auto"/>
                    <w:left w:val="none" w:sz="0" w:space="0" w:color="auto"/>
                    <w:bottom w:val="none" w:sz="0" w:space="0" w:color="auto"/>
                    <w:right w:val="none" w:sz="0" w:space="0" w:color="auto"/>
                  </w:divBdr>
                </w:div>
                <w:div w:id="78512191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sevier-ssrn-document-store-prod.s3.amazonaws.com/19/03/21/ssrn_id3354718_code258113.pdf?response-content-disposition=inline&amp;X-Amz-Security-Token=IQoJb3JpZ2luX2VjEOn%2F%2F%2F%2F%2F%2F%2F%2F%2F%2FwEaCXVzLWVhc3QtMSJHMEUCIQCZEcOjbotYJH3BizcSPqr6UfKDDUtn3f%2BLraV7BGw3egIgGFxuKSvIa260NFaSVwUASyDdhUfI7afSUBnAeKDqFZcqvQUIEhAEGgwzMDg0NzUzMDEyNTciDH6KXLhBOfVMXoJGnCqaBfnb4DWNgi1Sxb7ZWxW8YjaWAZvng3hwjiOo7IWcjA1hgbNjYHLN6v%2BP%2FnnStMzuOtAziZKVdSr1Odjlagp9x81huebaAdZo4%2BwuvAbfqKVtDIdkRs69k%2FzI5jRxOlxOnsbDqyuJ41q9K5se4DcUGuehuPP9gehOcrfGaTi%2FZlJodIMuPiiCPrK7ki5GYDerWZSAdxsbD7kjSRy1dXn39NaSnPqsMBcnLZomqEJ3ArLC3gZs58VCQjAS2pk8GifgxBjJ1MdZocrrQZA3C23rA4cY4heZ2ER1tI%2BYtAuZ%2F2r%2FOe6b4B8twypsEdQcl%2BNDxSZ%2FGrgoPk4qWekflAHpibQLn7nrOUb6FgdJ9CPgLSUd02hUG3srPiTDBkMScyRNIh9YnbSRhqzfgsKiLzlXhyOzCT%2BtxDBArrx%2F7nrdx6idOIMIZcl9WRDiXWigsomlzotOkLTE0bEOid9QxNN6UOve3ryVxxzkSBpoGZ36%2FSk2NRIKCPbt0GbQzBVAL%2FnETWMDfxlZZ0a56RWdWOOx8rOIcTohCvlXUlB%2FKBl0nCNTZ9VrkJmDvVZgF4WhnWmU4YF07O8z3JKssOPcTbsQFL8tuFmc2zqnT4uAsCLjUWbRWuvSBam5mqzUGWIJF%2BMSoauWjVfKhMbCG6T3JtAjryKq%2F9dOnNOqBkB%2BiRiPzUdd8tybDReJYwDQX3ak%2FMnhgl9XKlDB01Vv48OYM8c3MpjMxz8T1BaYRJ3ZrTCJcEW8%2BvHMcip7qc7NkG0LlcxrHSwlUs%2BmElLX6e1ZnI%2F1uwrJE0UM4N%2F0ktWRB8LL5FaEB4Mp%2Fgf09GPb%2Fc%2BJ5lwzjtqdQhr4FmkAdS%2FqSJp49R5iDT6JX1HG7BgfZ6zFzCj3ipnWROZjs7oyHDDQh%2Bu2BjqxAfVlRt6gKmjIsRokaCKVviSCJaGzvrtncYt%2FUUYZNBACDiKnAtr%2BWxo8faaEEaJ5jI8VZ%2FqBvJf4RTV2LWriwe%2BIe5ZQ0KPN9ZPzW%2F4PrS4KwC9xR%2B4NtmAaDyEfOYzSRK5H2IamvthSNsp6DeoXwlHfW92TENwRF1ufEpudyYLxqx8e4RjWDULqOq4kyLH3ZVf%2BZhHDpUzvERuW8H9Ba6WAseg1I5IOmt2N4UHITNafUQ%3D%3D&amp;X-Amz-Algorithm=AWS4-HMAC-SHA256&amp;X-Amz-Date=20240906T094721Z&amp;X-Amz-SignedHeaders=host&amp;X-Amz-Expires=300&amp;X-Amz-Credential=ASIAUPUUPRWET5X7YGIE%2F20240906%2Fus-east-1%2Fs3%2Faws4_request&amp;X-Amz-Signature=3e742f75b2199b5bbc1ac41f2fefbffe4b4dc92db8e8ff9e3bbb4a50ae2ea65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1358</Words>
  <Characters>9018</Characters>
  <Application>Microsoft Office Word</Application>
  <DocSecurity>0</DocSecurity>
  <Lines>173</Lines>
  <Paragraphs>57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SHYAMALA IYER</cp:lastModifiedBy>
  <cp:revision>6</cp:revision>
  <dcterms:created xsi:type="dcterms:W3CDTF">2024-08-11T10:13:00Z</dcterms:created>
  <dcterms:modified xsi:type="dcterms:W3CDTF">2024-09-06T10:38:00Z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bdfb410f90a5e71acbc3a965210218f5deb5097443bf16eb97f30606a58d018b</vt:lpwstr>
  </property>
</Properties>
</file>