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ind w:firstLine="0"/>
        <w:jc w:val="center"/>
      </w:pPr>
      <w:r>
        <w:rPr>
          <w:b/>
          <w:sz w:val="24"/>
        </w:rPr>
        <w:t>UNIVERSIDADE FEDERAL DO PARÁ</w:t>
      </w:r>
    </w:p>
    <w:p/>
    <w:p/>
    <w:p/>
    <w:p/>
    <w:p>
      <w:pPr>
        <w:ind w:firstLine="0"/>
        <w:jc w:val="center"/>
      </w:pPr>
      <w:r>
        <w:rPr>
          <w:b/>
          <w:sz w:val="28"/>
        </w:rPr>
        <w:t>DESEMPENHO, COMPOSIÇÃO DISCENTE E PROCESSO FORMATIVO NOS CURSOS DE LICENCIATURA EM MATEMÁTICA DA UFPA NO ENADE 2025</w:t>
      </w:r>
    </w:p>
    <w:p/>
    <w:p/>
    <w:p/>
    <w:p/>
    <w:p/>
    <w:p/>
    <w:p>
      <w:pPr>
        <w:ind w:firstLine="0"/>
        <w:jc w:val="center"/>
      </w:pPr>
      <w:r>
        <w:t>Autor(a): [preencher]</w:t>
      </w:r>
    </w:p>
    <w:p/>
    <w:p/>
    <w:p/>
    <w:p/>
    <w:p/>
    <w:p/>
    <w:p>
      <w:pPr>
        <w:ind w:firstLine="0"/>
        <w:jc w:val="center"/>
      </w:pPr>
      <w:r>
        <w:t>Belém</w:t>
        <w:br/>
        <w:t>2026</w:t>
      </w:r>
    </w:p>
    <w:p>
      <w:pPr>
        <w:sectPr>
          <w:headerReference w:type="default" r:id="rId9"/>
          <w:footerReference w:type="default" r:id="rId10"/>
          <w:pgSz w:w="12240" w:h="15840"/>
          <w:pgMar w:top="1701" w:right="1134" w:bottom="1134" w:left="1701" w:header="720" w:footer="720" w:gutter="0"/>
          <w:cols w:space="720"/>
          <w:docGrid w:linePitch="360"/>
        </w:sectPr>
      </w:pPr>
    </w:p>
    <w:p>
      <w:pPr>
        <w:pStyle w:val="Heading1"/>
      </w:pPr>
      <w:r>
        <w:t>RESUMO</w:t>
      </w:r>
    </w:p>
    <w:p>
      <w:pPr>
        <w:pStyle w:val="Resumo"/>
      </w:pPr>
      <w:r>
        <w:t>Este relatório analisa as ofertas de licenciatura em Matemática da Universidade Federal do Pará no Enade das Licenciaturas 2025, com ênfase nas sete ofertas enquadradas no Conceito Enade 1. A unidade principal é o curso, identificado por CO_CURSO. Os arquivos temáticos foram tratados separadamente e agregados por curso, sem reconstrução de registros individuais. Foram examinados desempenho, participação, composição demográfica e socioeconômica, trajetória acadêmica, avaliação do processo formativo, recomendação e benchmarks territorialmente amplos e institucionalmente comparáveis. Os resultados mostram que as ofertas da UFPA com conceito 1 apresentam desempenho médio inferior à oferta presencial de Belém, de conceito 3, e aos benchmarks comparáveis. As diferenças permanecem em direção sob múltiplos critérios de porte, embora sua magnitude varie. As associações entre desempenho e indicadores de composição são ecológicas e não permitem inferência causal ou individual.</w:t>
      </w:r>
    </w:p>
    <w:p>
      <w:pPr>
        <w:pStyle w:val="Resumo"/>
      </w:pPr>
      <w:r>
        <w:t>Palavras-chave: Enade; licenciatura em Matemática; UFPA; microdados; avaliação da educação superior.</w:t>
      </w:r>
    </w:p>
    <w:p>
      <w:pPr>
        <w:pStyle w:val="Heading1"/>
      </w:pPr>
      <w:r>
        <w:t>ABSTRACT</w:t>
      </w:r>
    </w:p>
    <w:p>
      <w:pPr>
        <w:pStyle w:val="Resumo"/>
      </w:pPr>
      <w:r>
        <w:t>This report analyzes Mathematics teacher education programs offered by the Federal University of Pará in the 2025 Enade for Teacher Education Programs, emphasizing the seven programs classified in Enade Concept 1. The course, identified by CO_CURSO, is the main unit of analysis. Thematic files were processed separately and aggregated at course level, without reconstructing individual records. Performance, participation, demographic and socioeconomic composition, academic trajectory, formative process evaluation, recommendation, and broad and comparable benchmarks were examined. Results indicate lower average performance among UFPA Concept 1 programs than the Belém in-person program, classified as Concept 3, and comparable benchmarks. Directional differences remain stable across size criteria, although their magnitude varies. Associations are ecological and do not support individual or causal inference.</w:t>
      </w:r>
    </w:p>
    <w:p>
      <w:pPr>
        <w:pStyle w:val="Resumo"/>
      </w:pPr>
      <w:r>
        <w:t>Keywords: Enade; Mathematics teacher education; UFPA; microdata; higher education assessment.</w:t>
      </w:r>
    </w:p>
    <w:p>
      <w:pPr>
        <w:pStyle w:val="Heading1"/>
      </w:pPr>
      <w:r>
        <w:t>SUMÁRIO</w:t>
      </w:r>
    </w:p>
    <w:p>
      <w:pPr>
        <w:ind w:firstLine="0"/>
      </w:pPr>
      <w:r>
        <w:t>1 INTRODUÇÃO</w:t>
      </w:r>
    </w:p>
    <w:p>
      <w:pPr>
        <w:ind w:firstLine="0"/>
      </w:pPr>
      <w:r>
        <w:t>2 REFERENCIAL INSTITUCIONAL E METODOLÓGICO</w:t>
      </w:r>
    </w:p>
    <w:p>
      <w:pPr>
        <w:ind w:firstLine="0"/>
      </w:pPr>
      <w:r>
        <w:t>3 METODOLOGIA</w:t>
      </w:r>
    </w:p>
    <w:p>
      <w:pPr>
        <w:ind w:firstLine="0"/>
      </w:pPr>
      <w:r>
        <w:t>4 PANORAMA DA LICENCIATURA EM MATEMÁTICA</w:t>
      </w:r>
    </w:p>
    <w:p>
      <w:pPr>
        <w:ind w:firstLine="0"/>
      </w:pPr>
      <w:r>
        <w:t>5 RESULTADOS</w:t>
      </w:r>
    </w:p>
    <w:p>
      <w:pPr>
        <w:ind w:firstLine="0"/>
      </w:pPr>
      <w:r>
        <w:t>6 DISCUSSÃO</w:t>
      </w:r>
    </w:p>
    <w:p>
      <w:pPr>
        <w:ind w:firstLine="0"/>
      </w:pPr>
      <w:r>
        <w:t>7 CONCLUSÃO</w:t>
      </w:r>
    </w:p>
    <w:p>
      <w:pPr>
        <w:ind w:firstLine="0"/>
      </w:pPr>
      <w:r>
        <w:t>REFERÊNCIAS</w:t>
      </w:r>
    </w:p>
    <w:p>
      <w:pPr>
        <w:ind w:firstLine="0"/>
      </w:pPr>
      <w:r>
        <w:t>APÊNDICES</w:t>
      </w:r>
    </w:p>
    <w:p>
      <w:pPr>
        <w:pStyle w:val="Fonte"/>
      </w:pPr>
      <w:r>
        <w:t>Nota: no Word, atualize os campos e o sumário após abrir o documento.</w:t>
      </w:r>
    </w:p>
    <w:p>
      <w:pPr>
        <w:sectPr>
          <w:pgSz w:w="12240" w:h="15840"/>
          <w:pgMar w:top="1701" w:right="1134" w:bottom="1134" w:left="1701" w:header="720" w:footer="720" w:gutter="0"/>
          <w:cols w:space="720"/>
          <w:docGrid w:linePitch="360"/>
        </w:sectPr>
      </w:pPr>
    </w:p>
    <w:p>
      <w:pPr>
        <w:pStyle w:val="Heading1"/>
      </w:pPr>
      <w:r>
        <w:t>1 INTRODUÇÃO</w:t>
      </w:r>
    </w:p>
    <w:p>
      <w:r>
        <w:t>O Exame Nacional de Desempenho dos Estudantes integra o Sistema Nacional de Avaliação da Educação Superior e produz evidências sobre o desempenho dos concluintes e o contexto de formação. A edição de 2025 introduziu uma configuração específica para as licenciaturas, associando a avaliação teórica à Prova Nacional Docente e mantendo instrumentos de caracterização do estudante e de avaliação do processo formativo.</w:t>
      </w:r>
    </w:p>
    <w:p>
      <w:r>
        <w:t>Na UFPA, Matemática constitui um caso analítico relevante: foram localizadas oito ofertas, das quais sete receberam Conceito Enade 1 e uma, a oferta presencial de Belém, recebeu conceito 3. O contraste interno reduz parte da heterogeneidade institucional, mas não elimina diferenças de modalidade, localização, porte e composição discente.</w:t>
      </w:r>
    </w:p>
    <w:p>
      <w:r>
        <w:t>O objetivo geral é investigar quais características de desempenho, composição discente, trajetória acadêmica e avaliação do processo formativo diferenciam as ofertas da UFPA com Conceito Enade 1 das demais ofertas de Matemática na própria universidade, no Pará, na Região Norte e no Brasil.</w:t>
      </w:r>
    </w:p>
    <w:p>
      <w:pPr>
        <w:pStyle w:val="Heading1"/>
      </w:pPr>
      <w:r>
        <w:t>2 REFERENCIAL INSTITUCIONAL E METODOLÓGICO</w:t>
      </w:r>
    </w:p>
    <w:p>
      <w:pPr>
        <w:pStyle w:val="Heading2"/>
      </w:pPr>
      <w:r>
        <w:t>2.1 Enade das Licenciaturas e indicadores de qualidade</w:t>
      </w:r>
    </w:p>
    <w:p>
      <w:r>
        <w:t>O Enade afere o desempenho dos estudantes em relação aos conteúdos, habilidades e competências previstos para a formação. O Conceito Enade é um indicador do curso em escala de 1 a 5 e deve ser distinguido do IDD e do CPC. A análise utiliza o Conceito Enade como classificação externa do curso e as variáveis contínuas dos microdados para descrever distribuições e diferenças.</w:t>
      </w:r>
    </w:p>
    <w:p>
      <w:pPr>
        <w:pStyle w:val="Heading2"/>
      </w:pPr>
      <w:r>
        <w:t>2.2 Estrutura e anonimização dos microdados</w:t>
      </w:r>
    </w:p>
    <w:p>
      <w:r>
        <w:t>Os 28 arquivos foram fragmentados por tema e não contêm identificador público que permita reconhecer o mesmo estudante entre desempenho, perfil e percepção. A posição das linhas não é uma chave. Por isso, cada arquivo foi tratado isoladamente, agregado por CO_CURSO e somente então relacionado às demais tabelas agregadas.</w:t>
      </w:r>
    </w:p>
    <w:p>
      <w:pPr>
        <w:pStyle w:val="Heading2"/>
      </w:pPr>
      <w:r>
        <w:t>2.3 Limites da inferência</w:t>
      </w:r>
    </w:p>
    <w:p>
      <w:r>
        <w:t>As relações entre nota média do curso, composição socioeconômica e avaliação do processo formativo são ecológicas. Elas descrevem covariação entre cursos, mas não autorizam concluir que uma característica individual causou o desempenho de um estudante ou o conceito do curso.</w:t>
      </w:r>
    </w:p>
    <w:p>
      <w:pPr>
        <w:pStyle w:val="Heading1"/>
      </w:pPr>
      <w:r>
        <w:t>3 METODOLOGIA</w:t>
      </w:r>
    </w:p>
    <w:p>
      <w:pPr>
        <w:pStyle w:val="Heading2"/>
      </w:pPr>
      <w:r>
        <w:t>3.1 Delineamento e fontes</w:t>
      </w:r>
    </w:p>
    <w:p>
      <w:r>
        <w:t>Trata-se de estudo quantitativo, exploratório e comparativo, baseado nos microdados do Enade das Licenciaturas 2025 e na planilha oficial de Conceito Enade por curso. O recorte abrange todos os cursos de Matemática identificados pelo CO_GRUPO 702.</w:t>
      </w:r>
    </w:p>
    <w:p>
      <w:pPr>
        <w:pStyle w:val="Heading2"/>
      </w:pPr>
      <w:r>
        <w:t>3.2 Unidade e grupos de análise</w:t>
      </w:r>
    </w:p>
    <w:p>
      <w:r>
        <w:t>A unidade principal é CO_CURSO. Foram definidos cinco grupos exclusivos: A, UFPA com conceito 1; B, demais ofertas da UFPA com conceito superior; C, outras IES do Pará; D, restante da Região Norte, excluindo o Pará; e E, restante do Brasil, excluindo o Norte.</w:t>
      </w:r>
    </w:p>
    <w:p>
      <w:pPr>
        <w:ind w:firstLine="0"/>
      </w:pPr>
      <w:r>
        <w:rPr>
          <w:b/>
          <w:sz w:val="20"/>
        </w:rPr>
        <w:t>Tabela 1 - Grupos comparativos de Matemática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Pr>
                <w:b/>
                <w:sz w:val="16"/>
              </w:rPr>
              <w:t>Grupo</w:t>
            </w:r>
          </w:p>
        </w:tc>
        <w:tc>
          <w:tcPr>
            <w:tcW w:type="dxa" w:w="2351"/>
            <w:vAlign w:val="center"/>
          </w:tcPr>
          <w:p>
            <w:pPr>
              <w:jc w:val="center"/>
            </w:pPr>
            <w:r>
              <w:rPr>
                <w:b/>
                <w:sz w:val="16"/>
              </w:rPr>
              <w:t>Definição</w:t>
            </w:r>
          </w:p>
        </w:tc>
        <w:tc>
          <w:tcPr>
            <w:tcW w:type="dxa" w:w="2351"/>
            <w:vAlign w:val="center"/>
          </w:tcPr>
          <w:p>
            <w:pPr>
              <w:jc w:val="center"/>
            </w:pPr>
            <w:r>
              <w:rPr>
                <w:b/>
                <w:sz w:val="16"/>
              </w:rPr>
              <w:t>Cursos</w:t>
            </w:r>
          </w:p>
        </w:tc>
        <w:tc>
          <w:tcPr>
            <w:tcW w:type="dxa" w:w="2351"/>
            <w:vAlign w:val="center"/>
          </w:tcPr>
          <w:p>
            <w:pPr>
              <w:jc w:val="center"/>
            </w:pPr>
            <w:r>
              <w:rPr>
                <w:b/>
                <w:sz w:val="16"/>
              </w:rPr>
              <w:t>Participantes</w:t>
            </w:r>
          </w:p>
        </w:tc>
      </w:tr>
      <w:tr>
        <w:tc>
          <w:tcPr>
            <w:tcW w:type="dxa" w:w="2351"/>
            <w:vAlign w:val="center"/>
          </w:tcPr>
          <w:p>
            <w:pPr>
              <w:spacing w:line="240" w:lineRule="auto"/>
              <w:ind w:firstLine="0"/>
            </w:pPr>
            <w:r>
              <w:rPr>
                <w:sz w:val="16"/>
              </w:rPr>
              <w:t>A</w:t>
            </w:r>
          </w:p>
        </w:tc>
        <w:tc>
          <w:tcPr>
            <w:tcW w:type="dxa" w:w="2351"/>
            <w:vAlign w:val="center"/>
          </w:tcPr>
          <w:p>
            <w:pPr>
              <w:spacing w:line="240" w:lineRule="auto"/>
              <w:ind w:firstLine="0"/>
            </w:pPr>
            <w:r>
              <w:rPr>
                <w:sz w:val="16"/>
              </w:rPr>
              <w:t>UFPA — Conceito 1</w:t>
            </w:r>
          </w:p>
        </w:tc>
        <w:tc>
          <w:tcPr>
            <w:tcW w:type="dxa" w:w="2351"/>
            <w:vAlign w:val="center"/>
          </w:tcPr>
          <w:p>
            <w:pPr>
              <w:spacing w:line="240" w:lineRule="auto"/>
              <w:ind w:firstLine="0"/>
            </w:pPr>
            <w:r>
              <w:rPr>
                <w:sz w:val="16"/>
              </w:rPr>
              <w:t>7</w:t>
            </w:r>
          </w:p>
        </w:tc>
        <w:tc>
          <w:tcPr>
            <w:tcW w:type="dxa" w:w="2351"/>
            <w:vAlign w:val="center"/>
          </w:tcPr>
          <w:p>
            <w:pPr>
              <w:spacing w:line="240" w:lineRule="auto"/>
              <w:ind w:firstLine="0"/>
            </w:pPr>
            <w:r>
              <w:rPr>
                <w:sz w:val="16"/>
              </w:rPr>
              <w:t>317</w:t>
            </w:r>
          </w:p>
        </w:tc>
      </w:tr>
      <w:tr>
        <w:tc>
          <w:tcPr>
            <w:tcW w:type="dxa" w:w="2351"/>
            <w:vAlign w:val="center"/>
          </w:tcPr>
          <w:p>
            <w:pPr>
              <w:spacing w:line="240" w:lineRule="auto"/>
              <w:ind w:firstLine="0"/>
            </w:pPr>
            <w:r>
              <w:rPr>
                <w:sz w:val="16"/>
              </w:rPr>
              <w:t>B</w:t>
            </w:r>
          </w:p>
        </w:tc>
        <w:tc>
          <w:tcPr>
            <w:tcW w:type="dxa" w:w="2351"/>
            <w:vAlign w:val="center"/>
          </w:tcPr>
          <w:p>
            <w:pPr>
              <w:spacing w:line="240" w:lineRule="auto"/>
              <w:ind w:firstLine="0"/>
            </w:pPr>
            <w:r>
              <w:rPr>
                <w:sz w:val="16"/>
              </w:rPr>
              <w:t>UFPA — conceito superior</w:t>
            </w:r>
          </w:p>
        </w:tc>
        <w:tc>
          <w:tcPr>
            <w:tcW w:type="dxa" w:w="2351"/>
            <w:vAlign w:val="center"/>
          </w:tcPr>
          <w:p>
            <w:pPr>
              <w:spacing w:line="240" w:lineRule="auto"/>
              <w:ind w:firstLine="0"/>
            </w:pPr>
            <w:r>
              <w:rPr>
                <w:sz w:val="16"/>
              </w:rPr>
              <w:t>1</w:t>
            </w:r>
          </w:p>
        </w:tc>
        <w:tc>
          <w:tcPr>
            <w:tcW w:type="dxa" w:w="2351"/>
            <w:vAlign w:val="center"/>
          </w:tcPr>
          <w:p>
            <w:pPr>
              <w:spacing w:line="240" w:lineRule="auto"/>
              <w:ind w:firstLine="0"/>
            </w:pPr>
            <w:r>
              <w:rPr>
                <w:sz w:val="16"/>
              </w:rPr>
              <w:t>61</w:t>
            </w:r>
          </w:p>
        </w:tc>
      </w:tr>
      <w:tr>
        <w:tc>
          <w:tcPr>
            <w:tcW w:type="dxa" w:w="2351"/>
            <w:vAlign w:val="center"/>
          </w:tcPr>
          <w:p>
            <w:pPr>
              <w:spacing w:line="240" w:lineRule="auto"/>
              <w:ind w:firstLine="0"/>
            </w:pPr>
            <w:r>
              <w:rPr>
                <w:sz w:val="16"/>
              </w:rPr>
              <w:t>C</w:t>
            </w:r>
          </w:p>
        </w:tc>
        <w:tc>
          <w:tcPr>
            <w:tcW w:type="dxa" w:w="2351"/>
            <w:vAlign w:val="center"/>
          </w:tcPr>
          <w:p>
            <w:pPr>
              <w:spacing w:line="240" w:lineRule="auto"/>
              <w:ind w:firstLine="0"/>
            </w:pPr>
            <w:r>
              <w:rPr>
                <w:sz w:val="16"/>
              </w:rPr>
              <w:t>Outras IES do Pará</w:t>
            </w:r>
          </w:p>
        </w:tc>
        <w:tc>
          <w:tcPr>
            <w:tcW w:type="dxa" w:w="2351"/>
            <w:vAlign w:val="center"/>
          </w:tcPr>
          <w:p>
            <w:pPr>
              <w:spacing w:line="240" w:lineRule="auto"/>
              <w:ind w:firstLine="0"/>
            </w:pPr>
            <w:r>
              <w:rPr>
                <w:sz w:val="16"/>
              </w:rPr>
              <w:t>5</w:t>
            </w:r>
          </w:p>
        </w:tc>
        <w:tc>
          <w:tcPr>
            <w:tcW w:type="dxa" w:w="2351"/>
            <w:vAlign w:val="center"/>
          </w:tcPr>
          <w:p>
            <w:pPr>
              <w:spacing w:line="240" w:lineRule="auto"/>
              <w:ind w:firstLine="0"/>
            </w:pPr>
            <w:r>
              <w:rPr>
                <w:sz w:val="16"/>
              </w:rPr>
              <w:t>85</w:t>
            </w:r>
          </w:p>
        </w:tc>
      </w:tr>
      <w:tr>
        <w:tc>
          <w:tcPr>
            <w:tcW w:type="dxa" w:w="2351"/>
            <w:vAlign w:val="center"/>
          </w:tcPr>
          <w:p>
            <w:pPr>
              <w:spacing w:line="240" w:lineRule="auto"/>
              <w:ind w:firstLine="0"/>
            </w:pPr>
            <w:r>
              <w:rPr>
                <w:sz w:val="16"/>
              </w:rPr>
              <w:t>D</w:t>
            </w:r>
          </w:p>
        </w:tc>
        <w:tc>
          <w:tcPr>
            <w:tcW w:type="dxa" w:w="2351"/>
            <w:vAlign w:val="center"/>
          </w:tcPr>
          <w:p>
            <w:pPr>
              <w:spacing w:line="240" w:lineRule="auto"/>
              <w:ind w:firstLine="0"/>
            </w:pPr>
            <w:r>
              <w:rPr>
                <w:sz w:val="16"/>
              </w:rPr>
              <w:t>Restante da Região Norte</w:t>
            </w:r>
          </w:p>
        </w:tc>
        <w:tc>
          <w:tcPr>
            <w:tcW w:type="dxa" w:w="2351"/>
            <w:vAlign w:val="center"/>
          </w:tcPr>
          <w:p>
            <w:pPr>
              <w:spacing w:line="240" w:lineRule="auto"/>
              <w:ind w:firstLine="0"/>
            </w:pPr>
            <w:r>
              <w:rPr>
                <w:sz w:val="16"/>
              </w:rPr>
              <w:t>27</w:t>
            </w:r>
          </w:p>
        </w:tc>
        <w:tc>
          <w:tcPr>
            <w:tcW w:type="dxa" w:w="2351"/>
            <w:vAlign w:val="center"/>
          </w:tcPr>
          <w:p>
            <w:pPr>
              <w:spacing w:line="240" w:lineRule="auto"/>
              <w:ind w:firstLine="0"/>
            </w:pPr>
            <w:r>
              <w:rPr>
                <w:sz w:val="16"/>
              </w:rPr>
              <w:t>413</w:t>
            </w:r>
          </w:p>
        </w:tc>
      </w:tr>
      <w:tr>
        <w:tc>
          <w:tcPr>
            <w:tcW w:type="dxa" w:w="2351"/>
            <w:vAlign w:val="center"/>
          </w:tcPr>
          <w:p>
            <w:pPr>
              <w:spacing w:line="240" w:lineRule="auto"/>
              <w:ind w:firstLine="0"/>
            </w:pPr>
            <w:r>
              <w:rPr>
                <w:sz w:val="16"/>
              </w:rPr>
              <w:t>E</w:t>
            </w:r>
          </w:p>
        </w:tc>
        <w:tc>
          <w:tcPr>
            <w:tcW w:type="dxa" w:w="2351"/>
            <w:vAlign w:val="center"/>
          </w:tcPr>
          <w:p>
            <w:pPr>
              <w:spacing w:line="240" w:lineRule="auto"/>
              <w:ind w:firstLine="0"/>
            </w:pPr>
            <w:r>
              <w:rPr>
                <w:sz w:val="16"/>
              </w:rPr>
              <w:t>Restante do Brasil</w:t>
            </w:r>
          </w:p>
        </w:tc>
        <w:tc>
          <w:tcPr>
            <w:tcW w:type="dxa" w:w="2351"/>
            <w:vAlign w:val="center"/>
          </w:tcPr>
          <w:p>
            <w:pPr>
              <w:spacing w:line="240" w:lineRule="auto"/>
              <w:ind w:firstLine="0"/>
            </w:pPr>
            <w:r>
              <w:rPr>
                <w:sz w:val="16"/>
              </w:rPr>
              <w:t>442</w:t>
            </w:r>
          </w:p>
        </w:tc>
        <w:tc>
          <w:tcPr>
            <w:tcW w:type="dxa" w:w="2351"/>
            <w:vAlign w:val="center"/>
          </w:tcPr>
          <w:p>
            <w:pPr>
              <w:spacing w:line="240" w:lineRule="auto"/>
              <w:ind w:firstLine="0"/>
            </w:pPr>
            <w:r>
              <w:rPr>
                <w:sz w:val="16"/>
              </w:rPr>
              <w:t>9583</w:t>
            </w:r>
          </w:p>
        </w:tc>
      </w:tr>
    </w:tbl>
    <w:p>
      <w:pPr>
        <w:pStyle w:val="Fonte"/>
      </w:pPr>
      <w:r>
        <w:t>Fonte: elaboração própria com dados do Inep (2025).</w:t>
      </w:r>
    </w:p>
    <w:p>
      <w:pPr>
        <w:pStyle w:val="Heading2"/>
      </w:pPr>
      <w:r>
        <w:t>3.3 Indicadores e tratamento</w:t>
      </w:r>
    </w:p>
    <w:p>
      <w:r>
        <w:t>Foram calculadas medidas de tendência central, dispersão, percentis, taxas de presença, proporções válidas e diferenças em pontos percentuais. Os códigos especiais foram tratados variável a variável conforme o dicionário. Percentuais utilizam denominadores válidos explicitamente registrados.</w:t>
      </w:r>
    </w:p>
    <w:p>
      <w:pPr>
        <w:pStyle w:val="Heading2"/>
      </w:pPr>
      <w:r>
        <w:t>3.4 Benchmarks e sensibilidade</w:t>
      </w:r>
    </w:p>
    <w:p>
      <w:r>
        <w:t>O benchmark amplo utiliza todos os cursos válidos no recorte territorial. O benchmark comparável restringe modalidade, categoria administrativa, organização acadêmica e porte. Foram testadas faixas de porte de ±25%, ±50% e razão de até duas vezes o número de participantes.</w:t>
      </w:r>
    </w:p>
    <w:p>
      <w:pPr>
        <w:pStyle w:val="Heading1"/>
      </w:pPr>
      <w:r>
        <w:t>4 PANORAMA DA LICENCIATURA EM MATEMÁTICA</w:t>
      </w:r>
    </w:p>
    <w:p>
      <w:r>
        <w:t>A base contém 482 cursos de Matemática. A UFPA possui oito ofertas localizadas: sete com Conceito Enade 1 e uma com conceito superior.</w:t>
      </w:r>
    </w:p>
    <w:p>
      <w:pPr>
        <w:ind w:firstLine="0"/>
      </w:pPr>
      <w:r>
        <w:rPr>
          <w:b/>
          <w:sz w:val="20"/>
        </w:rPr>
        <w:t>Tabela 2 - Ofertas de Matemática da UFPA no Enade 2025</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Código</w:t>
            </w:r>
          </w:p>
        </w:tc>
        <w:tc>
          <w:tcPr>
            <w:tcW w:type="dxa" w:w="1344"/>
            <w:vAlign w:val="center"/>
          </w:tcPr>
          <w:p>
            <w:pPr>
              <w:jc w:val="center"/>
            </w:pPr>
            <w:r>
              <w:rPr>
                <w:b/>
                <w:sz w:val="16"/>
              </w:rPr>
              <w:t>Oferta</w:t>
            </w:r>
          </w:p>
        </w:tc>
        <w:tc>
          <w:tcPr>
            <w:tcW w:type="dxa" w:w="1344"/>
            <w:vAlign w:val="center"/>
          </w:tcPr>
          <w:p>
            <w:pPr>
              <w:jc w:val="center"/>
            </w:pPr>
            <w:r>
              <w:rPr>
                <w:b/>
                <w:sz w:val="16"/>
              </w:rPr>
              <w:t>Modalidade</w:t>
            </w:r>
          </w:p>
        </w:tc>
        <w:tc>
          <w:tcPr>
            <w:tcW w:type="dxa" w:w="1344"/>
            <w:vAlign w:val="center"/>
          </w:tcPr>
          <w:p>
            <w:pPr>
              <w:jc w:val="center"/>
            </w:pPr>
            <w:r>
              <w:rPr>
                <w:b/>
                <w:sz w:val="16"/>
              </w:rPr>
              <w:t>Inscritos</w:t>
            </w:r>
          </w:p>
        </w:tc>
        <w:tc>
          <w:tcPr>
            <w:tcW w:type="dxa" w:w="1344"/>
            <w:vAlign w:val="center"/>
          </w:tcPr>
          <w:p>
            <w:pPr>
              <w:jc w:val="center"/>
            </w:pPr>
            <w:r>
              <w:rPr>
                <w:b/>
                <w:sz w:val="16"/>
              </w:rPr>
              <w:t>Participantes</w:t>
            </w:r>
          </w:p>
        </w:tc>
        <w:tc>
          <w:tcPr>
            <w:tcW w:type="dxa" w:w="1344"/>
            <w:vAlign w:val="center"/>
          </w:tcPr>
          <w:p>
            <w:pPr>
              <w:jc w:val="center"/>
            </w:pPr>
            <w:r>
              <w:rPr>
                <w:b/>
                <w:sz w:val="16"/>
              </w:rPr>
              <w:t>% proficiência</w:t>
            </w:r>
          </w:p>
        </w:tc>
        <w:tc>
          <w:tcPr>
            <w:tcW w:type="dxa" w:w="1344"/>
            <w:vAlign w:val="center"/>
          </w:tcPr>
          <w:p>
            <w:pPr>
              <w:jc w:val="center"/>
            </w:pPr>
            <w:r>
              <w:rPr>
                <w:b/>
                <w:sz w:val="16"/>
              </w:rPr>
              <w:t>Conceito</w:t>
            </w:r>
          </w:p>
        </w:tc>
      </w:tr>
      <w:tr>
        <w:tc>
          <w:tcPr>
            <w:tcW w:type="dxa" w:w="1344"/>
            <w:vAlign w:val="center"/>
          </w:tcPr>
          <w:p>
            <w:pPr>
              <w:spacing w:line="240" w:lineRule="auto"/>
              <w:ind w:firstLine="0"/>
            </w:pPr>
            <w:r>
              <w:rPr>
                <w:sz w:val="16"/>
              </w:rPr>
              <w:t>11999</w:t>
            </w:r>
          </w:p>
        </w:tc>
        <w:tc>
          <w:tcPr>
            <w:tcW w:type="dxa" w:w="1344"/>
            <w:vAlign w:val="center"/>
          </w:tcPr>
          <w:p>
            <w:pPr>
              <w:spacing w:line="240" w:lineRule="auto"/>
              <w:ind w:firstLine="0"/>
            </w:pPr>
            <w:r>
              <w:rPr>
                <w:sz w:val="16"/>
              </w:rPr>
              <w:t>Belém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68</w:t>
            </w:r>
          </w:p>
        </w:tc>
        <w:tc>
          <w:tcPr>
            <w:tcW w:type="dxa" w:w="1344"/>
            <w:vAlign w:val="center"/>
          </w:tcPr>
          <w:p>
            <w:pPr>
              <w:spacing w:line="240" w:lineRule="auto"/>
              <w:ind w:firstLine="0"/>
            </w:pPr>
            <w:r>
              <w:rPr>
                <w:sz w:val="16"/>
              </w:rPr>
              <w:t>61</w:t>
            </w:r>
          </w:p>
        </w:tc>
        <w:tc>
          <w:tcPr>
            <w:tcW w:type="dxa" w:w="1344"/>
            <w:vAlign w:val="center"/>
          </w:tcPr>
          <w:p>
            <w:pPr>
              <w:spacing w:line="240" w:lineRule="auto"/>
              <w:ind w:firstLine="0"/>
            </w:pPr>
            <w:r>
              <w:rPr>
                <w:sz w:val="16"/>
              </w:rPr>
              <w:t>0,61</w:t>
            </w:r>
          </w:p>
        </w:tc>
        <w:tc>
          <w:tcPr>
            <w:tcW w:type="dxa" w:w="1344"/>
            <w:vAlign w:val="center"/>
          </w:tcPr>
          <w:p>
            <w:pPr>
              <w:spacing w:line="240" w:lineRule="auto"/>
              <w:ind w:firstLine="0"/>
            </w:pPr>
            <w:r>
              <w:rPr>
                <w:sz w:val="16"/>
              </w:rPr>
              <w:t>3</w:t>
            </w:r>
          </w:p>
        </w:tc>
      </w:tr>
      <w:tr>
        <w:tc>
          <w:tcPr>
            <w:tcW w:type="dxa" w:w="1344"/>
            <w:vAlign w:val="center"/>
          </w:tcPr>
          <w:p>
            <w:pPr>
              <w:spacing w:line="240" w:lineRule="auto"/>
              <w:ind w:firstLine="0"/>
            </w:pPr>
            <w:r>
              <w:rPr>
                <w:sz w:val="16"/>
              </w:rPr>
              <w:t>12033</w:t>
            </w:r>
          </w:p>
        </w:tc>
        <w:tc>
          <w:tcPr>
            <w:tcW w:type="dxa" w:w="1344"/>
            <w:vAlign w:val="center"/>
          </w:tcPr>
          <w:p>
            <w:pPr>
              <w:spacing w:line="240" w:lineRule="auto"/>
              <w:ind w:firstLine="0"/>
            </w:pPr>
            <w:r>
              <w:rPr>
                <w:sz w:val="16"/>
              </w:rPr>
              <w:t>Bragança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49</w:t>
            </w:r>
          </w:p>
        </w:tc>
        <w:tc>
          <w:tcPr>
            <w:tcW w:type="dxa" w:w="1344"/>
            <w:vAlign w:val="center"/>
          </w:tcPr>
          <w:p>
            <w:pPr>
              <w:spacing w:line="240" w:lineRule="auto"/>
              <w:ind w:firstLine="0"/>
            </w:pPr>
            <w:r>
              <w:rPr>
                <w:sz w:val="16"/>
              </w:rPr>
              <w:t>34</w:t>
            </w:r>
          </w:p>
        </w:tc>
        <w:tc>
          <w:tcPr>
            <w:tcW w:type="dxa" w:w="1344"/>
            <w:vAlign w:val="center"/>
          </w:tcPr>
          <w:p>
            <w:pPr>
              <w:spacing w:line="240" w:lineRule="auto"/>
              <w:ind w:firstLine="0"/>
            </w:pPr>
            <w:r>
              <w:rPr>
                <w:sz w:val="16"/>
              </w:rPr>
              <w:t>0,29</w:t>
            </w:r>
          </w:p>
        </w:tc>
        <w:tc>
          <w:tcPr>
            <w:tcW w:type="dxa" w:w="1344"/>
            <w:vAlign w:val="center"/>
          </w:tcPr>
          <w:p>
            <w:pPr>
              <w:spacing w:line="240" w:lineRule="auto"/>
              <w:ind w:firstLine="0"/>
            </w:pPr>
            <w:r>
              <w:rPr>
                <w:sz w:val="16"/>
              </w:rPr>
              <w:t>1</w:t>
            </w:r>
          </w:p>
        </w:tc>
      </w:tr>
      <w:tr>
        <w:tc>
          <w:tcPr>
            <w:tcW w:type="dxa" w:w="1344"/>
            <w:vAlign w:val="center"/>
          </w:tcPr>
          <w:p>
            <w:pPr>
              <w:spacing w:line="240" w:lineRule="auto"/>
              <w:ind w:firstLine="0"/>
            </w:pPr>
            <w:r>
              <w:rPr>
                <w:sz w:val="16"/>
              </w:rPr>
              <w:t>12035</w:t>
            </w:r>
          </w:p>
        </w:tc>
        <w:tc>
          <w:tcPr>
            <w:tcW w:type="dxa" w:w="1344"/>
            <w:vAlign w:val="center"/>
          </w:tcPr>
          <w:p>
            <w:pPr>
              <w:spacing w:line="240" w:lineRule="auto"/>
              <w:ind w:firstLine="0"/>
            </w:pPr>
            <w:r>
              <w:rPr>
                <w:sz w:val="16"/>
              </w:rPr>
              <w:t>Castanhal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68</w:t>
            </w:r>
          </w:p>
        </w:tc>
        <w:tc>
          <w:tcPr>
            <w:tcW w:type="dxa" w:w="1344"/>
            <w:vAlign w:val="center"/>
          </w:tcPr>
          <w:p>
            <w:pPr>
              <w:spacing w:line="240" w:lineRule="auto"/>
              <w:ind w:firstLine="0"/>
            </w:pPr>
            <w:r>
              <w:rPr>
                <w:sz w:val="16"/>
              </w:rPr>
              <w:t>52</w:t>
            </w:r>
          </w:p>
        </w:tc>
        <w:tc>
          <w:tcPr>
            <w:tcW w:type="dxa" w:w="1344"/>
            <w:vAlign w:val="center"/>
          </w:tcPr>
          <w:p>
            <w:pPr>
              <w:spacing w:line="240" w:lineRule="auto"/>
              <w:ind w:firstLine="0"/>
            </w:pPr>
            <w:r>
              <w:rPr>
                <w:sz w:val="16"/>
              </w:rPr>
              <w:t>0,33</w:t>
            </w:r>
          </w:p>
        </w:tc>
        <w:tc>
          <w:tcPr>
            <w:tcW w:type="dxa" w:w="1344"/>
            <w:vAlign w:val="center"/>
          </w:tcPr>
          <w:p>
            <w:pPr>
              <w:spacing w:line="240" w:lineRule="auto"/>
              <w:ind w:firstLine="0"/>
            </w:pPr>
            <w:r>
              <w:rPr>
                <w:sz w:val="16"/>
              </w:rPr>
              <w:t>1</w:t>
            </w:r>
          </w:p>
        </w:tc>
      </w:tr>
      <w:tr>
        <w:tc>
          <w:tcPr>
            <w:tcW w:type="dxa" w:w="1344"/>
            <w:vAlign w:val="center"/>
          </w:tcPr>
          <w:p>
            <w:pPr>
              <w:spacing w:line="240" w:lineRule="auto"/>
              <w:ind w:firstLine="0"/>
            </w:pPr>
            <w:r>
              <w:rPr>
                <w:sz w:val="16"/>
              </w:rPr>
              <w:t>12044</w:t>
            </w:r>
          </w:p>
        </w:tc>
        <w:tc>
          <w:tcPr>
            <w:tcW w:type="dxa" w:w="1344"/>
            <w:vAlign w:val="center"/>
          </w:tcPr>
          <w:p>
            <w:pPr>
              <w:spacing w:line="240" w:lineRule="auto"/>
              <w:ind w:firstLine="0"/>
            </w:pPr>
            <w:r>
              <w:rPr>
                <w:sz w:val="16"/>
              </w:rPr>
              <w:t>Breves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45</w:t>
            </w:r>
          </w:p>
        </w:tc>
        <w:tc>
          <w:tcPr>
            <w:tcW w:type="dxa" w:w="1344"/>
            <w:vAlign w:val="center"/>
          </w:tcPr>
          <w:p>
            <w:pPr>
              <w:spacing w:line="240" w:lineRule="auto"/>
              <w:ind w:firstLine="0"/>
            </w:pPr>
            <w:r>
              <w:rPr>
                <w:sz w:val="16"/>
              </w:rPr>
              <w:t>31</w:t>
            </w:r>
          </w:p>
        </w:tc>
        <w:tc>
          <w:tcPr>
            <w:tcW w:type="dxa" w:w="1344"/>
            <w:vAlign w:val="center"/>
          </w:tcPr>
          <w:p>
            <w:pPr>
              <w:spacing w:line="240" w:lineRule="auto"/>
              <w:ind w:firstLine="0"/>
            </w:pPr>
            <w:r>
              <w:rPr>
                <w:sz w:val="16"/>
              </w:rPr>
              <w:t>0,26</w:t>
            </w:r>
          </w:p>
        </w:tc>
        <w:tc>
          <w:tcPr>
            <w:tcW w:type="dxa" w:w="1344"/>
            <w:vAlign w:val="center"/>
          </w:tcPr>
          <w:p>
            <w:pPr>
              <w:spacing w:line="240" w:lineRule="auto"/>
              <w:ind w:firstLine="0"/>
            </w:pPr>
            <w:r>
              <w:rPr>
                <w:sz w:val="16"/>
              </w:rPr>
              <w:t>1</w:t>
            </w:r>
          </w:p>
        </w:tc>
      </w:tr>
      <w:tr>
        <w:tc>
          <w:tcPr>
            <w:tcW w:type="dxa" w:w="1344"/>
            <w:vAlign w:val="center"/>
          </w:tcPr>
          <w:p>
            <w:pPr>
              <w:spacing w:line="240" w:lineRule="auto"/>
              <w:ind w:firstLine="0"/>
            </w:pPr>
            <w:r>
              <w:rPr>
                <w:sz w:val="16"/>
              </w:rPr>
              <w:t>12074</w:t>
            </w:r>
          </w:p>
        </w:tc>
        <w:tc>
          <w:tcPr>
            <w:tcW w:type="dxa" w:w="1344"/>
            <w:vAlign w:val="center"/>
          </w:tcPr>
          <w:p>
            <w:pPr>
              <w:spacing w:line="240" w:lineRule="auto"/>
              <w:ind w:firstLine="0"/>
            </w:pPr>
            <w:r>
              <w:rPr>
                <w:sz w:val="16"/>
              </w:rPr>
              <w:t>Cametá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86</w:t>
            </w:r>
          </w:p>
        </w:tc>
        <w:tc>
          <w:tcPr>
            <w:tcW w:type="dxa" w:w="1344"/>
            <w:vAlign w:val="center"/>
          </w:tcPr>
          <w:p>
            <w:pPr>
              <w:spacing w:line="240" w:lineRule="auto"/>
              <w:ind w:firstLine="0"/>
            </w:pPr>
            <w:r>
              <w:rPr>
                <w:sz w:val="16"/>
              </w:rPr>
              <w:t>72</w:t>
            </w:r>
          </w:p>
        </w:tc>
        <w:tc>
          <w:tcPr>
            <w:tcW w:type="dxa" w:w="1344"/>
            <w:vAlign w:val="center"/>
          </w:tcPr>
          <w:p>
            <w:pPr>
              <w:spacing w:line="240" w:lineRule="auto"/>
              <w:ind w:firstLine="0"/>
            </w:pPr>
            <w:r>
              <w:rPr>
                <w:sz w:val="16"/>
              </w:rPr>
              <w:t>0,25</w:t>
            </w:r>
          </w:p>
        </w:tc>
        <w:tc>
          <w:tcPr>
            <w:tcW w:type="dxa" w:w="1344"/>
            <w:vAlign w:val="center"/>
          </w:tcPr>
          <w:p>
            <w:pPr>
              <w:spacing w:line="240" w:lineRule="auto"/>
              <w:ind w:firstLine="0"/>
            </w:pPr>
            <w:r>
              <w:rPr>
                <w:sz w:val="16"/>
              </w:rPr>
              <w:t>1</w:t>
            </w:r>
          </w:p>
        </w:tc>
      </w:tr>
      <w:tr>
        <w:tc>
          <w:tcPr>
            <w:tcW w:type="dxa" w:w="1344"/>
            <w:vAlign w:val="center"/>
          </w:tcPr>
          <w:p>
            <w:pPr>
              <w:spacing w:line="240" w:lineRule="auto"/>
              <w:ind w:firstLine="0"/>
            </w:pPr>
            <w:r>
              <w:rPr>
                <w:sz w:val="16"/>
              </w:rPr>
              <w:t>86396</w:t>
            </w:r>
          </w:p>
        </w:tc>
        <w:tc>
          <w:tcPr>
            <w:tcW w:type="dxa" w:w="1344"/>
            <w:vAlign w:val="center"/>
          </w:tcPr>
          <w:p>
            <w:pPr>
              <w:spacing w:line="240" w:lineRule="auto"/>
              <w:ind w:firstLine="0"/>
            </w:pPr>
            <w:r>
              <w:rPr>
                <w:sz w:val="16"/>
              </w:rPr>
              <w:t>Belém - EaD</w:t>
            </w:r>
          </w:p>
        </w:tc>
        <w:tc>
          <w:tcPr>
            <w:tcW w:type="dxa" w:w="1344"/>
            <w:vAlign w:val="center"/>
          </w:tcPr>
          <w:p>
            <w:pPr>
              <w:spacing w:line="240" w:lineRule="auto"/>
              <w:ind w:firstLine="0"/>
            </w:pPr>
            <w:r>
              <w:rPr>
                <w:sz w:val="16"/>
              </w:rPr>
              <w:t>EaD</w:t>
            </w:r>
          </w:p>
        </w:tc>
        <w:tc>
          <w:tcPr>
            <w:tcW w:type="dxa" w:w="1344"/>
            <w:vAlign w:val="center"/>
          </w:tcPr>
          <w:p>
            <w:pPr>
              <w:spacing w:line="240" w:lineRule="auto"/>
              <w:ind w:firstLine="0"/>
            </w:pPr>
            <w:r>
              <w:rPr>
                <w:sz w:val="16"/>
              </w:rPr>
              <w:t>34</w:t>
            </w:r>
          </w:p>
        </w:tc>
        <w:tc>
          <w:tcPr>
            <w:tcW w:type="dxa" w:w="1344"/>
            <w:vAlign w:val="center"/>
          </w:tcPr>
          <w:p>
            <w:pPr>
              <w:spacing w:line="240" w:lineRule="auto"/>
              <w:ind w:firstLine="0"/>
            </w:pPr>
            <w:r>
              <w:rPr>
                <w:sz w:val="16"/>
              </w:rPr>
              <w:t>16</w:t>
            </w:r>
          </w:p>
        </w:tc>
        <w:tc>
          <w:tcPr>
            <w:tcW w:type="dxa" w:w="1344"/>
            <w:vAlign w:val="center"/>
          </w:tcPr>
          <w:p>
            <w:pPr>
              <w:spacing w:line="240" w:lineRule="auto"/>
              <w:ind w:firstLine="0"/>
            </w:pPr>
            <w:r>
              <w:rPr>
                <w:sz w:val="16"/>
              </w:rPr>
              <w:t>0,06</w:t>
            </w:r>
          </w:p>
        </w:tc>
        <w:tc>
          <w:tcPr>
            <w:tcW w:type="dxa" w:w="1344"/>
            <w:vAlign w:val="center"/>
          </w:tcPr>
          <w:p>
            <w:pPr>
              <w:spacing w:line="240" w:lineRule="auto"/>
              <w:ind w:firstLine="0"/>
            </w:pPr>
            <w:r>
              <w:rPr>
                <w:sz w:val="16"/>
              </w:rPr>
              <w:t>1</w:t>
            </w:r>
          </w:p>
        </w:tc>
      </w:tr>
      <w:tr>
        <w:tc>
          <w:tcPr>
            <w:tcW w:type="dxa" w:w="1344"/>
            <w:vAlign w:val="center"/>
          </w:tcPr>
          <w:p>
            <w:pPr>
              <w:spacing w:line="240" w:lineRule="auto"/>
              <w:ind w:firstLine="0"/>
            </w:pPr>
            <w:r>
              <w:rPr>
                <w:sz w:val="16"/>
              </w:rPr>
              <w:t>114853</w:t>
            </w:r>
          </w:p>
        </w:tc>
        <w:tc>
          <w:tcPr>
            <w:tcW w:type="dxa" w:w="1344"/>
            <w:vAlign w:val="center"/>
          </w:tcPr>
          <w:p>
            <w:pPr>
              <w:spacing w:line="240" w:lineRule="auto"/>
              <w:ind w:firstLine="0"/>
            </w:pPr>
            <w:r>
              <w:rPr>
                <w:sz w:val="16"/>
              </w:rPr>
              <w:t>Abaetetuba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135</w:t>
            </w:r>
          </w:p>
        </w:tc>
        <w:tc>
          <w:tcPr>
            <w:tcW w:type="dxa" w:w="1344"/>
            <w:vAlign w:val="center"/>
          </w:tcPr>
          <w:p>
            <w:pPr>
              <w:spacing w:line="240" w:lineRule="auto"/>
              <w:ind w:firstLine="0"/>
            </w:pPr>
            <w:r>
              <w:rPr>
                <w:sz w:val="16"/>
              </w:rPr>
              <w:t>86</w:t>
            </w:r>
          </w:p>
        </w:tc>
        <w:tc>
          <w:tcPr>
            <w:tcW w:type="dxa" w:w="1344"/>
            <w:vAlign w:val="center"/>
          </w:tcPr>
          <w:p>
            <w:pPr>
              <w:spacing w:line="240" w:lineRule="auto"/>
              <w:ind w:firstLine="0"/>
            </w:pPr>
            <w:r>
              <w:rPr>
                <w:sz w:val="16"/>
              </w:rPr>
              <w:t>0,21</w:t>
            </w:r>
          </w:p>
        </w:tc>
        <w:tc>
          <w:tcPr>
            <w:tcW w:type="dxa" w:w="1344"/>
            <w:vAlign w:val="center"/>
          </w:tcPr>
          <w:p>
            <w:pPr>
              <w:spacing w:line="240" w:lineRule="auto"/>
              <w:ind w:firstLine="0"/>
            </w:pPr>
            <w:r>
              <w:rPr>
                <w:sz w:val="16"/>
              </w:rPr>
              <w:t>1</w:t>
            </w:r>
          </w:p>
        </w:tc>
      </w:tr>
      <w:tr>
        <w:tc>
          <w:tcPr>
            <w:tcW w:type="dxa" w:w="1344"/>
            <w:vAlign w:val="center"/>
          </w:tcPr>
          <w:p>
            <w:pPr>
              <w:spacing w:line="240" w:lineRule="auto"/>
              <w:ind w:firstLine="0"/>
            </w:pPr>
            <w:r>
              <w:rPr>
                <w:sz w:val="16"/>
              </w:rPr>
              <w:t>1300375</w:t>
            </w:r>
          </w:p>
        </w:tc>
        <w:tc>
          <w:tcPr>
            <w:tcW w:type="dxa" w:w="1344"/>
            <w:vAlign w:val="center"/>
          </w:tcPr>
          <w:p>
            <w:pPr>
              <w:spacing w:line="240" w:lineRule="auto"/>
              <w:ind w:firstLine="0"/>
            </w:pPr>
            <w:r>
              <w:rPr>
                <w:sz w:val="16"/>
              </w:rPr>
              <w:t>Salinópolis - Presencial</w:t>
            </w:r>
          </w:p>
        </w:tc>
        <w:tc>
          <w:tcPr>
            <w:tcW w:type="dxa" w:w="1344"/>
            <w:vAlign w:val="center"/>
          </w:tcPr>
          <w:p>
            <w:pPr>
              <w:spacing w:line="240" w:lineRule="auto"/>
              <w:ind w:firstLine="0"/>
            </w:pPr>
            <w:r>
              <w:rPr>
                <w:sz w:val="16"/>
              </w:rPr>
              <w:t>Presencial</w:t>
            </w:r>
          </w:p>
        </w:tc>
        <w:tc>
          <w:tcPr>
            <w:tcW w:type="dxa" w:w="1344"/>
            <w:vAlign w:val="center"/>
          </w:tcPr>
          <w:p>
            <w:pPr>
              <w:spacing w:line="240" w:lineRule="auto"/>
              <w:ind w:firstLine="0"/>
            </w:pPr>
            <w:r>
              <w:rPr>
                <w:sz w:val="16"/>
              </w:rPr>
              <w:t>35</w:t>
            </w:r>
          </w:p>
        </w:tc>
        <w:tc>
          <w:tcPr>
            <w:tcW w:type="dxa" w:w="1344"/>
            <w:vAlign w:val="center"/>
          </w:tcPr>
          <w:p>
            <w:pPr>
              <w:spacing w:line="240" w:lineRule="auto"/>
              <w:ind w:firstLine="0"/>
            </w:pPr>
            <w:r>
              <w:rPr>
                <w:sz w:val="16"/>
              </w:rPr>
              <w:t>26</w:t>
            </w:r>
          </w:p>
        </w:tc>
        <w:tc>
          <w:tcPr>
            <w:tcW w:type="dxa" w:w="1344"/>
            <w:vAlign w:val="center"/>
          </w:tcPr>
          <w:p>
            <w:pPr>
              <w:spacing w:line="240" w:lineRule="auto"/>
              <w:ind w:firstLine="0"/>
            </w:pPr>
            <w:r>
              <w:rPr>
                <w:sz w:val="16"/>
              </w:rPr>
              <w:t>0,12</w:t>
            </w:r>
          </w:p>
        </w:tc>
        <w:tc>
          <w:tcPr>
            <w:tcW w:type="dxa" w:w="1344"/>
            <w:vAlign w:val="center"/>
          </w:tcPr>
          <w:p>
            <w:pPr>
              <w:spacing w:line="240" w:lineRule="auto"/>
              <w:ind w:firstLine="0"/>
            </w:pPr>
            <w:r>
              <w:rPr>
                <w:sz w:val="16"/>
              </w:rPr>
              <w:t>1</w:t>
            </w:r>
          </w:p>
        </w:tc>
      </w:tr>
    </w:tbl>
    <w:p>
      <w:pPr>
        <w:pStyle w:val="Fonte"/>
      </w:pPr>
      <w:r>
        <w:t>Fonte: planilha de Conceito Enade e microdados do Inep (2025).</w:t>
      </w:r>
    </w:p>
    <w:p>
      <w:pPr>
        <w:ind w:firstLine="0"/>
        <w:jc w:val="center"/>
      </w:pPr>
      <w:r>
        <w:rPr>
          <w:b/>
          <w:sz w:val="20"/>
        </w:rPr>
        <w:t>Figura 1 - Painel das ofertas de Matemática da UFPA</w:t>
      </w:r>
    </w:p>
    <w:p>
      <w:pPr>
        <w:ind w:firstLine="0"/>
        <w:jc w:val="center"/>
      </w:pPr>
      <w:r>
        <w:drawing>
          <wp:inline xmlns:a="http://schemas.openxmlformats.org/drawingml/2006/main" xmlns:pic="http://schemas.openxmlformats.org/drawingml/2006/picture">
            <wp:extent cx="5580000" cy="3078259"/>
            <wp:docPr id="1" name="Picture 1"/>
            <wp:cNvGraphicFramePr>
              <a:graphicFrameLocks noChangeAspect="1"/>
            </wp:cNvGraphicFramePr>
            <a:graphic>
              <a:graphicData uri="http://schemas.openxmlformats.org/drawingml/2006/picture">
                <pic:pic>
                  <pic:nvPicPr>
                    <pic:cNvPr id="0" name="01_painel_ofertas_ufpa.png"/>
                    <pic:cNvPicPr/>
                  </pic:nvPicPr>
                  <pic:blipFill>
                    <a:blip r:embed="rId11"/>
                    <a:stretch>
                      <a:fillRect/>
                    </a:stretch>
                  </pic:blipFill>
                  <pic:spPr>
                    <a:xfrm>
                      <a:off x="0" y="0"/>
                      <a:ext cx="5580000" cy="3078259"/>
                    </a:xfrm>
                    <a:prstGeom prst="rect"/>
                  </pic:spPr>
                </pic:pic>
              </a:graphicData>
            </a:graphic>
          </wp:inline>
        </w:drawing>
      </w:r>
    </w:p>
    <w:p>
      <w:pPr>
        <w:pStyle w:val="Fonte"/>
        <w:jc w:val="left"/>
      </w:pPr>
      <w:r>
        <w:t>Fonte: elaboração própria com dados do Inep (2025).</w:t>
      </w:r>
    </w:p>
    <w:p>
      <w:r>
        <w:t>A distribuição interna evidencia que o Conceito 1 não se restringe a uma única modalidade ou município. Há uma oferta EaD e seis ofertas presenciais com conceito 1, o que recomenda evitar explicações antecipadas baseadas exclusivamente na modalidade ou na localização interiorana.</w:t>
      </w:r>
    </w:p>
    <w:p>
      <w:pPr>
        <w:pStyle w:val="Heading1"/>
      </w:pPr>
      <w:r>
        <w:t>5 RESULTADOS</w:t>
      </w:r>
    </w:p>
    <w:p>
      <w:pPr>
        <w:pStyle w:val="Heading2"/>
      </w:pPr>
      <w:r>
        <w:t>5.1 Desempenho e participação</w:t>
      </w:r>
    </w:p>
    <w:p>
      <w:pPr>
        <w:ind w:firstLine="0"/>
      </w:pPr>
      <w:r>
        <w:rPr>
          <w:b/>
          <w:sz w:val="20"/>
        </w:rPr>
        <w:t>Tabela 3 - Síntese de NT_GER por grupo comparativo</w:t>
      </w:r>
    </w:p>
    <w:tbl>
      <w:tblPr>
        <w:tblStyle w:val="TableGrid"/>
        <w:tblW w:type="auto" w:w="0"/>
        <w:jc w:val="center"/>
        <w:tblLook w:firstColumn="1" w:firstRow="1" w:lastColumn="0" w:lastRow="0" w:noHBand="0" w:noVBand="1" w:val="04A0"/>
      </w:tblPr>
      <w:tblGrid>
        <w:gridCol w:w="1344"/>
        <w:gridCol w:w="1344"/>
        <w:gridCol w:w="1344"/>
        <w:gridCol w:w="1344"/>
        <w:gridCol w:w="1344"/>
        <w:gridCol w:w="1344"/>
        <w:gridCol w:w="1344"/>
      </w:tblGrid>
      <w:tr>
        <w:tc>
          <w:tcPr>
            <w:tcW w:type="dxa" w:w="1344"/>
            <w:vAlign w:val="center"/>
          </w:tcPr>
          <w:p>
            <w:pPr>
              <w:jc w:val="center"/>
            </w:pPr>
            <w:r>
              <w:rPr>
                <w:b/>
                <w:sz w:val="16"/>
              </w:rPr>
              <w:t>Grupo</w:t>
            </w:r>
          </w:p>
        </w:tc>
        <w:tc>
          <w:tcPr>
            <w:tcW w:type="dxa" w:w="1344"/>
            <w:vAlign w:val="center"/>
          </w:tcPr>
          <w:p>
            <w:pPr>
              <w:jc w:val="center"/>
            </w:pPr>
            <w:r>
              <w:rPr>
                <w:b/>
                <w:sz w:val="16"/>
              </w:rPr>
              <w:t>Definição</w:t>
            </w:r>
          </w:p>
        </w:tc>
        <w:tc>
          <w:tcPr>
            <w:tcW w:type="dxa" w:w="1344"/>
            <w:vAlign w:val="center"/>
          </w:tcPr>
          <w:p>
            <w:pPr>
              <w:jc w:val="center"/>
            </w:pPr>
            <w:r>
              <w:rPr>
                <w:b/>
                <w:sz w:val="16"/>
              </w:rPr>
              <w:t>Cursos</w:t>
            </w:r>
          </w:p>
        </w:tc>
        <w:tc>
          <w:tcPr>
            <w:tcW w:type="dxa" w:w="1344"/>
            <w:vAlign w:val="center"/>
          </w:tcPr>
          <w:p>
            <w:pPr>
              <w:jc w:val="center"/>
            </w:pPr>
            <w:r>
              <w:rPr>
                <w:b/>
                <w:sz w:val="16"/>
              </w:rPr>
              <w:t>Média</w:t>
            </w:r>
          </w:p>
        </w:tc>
        <w:tc>
          <w:tcPr>
            <w:tcW w:type="dxa" w:w="1344"/>
            <w:vAlign w:val="center"/>
          </w:tcPr>
          <w:p>
            <w:pPr>
              <w:jc w:val="center"/>
            </w:pPr>
            <w:r>
              <w:rPr>
                <w:b/>
                <w:sz w:val="16"/>
              </w:rPr>
              <w:t>Mediana</w:t>
            </w:r>
          </w:p>
        </w:tc>
        <w:tc>
          <w:tcPr>
            <w:tcW w:type="dxa" w:w="1344"/>
            <w:vAlign w:val="center"/>
          </w:tcPr>
          <w:p>
            <w:pPr>
              <w:jc w:val="center"/>
            </w:pPr>
            <w:r>
              <w:rPr>
                <w:b/>
                <w:sz w:val="16"/>
              </w:rPr>
              <w:t>DP</w:t>
            </w:r>
          </w:p>
        </w:tc>
        <w:tc>
          <w:tcPr>
            <w:tcW w:type="dxa" w:w="1344"/>
            <w:vAlign w:val="center"/>
          </w:tcPr>
          <w:p>
            <w:pPr>
              <w:jc w:val="center"/>
            </w:pPr>
            <w:r>
              <w:rPr>
                <w:b/>
                <w:sz w:val="16"/>
              </w:rPr>
              <w:t>Participantes</w:t>
            </w:r>
          </w:p>
        </w:tc>
      </w:tr>
      <w:tr>
        <w:tc>
          <w:tcPr>
            <w:tcW w:type="dxa" w:w="1344"/>
            <w:vAlign w:val="center"/>
          </w:tcPr>
          <w:p>
            <w:pPr>
              <w:spacing w:line="240" w:lineRule="auto"/>
              <w:ind w:firstLine="0"/>
            </w:pPr>
            <w:r>
              <w:rPr>
                <w:sz w:val="16"/>
              </w:rPr>
              <w:t>A</w:t>
            </w:r>
          </w:p>
        </w:tc>
        <w:tc>
          <w:tcPr>
            <w:tcW w:type="dxa" w:w="1344"/>
            <w:vAlign w:val="center"/>
          </w:tcPr>
          <w:p>
            <w:pPr>
              <w:spacing w:line="240" w:lineRule="auto"/>
              <w:ind w:firstLine="0"/>
            </w:pPr>
            <w:r>
              <w:rPr>
                <w:sz w:val="16"/>
              </w:rPr>
              <w:t>UFPA — Conceito 1</w:t>
            </w:r>
          </w:p>
        </w:tc>
        <w:tc>
          <w:tcPr>
            <w:tcW w:type="dxa" w:w="1344"/>
            <w:vAlign w:val="center"/>
          </w:tcPr>
          <w:p>
            <w:pPr>
              <w:spacing w:line="240" w:lineRule="auto"/>
              <w:ind w:firstLine="0"/>
            </w:pPr>
            <w:r>
              <w:rPr>
                <w:sz w:val="16"/>
              </w:rPr>
              <w:t>7</w:t>
            </w:r>
          </w:p>
        </w:tc>
        <w:tc>
          <w:tcPr>
            <w:tcW w:type="dxa" w:w="1344"/>
            <w:vAlign w:val="center"/>
          </w:tcPr>
          <w:p>
            <w:pPr>
              <w:spacing w:line="240" w:lineRule="auto"/>
              <w:ind w:firstLine="0"/>
            </w:pPr>
            <w:r>
              <w:rPr>
                <w:sz w:val="16"/>
              </w:rPr>
              <w:t>42,23</w:t>
            </w:r>
          </w:p>
        </w:tc>
        <w:tc>
          <w:tcPr>
            <w:tcW w:type="dxa" w:w="1344"/>
            <w:vAlign w:val="center"/>
          </w:tcPr>
          <w:p>
            <w:pPr>
              <w:spacing w:line="240" w:lineRule="auto"/>
              <w:ind w:firstLine="0"/>
            </w:pPr>
            <w:r>
              <w:rPr>
                <w:sz w:val="16"/>
              </w:rPr>
              <w:t>43,90</w:t>
            </w:r>
          </w:p>
        </w:tc>
        <w:tc>
          <w:tcPr>
            <w:tcW w:type="dxa" w:w="1344"/>
            <w:vAlign w:val="center"/>
          </w:tcPr>
          <w:p>
            <w:pPr>
              <w:spacing w:line="240" w:lineRule="auto"/>
              <w:ind w:firstLine="0"/>
            </w:pPr>
            <w:r>
              <w:rPr>
                <w:sz w:val="16"/>
              </w:rPr>
              <w:t>3,59</w:t>
            </w:r>
          </w:p>
        </w:tc>
        <w:tc>
          <w:tcPr>
            <w:tcW w:type="dxa" w:w="1344"/>
            <w:vAlign w:val="center"/>
          </w:tcPr>
          <w:p>
            <w:pPr>
              <w:spacing w:line="240" w:lineRule="auto"/>
              <w:ind w:firstLine="0"/>
            </w:pPr>
            <w:r>
              <w:rPr>
                <w:sz w:val="16"/>
              </w:rPr>
              <w:t>317</w:t>
            </w:r>
          </w:p>
        </w:tc>
      </w:tr>
      <w:tr>
        <w:tc>
          <w:tcPr>
            <w:tcW w:type="dxa" w:w="1344"/>
            <w:vAlign w:val="center"/>
          </w:tcPr>
          <w:p>
            <w:pPr>
              <w:spacing w:line="240" w:lineRule="auto"/>
              <w:ind w:firstLine="0"/>
            </w:pPr>
            <w:r>
              <w:rPr>
                <w:sz w:val="16"/>
              </w:rPr>
              <w:t>B</w:t>
            </w:r>
          </w:p>
        </w:tc>
        <w:tc>
          <w:tcPr>
            <w:tcW w:type="dxa" w:w="1344"/>
            <w:vAlign w:val="center"/>
          </w:tcPr>
          <w:p>
            <w:pPr>
              <w:spacing w:line="240" w:lineRule="auto"/>
              <w:ind w:firstLine="0"/>
            </w:pPr>
            <w:r>
              <w:rPr>
                <w:sz w:val="16"/>
              </w:rPr>
              <w:t>UFPA — conceito superior</w:t>
            </w:r>
          </w:p>
        </w:tc>
        <w:tc>
          <w:tcPr>
            <w:tcW w:type="dxa" w:w="1344"/>
            <w:vAlign w:val="center"/>
          </w:tcPr>
          <w:p>
            <w:pPr>
              <w:spacing w:line="240" w:lineRule="auto"/>
              <w:ind w:firstLine="0"/>
            </w:pPr>
            <w:r>
              <w:rPr>
                <w:sz w:val="16"/>
              </w:rPr>
              <w:t>1</w:t>
            </w:r>
          </w:p>
        </w:tc>
        <w:tc>
          <w:tcPr>
            <w:tcW w:type="dxa" w:w="1344"/>
            <w:vAlign w:val="center"/>
          </w:tcPr>
          <w:p>
            <w:pPr>
              <w:spacing w:line="240" w:lineRule="auto"/>
              <w:ind w:firstLine="0"/>
            </w:pPr>
            <w:r>
              <w:rPr>
                <w:sz w:val="16"/>
              </w:rPr>
              <w:t>54,14</w:t>
            </w:r>
          </w:p>
        </w:tc>
        <w:tc>
          <w:tcPr>
            <w:tcW w:type="dxa" w:w="1344"/>
            <w:vAlign w:val="center"/>
          </w:tcPr>
          <w:p>
            <w:pPr>
              <w:spacing w:line="240" w:lineRule="auto"/>
              <w:ind w:firstLine="0"/>
            </w:pPr>
            <w:r>
              <w:rPr>
                <w:sz w:val="16"/>
              </w:rPr>
              <w:t>54,14</w:t>
            </w:r>
          </w:p>
        </w:tc>
        <w:tc>
          <w:tcPr>
            <w:tcW w:type="dxa" w:w="1344"/>
            <w:vAlign w:val="center"/>
          </w:tcPr>
          <w:p>
            <w:pPr>
              <w:spacing w:line="240" w:lineRule="auto"/>
              <w:ind w:firstLine="0"/>
            </w:pPr>
            <w:r>
              <w:rPr>
                <w:sz w:val="16"/>
              </w:rPr>
              <w:t>-</w:t>
            </w:r>
          </w:p>
        </w:tc>
        <w:tc>
          <w:tcPr>
            <w:tcW w:type="dxa" w:w="1344"/>
            <w:vAlign w:val="center"/>
          </w:tcPr>
          <w:p>
            <w:pPr>
              <w:spacing w:line="240" w:lineRule="auto"/>
              <w:ind w:firstLine="0"/>
            </w:pPr>
            <w:r>
              <w:rPr>
                <w:sz w:val="16"/>
              </w:rPr>
              <w:t>61</w:t>
            </w:r>
          </w:p>
        </w:tc>
      </w:tr>
      <w:tr>
        <w:tc>
          <w:tcPr>
            <w:tcW w:type="dxa" w:w="1344"/>
            <w:vAlign w:val="center"/>
          </w:tcPr>
          <w:p>
            <w:pPr>
              <w:spacing w:line="240" w:lineRule="auto"/>
              <w:ind w:firstLine="0"/>
            </w:pPr>
            <w:r>
              <w:rPr>
                <w:sz w:val="16"/>
              </w:rPr>
              <w:t>C</w:t>
            </w:r>
          </w:p>
        </w:tc>
        <w:tc>
          <w:tcPr>
            <w:tcW w:type="dxa" w:w="1344"/>
            <w:vAlign w:val="center"/>
          </w:tcPr>
          <w:p>
            <w:pPr>
              <w:spacing w:line="240" w:lineRule="auto"/>
              <w:ind w:firstLine="0"/>
            </w:pPr>
            <w:r>
              <w:rPr>
                <w:sz w:val="16"/>
              </w:rPr>
              <w:t>Outras IES do Pará</w:t>
            </w:r>
          </w:p>
        </w:tc>
        <w:tc>
          <w:tcPr>
            <w:tcW w:type="dxa" w:w="1344"/>
            <w:vAlign w:val="center"/>
          </w:tcPr>
          <w:p>
            <w:pPr>
              <w:spacing w:line="240" w:lineRule="auto"/>
              <w:ind w:firstLine="0"/>
            </w:pPr>
            <w:r>
              <w:rPr>
                <w:sz w:val="16"/>
              </w:rPr>
              <w:t>5</w:t>
            </w:r>
          </w:p>
        </w:tc>
        <w:tc>
          <w:tcPr>
            <w:tcW w:type="dxa" w:w="1344"/>
            <w:vAlign w:val="center"/>
          </w:tcPr>
          <w:p>
            <w:pPr>
              <w:spacing w:line="240" w:lineRule="auto"/>
              <w:ind w:firstLine="0"/>
            </w:pPr>
            <w:r>
              <w:rPr>
                <w:sz w:val="16"/>
              </w:rPr>
              <w:t>45,56</w:t>
            </w:r>
          </w:p>
        </w:tc>
        <w:tc>
          <w:tcPr>
            <w:tcW w:type="dxa" w:w="1344"/>
            <w:vAlign w:val="center"/>
          </w:tcPr>
          <w:p>
            <w:pPr>
              <w:spacing w:line="240" w:lineRule="auto"/>
              <w:ind w:firstLine="0"/>
            </w:pPr>
            <w:r>
              <w:rPr>
                <w:sz w:val="16"/>
              </w:rPr>
              <w:t>49,46</w:t>
            </w:r>
          </w:p>
        </w:tc>
        <w:tc>
          <w:tcPr>
            <w:tcW w:type="dxa" w:w="1344"/>
            <w:vAlign w:val="center"/>
          </w:tcPr>
          <w:p>
            <w:pPr>
              <w:spacing w:line="240" w:lineRule="auto"/>
              <w:ind w:firstLine="0"/>
            </w:pPr>
            <w:r>
              <w:rPr>
                <w:sz w:val="16"/>
              </w:rPr>
              <w:t>8,89</w:t>
            </w:r>
          </w:p>
        </w:tc>
        <w:tc>
          <w:tcPr>
            <w:tcW w:type="dxa" w:w="1344"/>
            <w:vAlign w:val="center"/>
          </w:tcPr>
          <w:p>
            <w:pPr>
              <w:spacing w:line="240" w:lineRule="auto"/>
              <w:ind w:firstLine="0"/>
            </w:pPr>
            <w:r>
              <w:rPr>
                <w:sz w:val="16"/>
              </w:rPr>
              <w:t>85</w:t>
            </w:r>
          </w:p>
        </w:tc>
      </w:tr>
      <w:tr>
        <w:tc>
          <w:tcPr>
            <w:tcW w:type="dxa" w:w="1344"/>
            <w:vAlign w:val="center"/>
          </w:tcPr>
          <w:p>
            <w:pPr>
              <w:spacing w:line="240" w:lineRule="auto"/>
              <w:ind w:firstLine="0"/>
            </w:pPr>
            <w:r>
              <w:rPr>
                <w:sz w:val="16"/>
              </w:rPr>
              <w:t>D</w:t>
            </w:r>
          </w:p>
        </w:tc>
        <w:tc>
          <w:tcPr>
            <w:tcW w:type="dxa" w:w="1344"/>
            <w:vAlign w:val="center"/>
          </w:tcPr>
          <w:p>
            <w:pPr>
              <w:spacing w:line="240" w:lineRule="auto"/>
              <w:ind w:firstLine="0"/>
            </w:pPr>
            <w:r>
              <w:rPr>
                <w:sz w:val="16"/>
              </w:rPr>
              <w:t>Restante da Região Norte</w:t>
            </w:r>
          </w:p>
        </w:tc>
        <w:tc>
          <w:tcPr>
            <w:tcW w:type="dxa" w:w="1344"/>
            <w:vAlign w:val="center"/>
          </w:tcPr>
          <w:p>
            <w:pPr>
              <w:spacing w:line="240" w:lineRule="auto"/>
              <w:ind w:firstLine="0"/>
            </w:pPr>
            <w:r>
              <w:rPr>
                <w:sz w:val="16"/>
              </w:rPr>
              <w:t>27</w:t>
            </w:r>
          </w:p>
        </w:tc>
        <w:tc>
          <w:tcPr>
            <w:tcW w:type="dxa" w:w="1344"/>
            <w:vAlign w:val="center"/>
          </w:tcPr>
          <w:p>
            <w:pPr>
              <w:spacing w:line="240" w:lineRule="auto"/>
              <w:ind w:firstLine="0"/>
            </w:pPr>
            <w:r>
              <w:rPr>
                <w:sz w:val="16"/>
              </w:rPr>
              <w:t>44,83</w:t>
            </w:r>
          </w:p>
        </w:tc>
        <w:tc>
          <w:tcPr>
            <w:tcW w:type="dxa" w:w="1344"/>
            <w:vAlign w:val="center"/>
          </w:tcPr>
          <w:p>
            <w:pPr>
              <w:spacing w:line="240" w:lineRule="auto"/>
              <w:ind w:firstLine="0"/>
            </w:pPr>
            <w:r>
              <w:rPr>
                <w:sz w:val="16"/>
              </w:rPr>
              <w:t>43,58</w:t>
            </w:r>
          </w:p>
        </w:tc>
        <w:tc>
          <w:tcPr>
            <w:tcW w:type="dxa" w:w="1344"/>
            <w:vAlign w:val="center"/>
          </w:tcPr>
          <w:p>
            <w:pPr>
              <w:spacing w:line="240" w:lineRule="auto"/>
              <w:ind w:firstLine="0"/>
            </w:pPr>
            <w:r>
              <w:rPr>
                <w:sz w:val="16"/>
              </w:rPr>
              <w:t>5,16</w:t>
            </w:r>
          </w:p>
        </w:tc>
        <w:tc>
          <w:tcPr>
            <w:tcW w:type="dxa" w:w="1344"/>
            <w:vAlign w:val="center"/>
          </w:tcPr>
          <w:p>
            <w:pPr>
              <w:spacing w:line="240" w:lineRule="auto"/>
              <w:ind w:firstLine="0"/>
            </w:pPr>
            <w:r>
              <w:rPr>
                <w:sz w:val="16"/>
              </w:rPr>
              <w:t>413</w:t>
            </w:r>
          </w:p>
        </w:tc>
      </w:tr>
      <w:tr>
        <w:tc>
          <w:tcPr>
            <w:tcW w:type="dxa" w:w="1344"/>
            <w:vAlign w:val="center"/>
          </w:tcPr>
          <w:p>
            <w:pPr>
              <w:spacing w:line="240" w:lineRule="auto"/>
              <w:ind w:firstLine="0"/>
            </w:pPr>
            <w:r>
              <w:rPr>
                <w:sz w:val="16"/>
              </w:rPr>
              <w:t>E</w:t>
            </w:r>
          </w:p>
        </w:tc>
        <w:tc>
          <w:tcPr>
            <w:tcW w:type="dxa" w:w="1344"/>
            <w:vAlign w:val="center"/>
          </w:tcPr>
          <w:p>
            <w:pPr>
              <w:spacing w:line="240" w:lineRule="auto"/>
              <w:ind w:firstLine="0"/>
            </w:pPr>
            <w:r>
              <w:rPr>
                <w:sz w:val="16"/>
              </w:rPr>
              <w:t>Restante do Brasil</w:t>
            </w:r>
          </w:p>
        </w:tc>
        <w:tc>
          <w:tcPr>
            <w:tcW w:type="dxa" w:w="1344"/>
            <w:vAlign w:val="center"/>
          </w:tcPr>
          <w:p>
            <w:pPr>
              <w:spacing w:line="240" w:lineRule="auto"/>
              <w:ind w:firstLine="0"/>
            </w:pPr>
            <w:r>
              <w:rPr>
                <w:sz w:val="16"/>
              </w:rPr>
              <w:t>442</w:t>
            </w:r>
          </w:p>
        </w:tc>
        <w:tc>
          <w:tcPr>
            <w:tcW w:type="dxa" w:w="1344"/>
            <w:vAlign w:val="center"/>
          </w:tcPr>
          <w:p>
            <w:pPr>
              <w:spacing w:line="240" w:lineRule="auto"/>
              <w:ind w:firstLine="0"/>
            </w:pPr>
            <w:r>
              <w:rPr>
                <w:sz w:val="16"/>
              </w:rPr>
              <w:t>50,40</w:t>
            </w:r>
          </w:p>
        </w:tc>
        <w:tc>
          <w:tcPr>
            <w:tcW w:type="dxa" w:w="1344"/>
            <w:vAlign w:val="center"/>
          </w:tcPr>
          <w:p>
            <w:pPr>
              <w:spacing w:line="240" w:lineRule="auto"/>
              <w:ind w:firstLine="0"/>
            </w:pPr>
            <w:r>
              <w:rPr>
                <w:sz w:val="16"/>
              </w:rPr>
              <w:t>50,21</w:t>
            </w:r>
          </w:p>
        </w:tc>
        <w:tc>
          <w:tcPr>
            <w:tcW w:type="dxa" w:w="1344"/>
            <w:vAlign w:val="center"/>
          </w:tcPr>
          <w:p>
            <w:pPr>
              <w:spacing w:line="240" w:lineRule="auto"/>
              <w:ind w:firstLine="0"/>
            </w:pPr>
            <w:r>
              <w:rPr>
                <w:sz w:val="16"/>
              </w:rPr>
              <w:t>7,45</w:t>
            </w:r>
          </w:p>
        </w:tc>
        <w:tc>
          <w:tcPr>
            <w:tcW w:type="dxa" w:w="1344"/>
            <w:vAlign w:val="center"/>
          </w:tcPr>
          <w:p>
            <w:pPr>
              <w:spacing w:line="240" w:lineRule="auto"/>
              <w:ind w:firstLine="0"/>
            </w:pPr>
            <w:r>
              <w:rPr>
                <w:sz w:val="16"/>
              </w:rPr>
              <w:t>9583</w:t>
            </w:r>
          </w:p>
        </w:tc>
      </w:tr>
    </w:tbl>
    <w:p>
      <w:pPr>
        <w:pStyle w:val="Fonte"/>
      </w:pPr>
      <w:r>
        <w:t>Fonte: elaboração própria com microdados do Inep (2025).</w:t>
      </w:r>
    </w:p>
    <w:p>
      <w:pPr>
        <w:ind w:firstLine="0"/>
        <w:jc w:val="center"/>
      </w:pPr>
      <w:r>
        <w:rPr>
          <w:b/>
          <w:sz w:val="20"/>
        </w:rPr>
        <w:t>Figura 2 - Posição relativa dos cursos de Matemática em NT_GER</w:t>
      </w:r>
    </w:p>
    <w:p>
      <w:pPr>
        <w:ind w:firstLine="0"/>
        <w:jc w:val="center"/>
      </w:pPr>
      <w:r>
        <w:drawing>
          <wp:inline xmlns:a="http://schemas.openxmlformats.org/drawingml/2006/main" xmlns:pic="http://schemas.openxmlformats.org/drawingml/2006/picture">
            <wp:extent cx="5580000" cy="2760236"/>
            <wp:docPr id="2" name="Picture 2"/>
            <wp:cNvGraphicFramePr>
              <a:graphicFrameLocks noChangeAspect="1"/>
            </wp:cNvGraphicFramePr>
            <a:graphic>
              <a:graphicData uri="http://schemas.openxmlformats.org/drawingml/2006/picture">
                <pic:pic>
                  <pic:nvPicPr>
                    <pic:cNvPr id="0" name="02_posicao_relativa_nt_ger.png"/>
                    <pic:cNvPicPr/>
                  </pic:nvPicPr>
                  <pic:blipFill>
                    <a:blip r:embed="rId12"/>
                    <a:stretch>
                      <a:fillRect/>
                    </a:stretch>
                  </pic:blipFill>
                  <pic:spPr>
                    <a:xfrm>
                      <a:off x="0" y="0"/>
                      <a:ext cx="5580000" cy="2760236"/>
                    </a:xfrm>
                    <a:prstGeom prst="rect"/>
                  </pic:spPr>
                </pic:pic>
              </a:graphicData>
            </a:graphic>
          </wp:inline>
        </w:drawing>
      </w:r>
    </w:p>
    <w:p>
      <w:pPr>
        <w:pStyle w:val="Fonte"/>
        <w:jc w:val="left"/>
      </w:pPr>
      <w:r>
        <w:t>Fonte: elaboração própria com microdados do Inep (2025).</w:t>
      </w:r>
    </w:p>
    <w:p>
      <w:pPr>
        <w:ind w:firstLine="0"/>
        <w:jc w:val="center"/>
      </w:pPr>
      <w:r>
        <w:rPr>
          <w:b/>
          <w:sz w:val="20"/>
        </w:rPr>
        <w:t>Figura 3 - Distribuição de NT_GER por grupo comparativo</w:t>
      </w:r>
    </w:p>
    <w:p>
      <w:pPr>
        <w:ind w:firstLine="0"/>
        <w:jc w:val="center"/>
      </w:pPr>
      <w:r>
        <w:drawing>
          <wp:inline xmlns:a="http://schemas.openxmlformats.org/drawingml/2006/main" xmlns:pic="http://schemas.openxmlformats.org/drawingml/2006/picture">
            <wp:extent cx="5580000" cy="2760236"/>
            <wp:docPr id="3" name="Picture 3"/>
            <wp:cNvGraphicFramePr>
              <a:graphicFrameLocks noChangeAspect="1"/>
            </wp:cNvGraphicFramePr>
            <a:graphic>
              <a:graphicData uri="http://schemas.openxmlformats.org/drawingml/2006/picture">
                <pic:pic>
                  <pic:nvPicPr>
                    <pic:cNvPr id="0" name="03_boxplot_nt_ger_grupos.png"/>
                    <pic:cNvPicPr/>
                  </pic:nvPicPr>
                  <pic:blipFill>
                    <a:blip r:embed="rId13"/>
                    <a:stretch>
                      <a:fillRect/>
                    </a:stretch>
                  </pic:blipFill>
                  <pic:spPr>
                    <a:xfrm>
                      <a:off x="0" y="0"/>
                      <a:ext cx="5580000" cy="2760236"/>
                    </a:xfrm>
                    <a:prstGeom prst="rect"/>
                  </pic:spPr>
                </pic:pic>
              </a:graphicData>
            </a:graphic>
          </wp:inline>
        </w:drawing>
      </w:r>
    </w:p>
    <w:p>
      <w:pPr>
        <w:pStyle w:val="Fonte"/>
        <w:jc w:val="left"/>
      </w:pPr>
      <w:r>
        <w:t>Fonte: elaboração própria com microdados do Inep (2025).</w:t>
      </w:r>
    </w:p>
    <w:p>
      <w:pPr>
        <w:ind w:firstLine="0"/>
        <w:jc w:val="center"/>
      </w:pPr>
      <w:r>
        <w:rPr>
          <w:b/>
          <w:sz w:val="20"/>
        </w:rPr>
        <w:t>Figura 4 - Participantes oficiais e notas válidas nas ofertas da UFPA</w:t>
      </w:r>
    </w:p>
    <w:p>
      <w:pPr>
        <w:ind w:firstLine="0"/>
        <w:jc w:val="center"/>
      </w:pPr>
      <w:r>
        <w:drawing>
          <wp:inline xmlns:a="http://schemas.openxmlformats.org/drawingml/2006/main" xmlns:pic="http://schemas.openxmlformats.org/drawingml/2006/picture">
            <wp:extent cx="5580000" cy="2534652"/>
            <wp:docPr id="4" name="Picture 4"/>
            <wp:cNvGraphicFramePr>
              <a:graphicFrameLocks noChangeAspect="1"/>
            </wp:cNvGraphicFramePr>
            <a:graphic>
              <a:graphicData uri="http://schemas.openxmlformats.org/drawingml/2006/picture">
                <pic:pic>
                  <pic:nvPicPr>
                    <pic:cNvPr id="0" name="validada_04_participacao.png"/>
                    <pic:cNvPicPr/>
                  </pic:nvPicPr>
                  <pic:blipFill>
                    <a:blip r:embed="rId14"/>
                    <a:stretch>
                      <a:fillRect/>
                    </a:stretch>
                  </pic:blipFill>
                  <pic:spPr>
                    <a:xfrm>
                      <a:off x="0" y="0"/>
                      <a:ext cx="5580000" cy="2534652"/>
                    </a:xfrm>
                    <a:prstGeom prst="rect"/>
                  </pic:spPr>
                </pic:pic>
              </a:graphicData>
            </a:graphic>
          </wp:inline>
        </w:drawing>
      </w:r>
    </w:p>
    <w:p>
      <w:pPr>
        <w:pStyle w:val="Fonte"/>
        <w:jc w:val="left"/>
      </w:pPr>
      <w:r>
        <w:t>Fonte: elaboração própria com dados do Inep (2025).</w:t>
      </w:r>
    </w:p>
    <w:p>
      <w:r>
        <w:t>As ofertas da UFPA com conceito 1 apresentam média de NT_GER inferior à oferta presencial de Belém e ao restante do Brasil. A diferença não se limita à média: a posição relativa e as distribuições indicam deslocamento global do desempenho. O número oficial de participantes coincide com o número de notas gerais válidas nas oito ofertas, embora o total de registros cadastrais seja maior.</w:t>
      </w:r>
    </w:p>
    <w:p>
      <w:pPr>
        <w:pStyle w:val="Heading2"/>
      </w:pPr>
      <w:r>
        <w:t>5.2 Perfil demográfico e socioeconômico</w:t>
      </w:r>
    </w:p>
    <w:p>
      <w:pPr>
        <w:ind w:firstLine="0"/>
        <w:jc w:val="center"/>
      </w:pPr>
      <w:r>
        <w:rPr>
          <w:b/>
          <w:sz w:val="20"/>
        </w:rPr>
        <w:t>Figura 5 - Indicadores socioeconômicos agregados por grupo</w:t>
      </w:r>
    </w:p>
    <w:p>
      <w:pPr>
        <w:ind w:firstLine="0"/>
        <w:jc w:val="center"/>
      </w:pPr>
      <w:r>
        <w:drawing>
          <wp:inline xmlns:a="http://schemas.openxmlformats.org/drawingml/2006/main" xmlns:pic="http://schemas.openxmlformats.org/drawingml/2006/picture">
            <wp:extent cx="5580000" cy="2763188"/>
            <wp:docPr id="5" name="Picture 5"/>
            <wp:cNvGraphicFramePr>
              <a:graphicFrameLocks noChangeAspect="1"/>
            </wp:cNvGraphicFramePr>
            <a:graphic>
              <a:graphicData uri="http://schemas.openxmlformats.org/drawingml/2006/picture">
                <pic:pic>
                  <pic:nvPicPr>
                    <pic:cNvPr id="0" name="05_indicadores_socioeconomicos.png"/>
                    <pic:cNvPicPr/>
                  </pic:nvPicPr>
                  <pic:blipFill>
                    <a:blip r:embed="rId15"/>
                    <a:stretch>
                      <a:fillRect/>
                    </a:stretch>
                  </pic:blipFill>
                  <pic:spPr>
                    <a:xfrm>
                      <a:off x="0" y="0"/>
                      <a:ext cx="5580000" cy="2763188"/>
                    </a:xfrm>
                    <a:prstGeom prst="rect"/>
                  </pic:spPr>
                </pic:pic>
              </a:graphicData>
            </a:graphic>
          </wp:inline>
        </w:drawing>
      </w:r>
    </w:p>
    <w:p>
      <w:pPr>
        <w:pStyle w:val="Fonte"/>
        <w:jc w:val="left"/>
      </w:pPr>
      <w:r>
        <w:t>Fonte: elaboração própria com microdados do Inep (2025).</w:t>
      </w:r>
    </w:p>
    <w:p>
      <w:r>
        <w:t>Os indicadores de renda, trabalho, ação afirmativa e auxílio revelam heterogeneidade entre as ofertas da UFPA e os benchmarks. Essas diferenças caracterizam a composição dos cursos; não constituem evidência de que determinado perfil individual produziu menor desempenho.</w:t>
      </w:r>
    </w:p>
    <w:p>
      <w:pPr>
        <w:pStyle w:val="Heading2"/>
      </w:pPr>
      <w:r>
        <w:t>5.3 Trajetória e condições acadêmicas</w:t>
      </w:r>
    </w:p>
    <w:p>
      <w:r>
        <w:t>A trajetória foi descrita por ano de conclusão do ensino médio, ano de ingresso, tempo desde o ingresso e turno. As diferenças devem ser interpretadas em conjunto com porte e modalidade. Cursos com trajetórias mais longas ou maior presença do turno noturno podem enfrentar condições formativas distintas, mas o desenho exploratório não isola efeitos causais.</w:t>
      </w:r>
    </w:p>
    <w:p>
      <w:pPr>
        <w:pStyle w:val="Heading2"/>
      </w:pPr>
      <w:r>
        <w:t>5.4 Processo formativo</w:t>
      </w:r>
    </w:p>
    <w:p>
      <w:pPr>
        <w:ind w:firstLine="0"/>
        <w:jc w:val="center"/>
      </w:pPr>
      <w:r>
        <w:rPr>
          <w:b/>
          <w:sz w:val="20"/>
        </w:rPr>
        <w:t>Figura 6 - Concordância nos itens do processo formativo</w:t>
      </w:r>
    </w:p>
    <w:p>
      <w:pPr>
        <w:ind w:firstLine="0"/>
        <w:jc w:val="center"/>
      </w:pPr>
      <w:r>
        <w:drawing>
          <wp:inline xmlns:a="http://schemas.openxmlformats.org/drawingml/2006/main" xmlns:pic="http://schemas.openxmlformats.org/drawingml/2006/picture">
            <wp:extent cx="5580000" cy="1719190"/>
            <wp:docPr id="6" name="Picture 6"/>
            <wp:cNvGraphicFramePr>
              <a:graphicFrameLocks noChangeAspect="1"/>
            </wp:cNvGraphicFramePr>
            <a:graphic>
              <a:graphicData uri="http://schemas.openxmlformats.org/drawingml/2006/picture">
                <pic:pic>
                  <pic:nvPicPr>
                    <pic:cNvPr id="0" name="06_heatmap_processo_formativo.png"/>
                    <pic:cNvPicPr/>
                  </pic:nvPicPr>
                  <pic:blipFill>
                    <a:blip r:embed="rId16"/>
                    <a:stretch>
                      <a:fillRect/>
                    </a:stretch>
                  </pic:blipFill>
                  <pic:spPr>
                    <a:xfrm>
                      <a:off x="0" y="0"/>
                      <a:ext cx="5580000" cy="1719190"/>
                    </a:xfrm>
                    <a:prstGeom prst="rect"/>
                  </pic:spPr>
                </pic:pic>
              </a:graphicData>
            </a:graphic>
          </wp:inline>
        </w:drawing>
      </w:r>
    </w:p>
    <w:p>
      <w:pPr>
        <w:pStyle w:val="Fonte"/>
        <w:jc w:val="left"/>
      </w:pPr>
      <w:r>
        <w:t>Fonte: elaboração própria com microdados do Inep (2025).</w:t>
      </w:r>
    </w:p>
    <w:p>
      <w:pPr>
        <w:ind w:firstLine="0"/>
      </w:pPr>
      <w:r>
        <w:rPr>
          <w:b/>
          <w:sz w:val="20"/>
        </w:rPr>
        <w:t>Tabela 4 - Diagnóstico preliminar das dimensões do processo formativo</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vAlign w:val="center"/>
          </w:tcPr>
          <w:p>
            <w:pPr>
              <w:jc w:val="center"/>
            </w:pPr>
            <w:r>
              <w:rPr>
                <w:b/>
                <w:sz w:val="16"/>
              </w:rPr>
              <w:t>Dimensão</w:t>
            </w:r>
          </w:p>
        </w:tc>
        <w:tc>
          <w:tcPr>
            <w:tcW w:type="dxa" w:w="1881"/>
            <w:vAlign w:val="center"/>
          </w:tcPr>
          <w:p>
            <w:pPr>
              <w:jc w:val="center"/>
            </w:pPr>
            <w:r>
              <w:rPr>
                <w:b/>
                <w:sz w:val="16"/>
              </w:rPr>
              <w:t>Itens</w:t>
            </w:r>
          </w:p>
        </w:tc>
        <w:tc>
          <w:tcPr>
            <w:tcW w:type="dxa" w:w="1881"/>
            <w:vAlign w:val="center"/>
          </w:tcPr>
          <w:p>
            <w:pPr>
              <w:jc w:val="center"/>
            </w:pPr>
            <w:r>
              <w:rPr>
                <w:b/>
                <w:sz w:val="16"/>
              </w:rPr>
              <w:t>Casos completos</w:t>
            </w:r>
          </w:p>
        </w:tc>
        <w:tc>
          <w:tcPr>
            <w:tcW w:type="dxa" w:w="1881"/>
            <w:vAlign w:val="center"/>
          </w:tcPr>
          <w:p>
            <w:pPr>
              <w:jc w:val="center"/>
            </w:pPr>
            <w:r>
              <w:rPr>
                <w:b/>
                <w:sz w:val="16"/>
              </w:rPr>
              <w:t>Alfa</w:t>
            </w:r>
          </w:p>
        </w:tc>
        <w:tc>
          <w:tcPr>
            <w:tcW w:type="dxa" w:w="1881"/>
            <w:vAlign w:val="center"/>
          </w:tcPr>
          <w:p>
            <w:pPr>
              <w:jc w:val="center"/>
            </w:pPr>
            <w:r>
              <w:rPr>
                <w:b/>
                <w:sz w:val="16"/>
              </w:rPr>
              <w:t>Decisão</w:t>
            </w:r>
          </w:p>
        </w:tc>
      </w:tr>
      <w:tr>
        <w:tc>
          <w:tcPr>
            <w:tcW w:type="dxa" w:w="1881"/>
            <w:vAlign w:val="center"/>
          </w:tcPr>
          <w:p>
            <w:pPr>
              <w:spacing w:line="240" w:lineRule="auto"/>
              <w:ind w:firstLine="0"/>
            </w:pPr>
            <w:r>
              <w:rPr>
                <w:sz w:val="16"/>
              </w:rPr>
              <w:t>organizacao_didatico_pedagogica</w:t>
            </w:r>
          </w:p>
        </w:tc>
        <w:tc>
          <w:tcPr>
            <w:tcW w:type="dxa" w:w="1881"/>
            <w:vAlign w:val="center"/>
          </w:tcPr>
          <w:p>
            <w:pPr>
              <w:spacing w:line="240" w:lineRule="auto"/>
              <w:ind w:firstLine="0"/>
            </w:pPr>
            <w:r>
              <w:rPr>
                <w:sz w:val="16"/>
              </w:rPr>
              <w:t>14</w:t>
            </w:r>
          </w:p>
        </w:tc>
        <w:tc>
          <w:tcPr>
            <w:tcW w:type="dxa" w:w="1881"/>
            <w:vAlign w:val="center"/>
          </w:tcPr>
          <w:p>
            <w:pPr>
              <w:spacing w:line="240" w:lineRule="auto"/>
              <w:ind w:firstLine="0"/>
            </w:pPr>
            <w:r>
              <w:rPr>
                <w:sz w:val="16"/>
              </w:rPr>
              <w:t>6531</w:t>
            </w:r>
          </w:p>
        </w:tc>
        <w:tc>
          <w:tcPr>
            <w:tcW w:type="dxa" w:w="1881"/>
            <w:vAlign w:val="center"/>
          </w:tcPr>
          <w:p>
            <w:pPr>
              <w:spacing w:line="240" w:lineRule="auto"/>
              <w:ind w:firstLine="0"/>
            </w:pPr>
            <w:r>
              <w:rPr>
                <w:sz w:val="16"/>
              </w:rPr>
              <w:t>0,95</w:t>
            </w:r>
          </w:p>
        </w:tc>
        <w:tc>
          <w:tcPr>
            <w:tcW w:type="dxa" w:w="1881"/>
            <w:vAlign w:val="center"/>
          </w:tcPr>
          <w:p>
            <w:pPr>
              <w:spacing w:line="240" w:lineRule="auto"/>
              <w:ind w:firstLine="0"/>
            </w:pPr>
            <w:r>
              <w:rPr>
                <w:sz w:val="16"/>
              </w:rPr>
              <w:t>diagnóstico preliminar; exige validação teórica dos itens</w:t>
            </w:r>
          </w:p>
        </w:tc>
      </w:tr>
      <w:tr>
        <w:tc>
          <w:tcPr>
            <w:tcW w:type="dxa" w:w="1881"/>
            <w:vAlign w:val="center"/>
          </w:tcPr>
          <w:p>
            <w:pPr>
              <w:spacing w:line="240" w:lineRule="auto"/>
              <w:ind w:firstLine="0"/>
            </w:pPr>
            <w:r>
              <w:rPr>
                <w:sz w:val="16"/>
              </w:rPr>
              <w:t>atuacao_docente</w:t>
            </w:r>
          </w:p>
        </w:tc>
        <w:tc>
          <w:tcPr>
            <w:tcW w:type="dxa" w:w="1881"/>
            <w:vAlign w:val="center"/>
          </w:tcPr>
          <w:p>
            <w:pPr>
              <w:spacing w:line="240" w:lineRule="auto"/>
              <w:ind w:firstLine="0"/>
            </w:pPr>
            <w:r>
              <w:rPr>
                <w:sz w:val="16"/>
              </w:rPr>
              <w:t>8</w:t>
            </w:r>
          </w:p>
        </w:tc>
        <w:tc>
          <w:tcPr>
            <w:tcW w:type="dxa" w:w="1881"/>
            <w:vAlign w:val="center"/>
          </w:tcPr>
          <w:p>
            <w:pPr>
              <w:spacing w:line="240" w:lineRule="auto"/>
              <w:ind w:firstLine="0"/>
            </w:pPr>
            <w:r>
              <w:rPr>
                <w:sz w:val="16"/>
              </w:rPr>
              <w:t>10141</w:t>
            </w:r>
          </w:p>
        </w:tc>
        <w:tc>
          <w:tcPr>
            <w:tcW w:type="dxa" w:w="1881"/>
            <w:vAlign w:val="center"/>
          </w:tcPr>
          <w:p>
            <w:pPr>
              <w:spacing w:line="240" w:lineRule="auto"/>
              <w:ind w:firstLine="0"/>
            </w:pPr>
            <w:r>
              <w:rPr>
                <w:sz w:val="16"/>
              </w:rPr>
              <w:t>0,93</w:t>
            </w:r>
          </w:p>
        </w:tc>
        <w:tc>
          <w:tcPr>
            <w:tcW w:type="dxa" w:w="1881"/>
            <w:vAlign w:val="center"/>
          </w:tcPr>
          <w:p>
            <w:pPr>
              <w:spacing w:line="240" w:lineRule="auto"/>
              <w:ind w:firstLine="0"/>
            </w:pPr>
            <w:r>
              <w:rPr>
                <w:sz w:val="16"/>
              </w:rPr>
              <w:t>diagnóstico preliminar; exige validação teórica dos itens</w:t>
            </w:r>
          </w:p>
        </w:tc>
      </w:tr>
      <w:tr>
        <w:tc>
          <w:tcPr>
            <w:tcW w:type="dxa" w:w="1881"/>
            <w:vAlign w:val="center"/>
          </w:tcPr>
          <w:p>
            <w:pPr>
              <w:spacing w:line="240" w:lineRule="auto"/>
              <w:ind w:firstLine="0"/>
            </w:pPr>
            <w:r>
              <w:rPr>
                <w:sz w:val="16"/>
              </w:rPr>
              <w:t>infraestrutura_recursos</w:t>
            </w:r>
          </w:p>
        </w:tc>
        <w:tc>
          <w:tcPr>
            <w:tcW w:type="dxa" w:w="1881"/>
            <w:vAlign w:val="center"/>
          </w:tcPr>
          <w:p>
            <w:pPr>
              <w:spacing w:line="240" w:lineRule="auto"/>
              <w:ind w:firstLine="0"/>
            </w:pPr>
            <w:r>
              <w:rPr>
                <w:sz w:val="16"/>
              </w:rPr>
              <w:t>8</w:t>
            </w:r>
          </w:p>
        </w:tc>
        <w:tc>
          <w:tcPr>
            <w:tcW w:type="dxa" w:w="1881"/>
            <w:vAlign w:val="center"/>
          </w:tcPr>
          <w:p>
            <w:pPr>
              <w:spacing w:line="240" w:lineRule="auto"/>
              <w:ind w:firstLine="0"/>
            </w:pPr>
            <w:r>
              <w:rPr>
                <w:sz w:val="16"/>
              </w:rPr>
              <w:t>5339</w:t>
            </w:r>
          </w:p>
        </w:tc>
        <w:tc>
          <w:tcPr>
            <w:tcW w:type="dxa" w:w="1881"/>
            <w:vAlign w:val="center"/>
          </w:tcPr>
          <w:p>
            <w:pPr>
              <w:spacing w:line="240" w:lineRule="auto"/>
              <w:ind w:firstLine="0"/>
            </w:pPr>
            <w:r>
              <w:rPr>
                <w:sz w:val="16"/>
              </w:rPr>
              <w:t>0,94</w:t>
            </w:r>
          </w:p>
        </w:tc>
        <w:tc>
          <w:tcPr>
            <w:tcW w:type="dxa" w:w="1881"/>
            <w:vAlign w:val="center"/>
          </w:tcPr>
          <w:p>
            <w:pPr>
              <w:spacing w:line="240" w:lineRule="auto"/>
              <w:ind w:firstLine="0"/>
            </w:pPr>
            <w:r>
              <w:rPr>
                <w:sz w:val="16"/>
              </w:rPr>
              <w:t>diagnóstico preliminar; exige validação teórica dos itens</w:t>
            </w:r>
          </w:p>
        </w:tc>
      </w:tr>
      <w:tr>
        <w:tc>
          <w:tcPr>
            <w:tcW w:type="dxa" w:w="1881"/>
            <w:vAlign w:val="center"/>
          </w:tcPr>
          <w:p>
            <w:pPr>
              <w:spacing w:line="240" w:lineRule="auto"/>
              <w:ind w:firstLine="0"/>
            </w:pPr>
            <w:r>
              <w:rPr>
                <w:sz w:val="16"/>
              </w:rPr>
              <w:t>oportunidades_formacao</w:t>
            </w:r>
          </w:p>
        </w:tc>
        <w:tc>
          <w:tcPr>
            <w:tcW w:type="dxa" w:w="1881"/>
            <w:vAlign w:val="center"/>
          </w:tcPr>
          <w:p>
            <w:pPr>
              <w:spacing w:line="240" w:lineRule="auto"/>
              <w:ind w:firstLine="0"/>
            </w:pPr>
            <w:r>
              <w:rPr>
                <w:sz w:val="16"/>
              </w:rPr>
              <w:t>9</w:t>
            </w:r>
          </w:p>
        </w:tc>
        <w:tc>
          <w:tcPr>
            <w:tcW w:type="dxa" w:w="1881"/>
            <w:vAlign w:val="center"/>
          </w:tcPr>
          <w:p>
            <w:pPr>
              <w:spacing w:line="240" w:lineRule="auto"/>
              <w:ind w:firstLine="0"/>
            </w:pPr>
            <w:r>
              <w:rPr>
                <w:sz w:val="16"/>
              </w:rPr>
              <w:t>11161</w:t>
            </w:r>
          </w:p>
        </w:tc>
        <w:tc>
          <w:tcPr>
            <w:tcW w:type="dxa" w:w="1881"/>
            <w:vAlign w:val="center"/>
          </w:tcPr>
          <w:p>
            <w:pPr>
              <w:spacing w:line="240" w:lineRule="auto"/>
              <w:ind w:firstLine="0"/>
            </w:pPr>
            <w:r>
              <w:rPr>
                <w:sz w:val="16"/>
              </w:rPr>
              <w:t>0,95</w:t>
            </w:r>
          </w:p>
        </w:tc>
        <w:tc>
          <w:tcPr>
            <w:tcW w:type="dxa" w:w="1881"/>
            <w:vAlign w:val="center"/>
          </w:tcPr>
          <w:p>
            <w:pPr>
              <w:spacing w:line="240" w:lineRule="auto"/>
              <w:ind w:firstLine="0"/>
            </w:pPr>
            <w:r>
              <w:rPr>
                <w:sz w:val="16"/>
              </w:rPr>
              <w:t>diagnóstico preliminar; exige validação teórica dos itens</w:t>
            </w:r>
          </w:p>
        </w:tc>
      </w:tr>
      <w:tr>
        <w:tc>
          <w:tcPr>
            <w:tcW w:type="dxa" w:w="1881"/>
            <w:vAlign w:val="center"/>
          </w:tcPr>
          <w:p>
            <w:pPr>
              <w:spacing w:line="240" w:lineRule="auto"/>
              <w:ind w:firstLine="0"/>
            </w:pPr>
            <w:r>
              <w:rPr>
                <w:sz w:val="16"/>
              </w:rPr>
              <w:t>integracao_teoria_pratica</w:t>
            </w:r>
          </w:p>
        </w:tc>
        <w:tc>
          <w:tcPr>
            <w:tcW w:type="dxa" w:w="1881"/>
            <w:vAlign w:val="center"/>
          </w:tcPr>
          <w:p>
            <w:pPr>
              <w:spacing w:line="240" w:lineRule="auto"/>
              <w:ind w:firstLine="0"/>
            </w:pPr>
            <w:r>
              <w:rPr>
                <w:sz w:val="16"/>
              </w:rPr>
              <w:t>8</w:t>
            </w:r>
          </w:p>
        </w:tc>
        <w:tc>
          <w:tcPr>
            <w:tcW w:type="dxa" w:w="1881"/>
            <w:vAlign w:val="center"/>
          </w:tcPr>
          <w:p>
            <w:pPr>
              <w:spacing w:line="240" w:lineRule="auto"/>
              <w:ind w:firstLine="0"/>
            </w:pPr>
            <w:r>
              <w:rPr>
                <w:sz w:val="16"/>
              </w:rPr>
              <w:t>11589</w:t>
            </w:r>
          </w:p>
        </w:tc>
        <w:tc>
          <w:tcPr>
            <w:tcW w:type="dxa" w:w="1881"/>
            <w:vAlign w:val="center"/>
          </w:tcPr>
          <w:p>
            <w:pPr>
              <w:spacing w:line="240" w:lineRule="auto"/>
              <w:ind w:firstLine="0"/>
            </w:pPr>
            <w:r>
              <w:rPr>
                <w:sz w:val="16"/>
              </w:rPr>
              <w:t>0,96</w:t>
            </w:r>
          </w:p>
        </w:tc>
        <w:tc>
          <w:tcPr>
            <w:tcW w:type="dxa" w:w="1881"/>
            <w:vAlign w:val="center"/>
          </w:tcPr>
          <w:p>
            <w:pPr>
              <w:spacing w:line="240" w:lineRule="auto"/>
              <w:ind w:firstLine="0"/>
            </w:pPr>
            <w:r>
              <w:rPr>
                <w:sz w:val="16"/>
              </w:rPr>
              <w:t>diagnóstico preliminar; exige validação teórica dos itens</w:t>
            </w:r>
          </w:p>
        </w:tc>
      </w:tr>
    </w:tbl>
    <w:p>
      <w:pPr>
        <w:pStyle w:val="Fonte"/>
      </w:pPr>
      <w:r>
        <w:t>Fonte: elaboração própria com microdados do Inep (2025).</w:t>
      </w:r>
    </w:p>
    <w:p>
      <w:r>
        <w:t>Os coeficientes de consistência interna são elevados, mas não bastam para validar dimensões. O agrupamento permanece preliminar e depende de conferência textual item a item. O relatório não utiliza uma média única de QE_I20 a QE_I66.</w:t>
      </w:r>
    </w:p>
    <w:p>
      <w:pPr>
        <w:pStyle w:val="Heading2"/>
      </w:pPr>
      <w:r>
        <w:t>5.5 Recomendação</w:t>
      </w:r>
    </w:p>
    <w:p>
      <w:pPr>
        <w:ind w:firstLine="0"/>
        <w:jc w:val="center"/>
      </w:pPr>
      <w:r>
        <w:rPr>
          <w:b/>
          <w:sz w:val="20"/>
        </w:rPr>
        <w:t>Figura 7 - Recomendação do curso e da instituição</w:t>
      </w:r>
    </w:p>
    <w:p>
      <w:pPr>
        <w:ind w:firstLine="0"/>
        <w:jc w:val="center"/>
      </w:pPr>
      <w:r>
        <w:drawing>
          <wp:inline xmlns:a="http://schemas.openxmlformats.org/drawingml/2006/main" xmlns:pic="http://schemas.openxmlformats.org/drawingml/2006/picture">
            <wp:extent cx="5580000" cy="3070569"/>
            <wp:docPr id="7" name="Picture 7"/>
            <wp:cNvGraphicFramePr>
              <a:graphicFrameLocks noChangeAspect="1"/>
            </wp:cNvGraphicFramePr>
            <a:graphic>
              <a:graphicData uri="http://schemas.openxmlformats.org/drawingml/2006/picture">
                <pic:pic>
                  <pic:nvPicPr>
                    <pic:cNvPr id="0" name="07_recomendacao.png"/>
                    <pic:cNvPicPr/>
                  </pic:nvPicPr>
                  <pic:blipFill>
                    <a:blip r:embed="rId17"/>
                    <a:stretch>
                      <a:fillRect/>
                    </a:stretch>
                  </pic:blipFill>
                  <pic:spPr>
                    <a:xfrm>
                      <a:off x="0" y="0"/>
                      <a:ext cx="5580000" cy="3070569"/>
                    </a:xfrm>
                    <a:prstGeom prst="rect"/>
                  </pic:spPr>
                </pic:pic>
              </a:graphicData>
            </a:graphic>
          </wp:inline>
        </w:drawing>
      </w:r>
    </w:p>
    <w:p>
      <w:pPr>
        <w:pStyle w:val="Fonte"/>
        <w:jc w:val="left"/>
      </w:pPr>
      <w:r>
        <w:t>Fonte: elaboração própria com microdados do Inep (2025).</w:t>
      </w:r>
    </w:p>
    <w:p>
      <w:r>
        <w:t>QE_I68 e QE_I69 são apresentados com seus rótulos oficiais de recomendação. Diferenças nessas respostas não devem ser automaticamente descritas como satisfação geral, pois os itens possuem conteúdo específico.</w:t>
      </w:r>
    </w:p>
    <w:p>
      <w:pPr>
        <w:pStyle w:val="Heading2"/>
      </w:pPr>
      <w:r>
        <w:t>5.6 Benchmark comparável</w:t>
      </w:r>
    </w:p>
    <w:p>
      <w:pPr>
        <w:ind w:firstLine="0"/>
        <w:jc w:val="center"/>
      </w:pPr>
      <w:r>
        <w:rPr>
          <w:b/>
          <w:sz w:val="20"/>
        </w:rPr>
        <w:t>Figura 8 - Diferenças de NT_GER em relação aos benchmarks comparáveis</w:t>
      </w:r>
    </w:p>
    <w:p>
      <w:pPr>
        <w:ind w:firstLine="0"/>
        <w:jc w:val="center"/>
      </w:pPr>
      <w:r>
        <w:drawing>
          <wp:inline xmlns:a="http://schemas.openxmlformats.org/drawingml/2006/main" xmlns:pic="http://schemas.openxmlformats.org/drawingml/2006/picture">
            <wp:extent cx="5580000" cy="2762313"/>
            <wp:docPr id="8" name="Picture 8"/>
            <wp:cNvGraphicFramePr>
              <a:graphicFrameLocks noChangeAspect="1"/>
            </wp:cNvGraphicFramePr>
            <a:graphic>
              <a:graphicData uri="http://schemas.openxmlformats.org/drawingml/2006/picture">
                <pic:pic>
                  <pic:nvPicPr>
                    <pic:cNvPr id="0" name="validada_08_benchmark_comparavel.png"/>
                    <pic:cNvPicPr/>
                  </pic:nvPicPr>
                  <pic:blipFill>
                    <a:blip r:embed="rId18"/>
                    <a:stretch>
                      <a:fillRect/>
                    </a:stretch>
                  </pic:blipFill>
                  <pic:spPr>
                    <a:xfrm>
                      <a:off x="0" y="0"/>
                      <a:ext cx="5580000" cy="2762313"/>
                    </a:xfrm>
                    <a:prstGeom prst="rect"/>
                  </pic:spPr>
                </pic:pic>
              </a:graphicData>
            </a:graphic>
          </wp:inline>
        </w:drawing>
      </w:r>
    </w:p>
    <w:p>
      <w:pPr>
        <w:pStyle w:val="Fonte"/>
        <w:jc w:val="left"/>
      </w:pPr>
      <w:r>
        <w:t>Fonte: elaboração própria com microdados do Inep (2025).</w:t>
      </w:r>
    </w:p>
    <w:p>
      <w:pPr>
        <w:ind w:firstLine="0"/>
      </w:pPr>
      <w:r>
        <w:rPr>
          <w:b/>
          <w:sz w:val="20"/>
        </w:rPr>
        <w:t>Tabela 5 - Sensibilidade dos benchmarks comparáveis</w:t>
      </w:r>
    </w:p>
    <w:tbl>
      <w:tblPr>
        <w:tblStyle w:val="TableGrid"/>
        <w:tblW w:type="auto" w:w="0"/>
        <w:jc w:val="center"/>
        <w:tblLook w:firstColumn="1" w:firstRow="1" w:lastColumn="0" w:lastRow="0" w:noHBand="0" w:noVBand="1" w:val="04A0"/>
      </w:tblPr>
      <w:tblGrid>
        <w:gridCol w:w="1567"/>
        <w:gridCol w:w="1567"/>
        <w:gridCol w:w="1567"/>
        <w:gridCol w:w="1567"/>
        <w:gridCol w:w="1567"/>
        <w:gridCol w:w="1567"/>
      </w:tblGrid>
      <w:tr>
        <w:tc>
          <w:tcPr>
            <w:tcW w:type="dxa" w:w="1567"/>
            <w:vAlign w:val="center"/>
          </w:tcPr>
          <w:p>
            <w:pPr>
              <w:jc w:val="center"/>
            </w:pPr>
            <w:r>
              <w:rPr>
                <w:b/>
                <w:sz w:val="16"/>
              </w:rPr>
              <w:t>Oferta</w:t>
            </w:r>
          </w:p>
        </w:tc>
        <w:tc>
          <w:tcPr>
            <w:tcW w:type="dxa" w:w="1567"/>
            <w:vAlign w:val="center"/>
          </w:tcPr>
          <w:p>
            <w:pPr>
              <w:jc w:val="center"/>
            </w:pPr>
            <w:r>
              <w:rPr>
                <w:b/>
                <w:sz w:val="16"/>
              </w:rPr>
              <w:t>Critério</w:t>
            </w:r>
          </w:p>
        </w:tc>
        <w:tc>
          <w:tcPr>
            <w:tcW w:type="dxa" w:w="1567"/>
            <w:vAlign w:val="center"/>
          </w:tcPr>
          <w:p>
            <w:pPr>
              <w:jc w:val="center"/>
            </w:pPr>
            <w:r>
              <w:rPr>
                <w:b/>
                <w:sz w:val="16"/>
              </w:rPr>
              <w:t>N comparáveis</w:t>
            </w:r>
          </w:p>
        </w:tc>
        <w:tc>
          <w:tcPr>
            <w:tcW w:type="dxa" w:w="1567"/>
            <w:vAlign w:val="center"/>
          </w:tcPr>
          <w:p>
            <w:pPr>
              <w:jc w:val="center"/>
            </w:pPr>
            <w:r>
              <w:rPr>
                <w:b/>
                <w:sz w:val="16"/>
              </w:rPr>
              <w:t>NT_GER</w:t>
            </w:r>
          </w:p>
        </w:tc>
        <w:tc>
          <w:tcPr>
            <w:tcW w:type="dxa" w:w="1567"/>
            <w:vAlign w:val="center"/>
          </w:tcPr>
          <w:p>
            <w:pPr>
              <w:jc w:val="center"/>
            </w:pPr>
            <w:r>
              <w:rPr>
                <w:b/>
                <w:sz w:val="16"/>
              </w:rPr>
              <w:t>Média benchmark</w:t>
            </w:r>
          </w:p>
        </w:tc>
        <w:tc>
          <w:tcPr>
            <w:tcW w:type="dxa" w:w="1567"/>
            <w:vAlign w:val="center"/>
          </w:tcPr>
          <w:p>
            <w:pPr>
              <w:jc w:val="center"/>
            </w:pPr>
            <w:r>
              <w:rPr>
                <w:b/>
                <w:sz w:val="16"/>
              </w:rPr>
              <w:t>Diferença</w:t>
            </w:r>
          </w:p>
        </w:tc>
      </w:tr>
      <w:tr>
        <w:tc>
          <w:tcPr>
            <w:tcW w:type="dxa" w:w="1567"/>
            <w:vAlign w:val="center"/>
          </w:tcPr>
          <w:p>
            <w:pPr>
              <w:spacing w:line="240" w:lineRule="auto"/>
              <w:ind w:firstLine="0"/>
            </w:pPr>
            <w:r>
              <w:rPr>
                <w:sz w:val="16"/>
              </w:rPr>
              <w:t>Bragança - Presencial</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12</w:t>
            </w:r>
          </w:p>
        </w:tc>
        <w:tc>
          <w:tcPr>
            <w:tcW w:type="dxa" w:w="1567"/>
            <w:vAlign w:val="center"/>
          </w:tcPr>
          <w:p>
            <w:pPr>
              <w:spacing w:line="240" w:lineRule="auto"/>
              <w:ind w:firstLine="0"/>
            </w:pPr>
            <w:r>
              <w:rPr>
                <w:sz w:val="16"/>
              </w:rPr>
              <w:t>41,75</w:t>
            </w:r>
          </w:p>
        </w:tc>
        <w:tc>
          <w:tcPr>
            <w:tcW w:type="dxa" w:w="1567"/>
            <w:vAlign w:val="center"/>
          </w:tcPr>
          <w:p>
            <w:pPr>
              <w:spacing w:line="240" w:lineRule="auto"/>
              <w:ind w:firstLine="0"/>
            </w:pPr>
            <w:r>
              <w:rPr>
                <w:sz w:val="16"/>
              </w:rPr>
              <w:t>54,19</w:t>
            </w:r>
          </w:p>
        </w:tc>
        <w:tc>
          <w:tcPr>
            <w:tcW w:type="dxa" w:w="1567"/>
            <w:vAlign w:val="center"/>
          </w:tcPr>
          <w:p>
            <w:pPr>
              <w:spacing w:line="240" w:lineRule="auto"/>
              <w:ind w:firstLine="0"/>
            </w:pPr>
            <w:r>
              <w:rPr>
                <w:sz w:val="16"/>
              </w:rPr>
              <w:t>-12,44</w:t>
            </w:r>
          </w:p>
        </w:tc>
      </w:tr>
      <w:tr>
        <w:tc>
          <w:tcPr>
            <w:tcW w:type="dxa" w:w="1567"/>
            <w:vAlign w:val="center"/>
          </w:tcPr>
          <w:p>
            <w:pPr>
              <w:spacing w:line="240" w:lineRule="auto"/>
              <w:ind w:firstLine="0"/>
            </w:pPr>
            <w:r>
              <w:rPr>
                <w:sz w:val="16"/>
              </w:rPr>
              <w:t>Bragança - Presencial</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31</w:t>
            </w:r>
          </w:p>
        </w:tc>
        <w:tc>
          <w:tcPr>
            <w:tcW w:type="dxa" w:w="1567"/>
            <w:vAlign w:val="center"/>
          </w:tcPr>
          <w:p>
            <w:pPr>
              <w:spacing w:line="240" w:lineRule="auto"/>
              <w:ind w:firstLine="0"/>
            </w:pPr>
            <w:r>
              <w:rPr>
                <w:sz w:val="16"/>
              </w:rPr>
              <w:t>41,75</w:t>
            </w:r>
          </w:p>
        </w:tc>
        <w:tc>
          <w:tcPr>
            <w:tcW w:type="dxa" w:w="1567"/>
            <w:vAlign w:val="center"/>
          </w:tcPr>
          <w:p>
            <w:pPr>
              <w:spacing w:line="240" w:lineRule="auto"/>
              <w:ind w:firstLine="0"/>
            </w:pPr>
            <w:r>
              <w:rPr>
                <w:sz w:val="16"/>
              </w:rPr>
              <w:t>54,39</w:t>
            </w:r>
          </w:p>
        </w:tc>
        <w:tc>
          <w:tcPr>
            <w:tcW w:type="dxa" w:w="1567"/>
            <w:vAlign w:val="center"/>
          </w:tcPr>
          <w:p>
            <w:pPr>
              <w:spacing w:line="240" w:lineRule="auto"/>
              <w:ind w:firstLine="0"/>
            </w:pPr>
            <w:r>
              <w:rPr>
                <w:sz w:val="16"/>
              </w:rPr>
              <w:t>-12,63</w:t>
            </w:r>
          </w:p>
        </w:tc>
      </w:tr>
      <w:tr>
        <w:tc>
          <w:tcPr>
            <w:tcW w:type="dxa" w:w="1567"/>
            <w:vAlign w:val="center"/>
          </w:tcPr>
          <w:p>
            <w:pPr>
              <w:spacing w:line="240" w:lineRule="auto"/>
              <w:ind w:firstLine="0"/>
            </w:pPr>
            <w:r>
              <w:rPr>
                <w:sz w:val="16"/>
              </w:rPr>
              <w:t>Bragança - Presencial</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37</w:t>
            </w:r>
          </w:p>
        </w:tc>
        <w:tc>
          <w:tcPr>
            <w:tcW w:type="dxa" w:w="1567"/>
            <w:vAlign w:val="center"/>
          </w:tcPr>
          <w:p>
            <w:pPr>
              <w:spacing w:line="240" w:lineRule="auto"/>
              <w:ind w:firstLine="0"/>
            </w:pPr>
            <w:r>
              <w:rPr>
                <w:sz w:val="16"/>
              </w:rPr>
              <w:t>41,75</w:t>
            </w:r>
          </w:p>
        </w:tc>
        <w:tc>
          <w:tcPr>
            <w:tcW w:type="dxa" w:w="1567"/>
            <w:vAlign w:val="center"/>
          </w:tcPr>
          <w:p>
            <w:pPr>
              <w:spacing w:line="240" w:lineRule="auto"/>
              <w:ind w:firstLine="0"/>
            </w:pPr>
            <w:r>
              <w:rPr>
                <w:sz w:val="16"/>
              </w:rPr>
              <w:t>54,75</w:t>
            </w:r>
          </w:p>
        </w:tc>
        <w:tc>
          <w:tcPr>
            <w:tcW w:type="dxa" w:w="1567"/>
            <w:vAlign w:val="center"/>
          </w:tcPr>
          <w:p>
            <w:pPr>
              <w:spacing w:line="240" w:lineRule="auto"/>
              <w:ind w:firstLine="0"/>
            </w:pPr>
            <w:r>
              <w:rPr>
                <w:sz w:val="16"/>
              </w:rPr>
              <w:t>-13,00</w:t>
            </w:r>
          </w:p>
        </w:tc>
      </w:tr>
      <w:tr>
        <w:tc>
          <w:tcPr>
            <w:tcW w:type="dxa" w:w="1567"/>
            <w:vAlign w:val="center"/>
          </w:tcPr>
          <w:p>
            <w:pPr>
              <w:spacing w:line="240" w:lineRule="auto"/>
              <w:ind w:firstLine="0"/>
            </w:pPr>
            <w:r>
              <w:rPr>
                <w:sz w:val="16"/>
              </w:rPr>
              <w:t>Castanhal - Presencial</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9</w:t>
            </w:r>
          </w:p>
        </w:tc>
        <w:tc>
          <w:tcPr>
            <w:tcW w:type="dxa" w:w="1567"/>
            <w:vAlign w:val="center"/>
          </w:tcPr>
          <w:p>
            <w:pPr>
              <w:spacing w:line="240" w:lineRule="auto"/>
              <w:ind w:firstLine="0"/>
            </w:pPr>
            <w:r>
              <w:rPr>
                <w:sz w:val="16"/>
              </w:rPr>
              <w:t>44,83</w:t>
            </w:r>
          </w:p>
        </w:tc>
        <w:tc>
          <w:tcPr>
            <w:tcW w:type="dxa" w:w="1567"/>
            <w:vAlign w:val="center"/>
          </w:tcPr>
          <w:p>
            <w:pPr>
              <w:spacing w:line="240" w:lineRule="auto"/>
              <w:ind w:firstLine="0"/>
            </w:pPr>
            <w:r>
              <w:rPr>
                <w:sz w:val="16"/>
              </w:rPr>
              <w:t>55,66</w:t>
            </w:r>
          </w:p>
        </w:tc>
        <w:tc>
          <w:tcPr>
            <w:tcW w:type="dxa" w:w="1567"/>
            <w:vAlign w:val="center"/>
          </w:tcPr>
          <w:p>
            <w:pPr>
              <w:spacing w:line="240" w:lineRule="auto"/>
              <w:ind w:firstLine="0"/>
            </w:pPr>
            <w:r>
              <w:rPr>
                <w:sz w:val="16"/>
              </w:rPr>
              <w:t>-10,84</w:t>
            </w:r>
          </w:p>
        </w:tc>
      </w:tr>
      <w:tr>
        <w:tc>
          <w:tcPr>
            <w:tcW w:type="dxa" w:w="1567"/>
            <w:vAlign w:val="center"/>
          </w:tcPr>
          <w:p>
            <w:pPr>
              <w:spacing w:line="240" w:lineRule="auto"/>
              <w:ind w:firstLine="0"/>
            </w:pPr>
            <w:r>
              <w:rPr>
                <w:sz w:val="16"/>
              </w:rPr>
              <w:t>Castanhal - Presencial</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20</w:t>
            </w:r>
          </w:p>
        </w:tc>
        <w:tc>
          <w:tcPr>
            <w:tcW w:type="dxa" w:w="1567"/>
            <w:vAlign w:val="center"/>
          </w:tcPr>
          <w:p>
            <w:pPr>
              <w:spacing w:line="240" w:lineRule="auto"/>
              <w:ind w:firstLine="0"/>
            </w:pPr>
            <w:r>
              <w:rPr>
                <w:sz w:val="16"/>
              </w:rPr>
              <w:t>44,83</w:t>
            </w:r>
          </w:p>
        </w:tc>
        <w:tc>
          <w:tcPr>
            <w:tcW w:type="dxa" w:w="1567"/>
            <w:vAlign w:val="center"/>
          </w:tcPr>
          <w:p>
            <w:pPr>
              <w:spacing w:line="240" w:lineRule="auto"/>
              <w:ind w:firstLine="0"/>
            </w:pPr>
            <w:r>
              <w:rPr>
                <w:sz w:val="16"/>
              </w:rPr>
              <w:t>55,15</w:t>
            </w:r>
          </w:p>
        </w:tc>
        <w:tc>
          <w:tcPr>
            <w:tcW w:type="dxa" w:w="1567"/>
            <w:vAlign w:val="center"/>
          </w:tcPr>
          <w:p>
            <w:pPr>
              <w:spacing w:line="240" w:lineRule="auto"/>
              <w:ind w:firstLine="0"/>
            </w:pPr>
            <w:r>
              <w:rPr>
                <w:sz w:val="16"/>
              </w:rPr>
              <w:t>-10,32</w:t>
            </w:r>
          </w:p>
        </w:tc>
      </w:tr>
      <w:tr>
        <w:tc>
          <w:tcPr>
            <w:tcW w:type="dxa" w:w="1567"/>
            <w:vAlign w:val="center"/>
          </w:tcPr>
          <w:p>
            <w:pPr>
              <w:spacing w:line="240" w:lineRule="auto"/>
              <w:ind w:firstLine="0"/>
            </w:pPr>
            <w:r>
              <w:rPr>
                <w:sz w:val="16"/>
              </w:rPr>
              <w:t>Castanhal - Presencial</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21</w:t>
            </w:r>
          </w:p>
        </w:tc>
        <w:tc>
          <w:tcPr>
            <w:tcW w:type="dxa" w:w="1567"/>
            <w:vAlign w:val="center"/>
          </w:tcPr>
          <w:p>
            <w:pPr>
              <w:spacing w:line="240" w:lineRule="auto"/>
              <w:ind w:firstLine="0"/>
            </w:pPr>
            <w:r>
              <w:rPr>
                <w:sz w:val="16"/>
              </w:rPr>
              <w:t>44,83</w:t>
            </w:r>
          </w:p>
        </w:tc>
        <w:tc>
          <w:tcPr>
            <w:tcW w:type="dxa" w:w="1567"/>
            <w:vAlign w:val="center"/>
          </w:tcPr>
          <w:p>
            <w:pPr>
              <w:spacing w:line="240" w:lineRule="auto"/>
              <w:ind w:firstLine="0"/>
            </w:pPr>
            <w:r>
              <w:rPr>
                <w:sz w:val="16"/>
              </w:rPr>
              <w:t>55,50</w:t>
            </w:r>
          </w:p>
        </w:tc>
        <w:tc>
          <w:tcPr>
            <w:tcW w:type="dxa" w:w="1567"/>
            <w:vAlign w:val="center"/>
          </w:tcPr>
          <w:p>
            <w:pPr>
              <w:spacing w:line="240" w:lineRule="auto"/>
              <w:ind w:firstLine="0"/>
            </w:pPr>
            <w:r>
              <w:rPr>
                <w:sz w:val="16"/>
              </w:rPr>
              <w:t>-10,67</w:t>
            </w:r>
          </w:p>
        </w:tc>
      </w:tr>
      <w:tr>
        <w:tc>
          <w:tcPr>
            <w:tcW w:type="dxa" w:w="1567"/>
            <w:vAlign w:val="center"/>
          </w:tcPr>
          <w:p>
            <w:pPr>
              <w:spacing w:line="240" w:lineRule="auto"/>
              <w:ind w:firstLine="0"/>
            </w:pPr>
            <w:r>
              <w:rPr>
                <w:sz w:val="16"/>
              </w:rPr>
              <w:t>Breves - Presencial</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16</w:t>
            </w:r>
          </w:p>
        </w:tc>
        <w:tc>
          <w:tcPr>
            <w:tcW w:type="dxa" w:w="1567"/>
            <w:vAlign w:val="center"/>
          </w:tcPr>
          <w:p>
            <w:pPr>
              <w:spacing w:line="240" w:lineRule="auto"/>
              <w:ind w:firstLine="0"/>
            </w:pPr>
            <w:r>
              <w:rPr>
                <w:sz w:val="16"/>
              </w:rPr>
              <w:t>44,83</w:t>
            </w:r>
          </w:p>
        </w:tc>
        <w:tc>
          <w:tcPr>
            <w:tcW w:type="dxa" w:w="1567"/>
            <w:vAlign w:val="center"/>
          </w:tcPr>
          <w:p>
            <w:pPr>
              <w:spacing w:line="240" w:lineRule="auto"/>
              <w:ind w:firstLine="0"/>
            </w:pPr>
            <w:r>
              <w:rPr>
                <w:sz w:val="16"/>
              </w:rPr>
              <w:t>53,15</w:t>
            </w:r>
          </w:p>
        </w:tc>
        <w:tc>
          <w:tcPr>
            <w:tcW w:type="dxa" w:w="1567"/>
            <w:vAlign w:val="center"/>
          </w:tcPr>
          <w:p>
            <w:pPr>
              <w:spacing w:line="240" w:lineRule="auto"/>
              <w:ind w:firstLine="0"/>
            </w:pPr>
            <w:r>
              <w:rPr>
                <w:sz w:val="16"/>
              </w:rPr>
              <w:t>-8,32</w:t>
            </w:r>
          </w:p>
        </w:tc>
      </w:tr>
      <w:tr>
        <w:tc>
          <w:tcPr>
            <w:tcW w:type="dxa" w:w="1567"/>
            <w:vAlign w:val="center"/>
          </w:tcPr>
          <w:p>
            <w:pPr>
              <w:spacing w:line="240" w:lineRule="auto"/>
              <w:ind w:firstLine="0"/>
            </w:pPr>
            <w:r>
              <w:rPr>
                <w:sz w:val="16"/>
              </w:rPr>
              <w:t>Breves - Presencial</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32</w:t>
            </w:r>
          </w:p>
        </w:tc>
        <w:tc>
          <w:tcPr>
            <w:tcW w:type="dxa" w:w="1567"/>
            <w:vAlign w:val="center"/>
          </w:tcPr>
          <w:p>
            <w:pPr>
              <w:spacing w:line="240" w:lineRule="auto"/>
              <w:ind w:firstLine="0"/>
            </w:pPr>
            <w:r>
              <w:rPr>
                <w:sz w:val="16"/>
              </w:rPr>
              <w:t>44,83</w:t>
            </w:r>
          </w:p>
        </w:tc>
        <w:tc>
          <w:tcPr>
            <w:tcW w:type="dxa" w:w="1567"/>
            <w:vAlign w:val="center"/>
          </w:tcPr>
          <w:p>
            <w:pPr>
              <w:spacing w:line="240" w:lineRule="auto"/>
              <w:ind w:firstLine="0"/>
            </w:pPr>
            <w:r>
              <w:rPr>
                <w:sz w:val="16"/>
              </w:rPr>
              <w:t>54,56</w:t>
            </w:r>
          </w:p>
        </w:tc>
        <w:tc>
          <w:tcPr>
            <w:tcW w:type="dxa" w:w="1567"/>
            <w:vAlign w:val="center"/>
          </w:tcPr>
          <w:p>
            <w:pPr>
              <w:spacing w:line="240" w:lineRule="auto"/>
              <w:ind w:firstLine="0"/>
            </w:pPr>
            <w:r>
              <w:rPr>
                <w:sz w:val="16"/>
              </w:rPr>
              <w:t>-9,72</w:t>
            </w:r>
          </w:p>
        </w:tc>
      </w:tr>
      <w:tr>
        <w:tc>
          <w:tcPr>
            <w:tcW w:type="dxa" w:w="1567"/>
            <w:vAlign w:val="center"/>
          </w:tcPr>
          <w:p>
            <w:pPr>
              <w:spacing w:line="240" w:lineRule="auto"/>
              <w:ind w:firstLine="0"/>
            </w:pPr>
            <w:r>
              <w:rPr>
                <w:sz w:val="16"/>
              </w:rPr>
              <w:t>Breves - Presencial</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38</w:t>
            </w:r>
          </w:p>
        </w:tc>
        <w:tc>
          <w:tcPr>
            <w:tcW w:type="dxa" w:w="1567"/>
            <w:vAlign w:val="center"/>
          </w:tcPr>
          <w:p>
            <w:pPr>
              <w:spacing w:line="240" w:lineRule="auto"/>
              <w:ind w:firstLine="0"/>
            </w:pPr>
            <w:r>
              <w:rPr>
                <w:sz w:val="16"/>
              </w:rPr>
              <w:t>44,83</w:t>
            </w:r>
          </w:p>
        </w:tc>
        <w:tc>
          <w:tcPr>
            <w:tcW w:type="dxa" w:w="1567"/>
            <w:vAlign w:val="center"/>
          </w:tcPr>
          <w:p>
            <w:pPr>
              <w:spacing w:line="240" w:lineRule="auto"/>
              <w:ind w:firstLine="0"/>
            </w:pPr>
            <w:r>
              <w:rPr>
                <w:sz w:val="16"/>
              </w:rPr>
              <w:t>55,00</w:t>
            </w:r>
          </w:p>
        </w:tc>
        <w:tc>
          <w:tcPr>
            <w:tcW w:type="dxa" w:w="1567"/>
            <w:vAlign w:val="center"/>
          </w:tcPr>
          <w:p>
            <w:pPr>
              <w:spacing w:line="240" w:lineRule="auto"/>
              <w:ind w:firstLine="0"/>
            </w:pPr>
            <w:r>
              <w:rPr>
                <w:sz w:val="16"/>
              </w:rPr>
              <w:t>-10,16</w:t>
            </w:r>
          </w:p>
        </w:tc>
      </w:tr>
      <w:tr>
        <w:tc>
          <w:tcPr>
            <w:tcW w:type="dxa" w:w="1567"/>
            <w:vAlign w:val="center"/>
          </w:tcPr>
          <w:p>
            <w:pPr>
              <w:spacing w:line="240" w:lineRule="auto"/>
              <w:ind w:firstLine="0"/>
            </w:pPr>
            <w:r>
              <w:rPr>
                <w:sz w:val="16"/>
              </w:rPr>
              <w:t>Cametá - Presencial</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4</w:t>
            </w:r>
          </w:p>
        </w:tc>
        <w:tc>
          <w:tcPr>
            <w:tcW w:type="dxa" w:w="1567"/>
            <w:vAlign w:val="center"/>
          </w:tcPr>
          <w:p>
            <w:pPr>
              <w:spacing w:line="240" w:lineRule="auto"/>
              <w:ind w:firstLine="0"/>
            </w:pPr>
            <w:r>
              <w:rPr>
                <w:sz w:val="16"/>
              </w:rPr>
              <w:t>43,90</w:t>
            </w:r>
          </w:p>
        </w:tc>
        <w:tc>
          <w:tcPr>
            <w:tcW w:type="dxa" w:w="1567"/>
            <w:vAlign w:val="center"/>
          </w:tcPr>
          <w:p>
            <w:pPr>
              <w:spacing w:line="240" w:lineRule="auto"/>
              <w:ind w:firstLine="0"/>
            </w:pPr>
            <w:r>
              <w:rPr>
                <w:sz w:val="16"/>
              </w:rPr>
              <w:t>55,76</w:t>
            </w:r>
          </w:p>
        </w:tc>
        <w:tc>
          <w:tcPr>
            <w:tcW w:type="dxa" w:w="1567"/>
            <w:vAlign w:val="center"/>
          </w:tcPr>
          <w:p>
            <w:pPr>
              <w:spacing w:line="240" w:lineRule="auto"/>
              <w:ind w:firstLine="0"/>
            </w:pPr>
            <w:r>
              <w:rPr>
                <w:sz w:val="16"/>
              </w:rPr>
              <w:t>-11,87</w:t>
            </w:r>
          </w:p>
        </w:tc>
      </w:tr>
      <w:tr>
        <w:tc>
          <w:tcPr>
            <w:tcW w:type="dxa" w:w="1567"/>
            <w:vAlign w:val="center"/>
          </w:tcPr>
          <w:p>
            <w:pPr>
              <w:spacing w:line="240" w:lineRule="auto"/>
              <w:ind w:firstLine="0"/>
            </w:pPr>
            <w:r>
              <w:rPr>
                <w:sz w:val="16"/>
              </w:rPr>
              <w:t>Cametá - Presencial</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12</w:t>
            </w:r>
          </w:p>
        </w:tc>
        <w:tc>
          <w:tcPr>
            <w:tcW w:type="dxa" w:w="1567"/>
            <w:vAlign w:val="center"/>
          </w:tcPr>
          <w:p>
            <w:pPr>
              <w:spacing w:line="240" w:lineRule="auto"/>
              <w:ind w:firstLine="0"/>
            </w:pPr>
            <w:r>
              <w:rPr>
                <w:sz w:val="16"/>
              </w:rPr>
              <w:t>43,90</w:t>
            </w:r>
          </w:p>
        </w:tc>
        <w:tc>
          <w:tcPr>
            <w:tcW w:type="dxa" w:w="1567"/>
            <w:vAlign w:val="center"/>
          </w:tcPr>
          <w:p>
            <w:pPr>
              <w:spacing w:line="240" w:lineRule="auto"/>
              <w:ind w:firstLine="0"/>
            </w:pPr>
            <w:r>
              <w:rPr>
                <w:sz w:val="16"/>
              </w:rPr>
              <w:t>55,93</w:t>
            </w:r>
          </w:p>
        </w:tc>
        <w:tc>
          <w:tcPr>
            <w:tcW w:type="dxa" w:w="1567"/>
            <w:vAlign w:val="center"/>
          </w:tcPr>
          <w:p>
            <w:pPr>
              <w:spacing w:line="240" w:lineRule="auto"/>
              <w:ind w:firstLine="0"/>
            </w:pPr>
            <w:r>
              <w:rPr>
                <w:sz w:val="16"/>
              </w:rPr>
              <w:t>-12,04</w:t>
            </w:r>
          </w:p>
        </w:tc>
      </w:tr>
      <w:tr>
        <w:tc>
          <w:tcPr>
            <w:tcW w:type="dxa" w:w="1567"/>
            <w:vAlign w:val="center"/>
          </w:tcPr>
          <w:p>
            <w:pPr>
              <w:spacing w:line="240" w:lineRule="auto"/>
              <w:ind w:firstLine="0"/>
            </w:pPr>
            <w:r>
              <w:rPr>
                <w:sz w:val="16"/>
              </w:rPr>
              <w:t>Cametá - Presencial</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12</w:t>
            </w:r>
          </w:p>
        </w:tc>
        <w:tc>
          <w:tcPr>
            <w:tcW w:type="dxa" w:w="1567"/>
            <w:vAlign w:val="center"/>
          </w:tcPr>
          <w:p>
            <w:pPr>
              <w:spacing w:line="240" w:lineRule="auto"/>
              <w:ind w:firstLine="0"/>
            </w:pPr>
            <w:r>
              <w:rPr>
                <w:sz w:val="16"/>
              </w:rPr>
              <w:t>43,90</w:t>
            </w:r>
          </w:p>
        </w:tc>
        <w:tc>
          <w:tcPr>
            <w:tcW w:type="dxa" w:w="1567"/>
            <w:vAlign w:val="center"/>
          </w:tcPr>
          <w:p>
            <w:pPr>
              <w:spacing w:line="240" w:lineRule="auto"/>
              <w:ind w:firstLine="0"/>
            </w:pPr>
            <w:r>
              <w:rPr>
                <w:sz w:val="16"/>
              </w:rPr>
              <w:t>55,93</w:t>
            </w:r>
          </w:p>
        </w:tc>
        <w:tc>
          <w:tcPr>
            <w:tcW w:type="dxa" w:w="1567"/>
            <w:vAlign w:val="center"/>
          </w:tcPr>
          <w:p>
            <w:pPr>
              <w:spacing w:line="240" w:lineRule="auto"/>
              <w:ind w:firstLine="0"/>
            </w:pPr>
            <w:r>
              <w:rPr>
                <w:sz w:val="16"/>
              </w:rPr>
              <w:t>-12,04</w:t>
            </w:r>
          </w:p>
        </w:tc>
      </w:tr>
      <w:tr>
        <w:tc>
          <w:tcPr>
            <w:tcW w:type="dxa" w:w="1567"/>
            <w:vAlign w:val="center"/>
          </w:tcPr>
          <w:p>
            <w:pPr>
              <w:spacing w:line="240" w:lineRule="auto"/>
              <w:ind w:firstLine="0"/>
            </w:pPr>
            <w:r>
              <w:rPr>
                <w:sz w:val="16"/>
              </w:rPr>
              <w:t>Belém - EaD</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6</w:t>
            </w:r>
          </w:p>
        </w:tc>
        <w:tc>
          <w:tcPr>
            <w:tcW w:type="dxa" w:w="1567"/>
            <w:vAlign w:val="center"/>
          </w:tcPr>
          <w:p>
            <w:pPr>
              <w:spacing w:line="240" w:lineRule="auto"/>
              <w:ind w:firstLine="0"/>
            </w:pPr>
            <w:r>
              <w:rPr>
                <w:sz w:val="16"/>
              </w:rPr>
              <w:t>34,74</w:t>
            </w:r>
          </w:p>
        </w:tc>
        <w:tc>
          <w:tcPr>
            <w:tcW w:type="dxa" w:w="1567"/>
            <w:vAlign w:val="center"/>
          </w:tcPr>
          <w:p>
            <w:pPr>
              <w:spacing w:line="240" w:lineRule="auto"/>
              <w:ind w:firstLine="0"/>
            </w:pPr>
            <w:r>
              <w:rPr>
                <w:sz w:val="16"/>
              </w:rPr>
              <w:t>44,89</w:t>
            </w:r>
          </w:p>
        </w:tc>
        <w:tc>
          <w:tcPr>
            <w:tcW w:type="dxa" w:w="1567"/>
            <w:vAlign w:val="center"/>
          </w:tcPr>
          <w:p>
            <w:pPr>
              <w:spacing w:line="240" w:lineRule="auto"/>
              <w:ind w:firstLine="0"/>
            </w:pPr>
            <w:r>
              <w:rPr>
                <w:sz w:val="16"/>
              </w:rPr>
              <w:t>-10,15</w:t>
            </w:r>
          </w:p>
        </w:tc>
      </w:tr>
      <w:tr>
        <w:tc>
          <w:tcPr>
            <w:tcW w:type="dxa" w:w="1567"/>
            <w:vAlign w:val="center"/>
          </w:tcPr>
          <w:p>
            <w:pPr>
              <w:spacing w:line="240" w:lineRule="auto"/>
              <w:ind w:firstLine="0"/>
            </w:pPr>
            <w:r>
              <w:rPr>
                <w:sz w:val="16"/>
              </w:rPr>
              <w:t>Belém - EaD</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6</w:t>
            </w:r>
          </w:p>
        </w:tc>
        <w:tc>
          <w:tcPr>
            <w:tcW w:type="dxa" w:w="1567"/>
            <w:vAlign w:val="center"/>
          </w:tcPr>
          <w:p>
            <w:pPr>
              <w:spacing w:line="240" w:lineRule="auto"/>
              <w:ind w:firstLine="0"/>
            </w:pPr>
            <w:r>
              <w:rPr>
                <w:sz w:val="16"/>
              </w:rPr>
              <w:t>34,74</w:t>
            </w:r>
          </w:p>
        </w:tc>
        <w:tc>
          <w:tcPr>
            <w:tcW w:type="dxa" w:w="1567"/>
            <w:vAlign w:val="center"/>
          </w:tcPr>
          <w:p>
            <w:pPr>
              <w:spacing w:line="240" w:lineRule="auto"/>
              <w:ind w:firstLine="0"/>
            </w:pPr>
            <w:r>
              <w:rPr>
                <w:sz w:val="16"/>
              </w:rPr>
              <w:t>44,89</w:t>
            </w:r>
          </w:p>
        </w:tc>
        <w:tc>
          <w:tcPr>
            <w:tcW w:type="dxa" w:w="1567"/>
            <w:vAlign w:val="center"/>
          </w:tcPr>
          <w:p>
            <w:pPr>
              <w:spacing w:line="240" w:lineRule="auto"/>
              <w:ind w:firstLine="0"/>
            </w:pPr>
            <w:r>
              <w:rPr>
                <w:sz w:val="16"/>
              </w:rPr>
              <w:t>-10,15</w:t>
            </w:r>
          </w:p>
        </w:tc>
      </w:tr>
      <w:tr>
        <w:tc>
          <w:tcPr>
            <w:tcW w:type="dxa" w:w="1567"/>
            <w:vAlign w:val="center"/>
          </w:tcPr>
          <w:p>
            <w:pPr>
              <w:spacing w:line="240" w:lineRule="auto"/>
              <w:ind w:firstLine="0"/>
            </w:pPr>
            <w:r>
              <w:rPr>
                <w:sz w:val="16"/>
              </w:rPr>
              <w:t>Belém - EaD</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10</w:t>
            </w:r>
          </w:p>
        </w:tc>
        <w:tc>
          <w:tcPr>
            <w:tcW w:type="dxa" w:w="1567"/>
            <w:vAlign w:val="center"/>
          </w:tcPr>
          <w:p>
            <w:pPr>
              <w:spacing w:line="240" w:lineRule="auto"/>
              <w:ind w:firstLine="0"/>
            </w:pPr>
            <w:r>
              <w:rPr>
                <w:sz w:val="16"/>
              </w:rPr>
              <w:t>34,74</w:t>
            </w:r>
          </w:p>
        </w:tc>
        <w:tc>
          <w:tcPr>
            <w:tcW w:type="dxa" w:w="1567"/>
            <w:vAlign w:val="center"/>
          </w:tcPr>
          <w:p>
            <w:pPr>
              <w:spacing w:line="240" w:lineRule="auto"/>
              <w:ind w:firstLine="0"/>
            </w:pPr>
            <w:r>
              <w:rPr>
                <w:sz w:val="16"/>
              </w:rPr>
              <w:t>46,22</w:t>
            </w:r>
          </w:p>
        </w:tc>
        <w:tc>
          <w:tcPr>
            <w:tcW w:type="dxa" w:w="1567"/>
            <w:vAlign w:val="center"/>
          </w:tcPr>
          <w:p>
            <w:pPr>
              <w:spacing w:line="240" w:lineRule="auto"/>
              <w:ind w:firstLine="0"/>
            </w:pPr>
            <w:r>
              <w:rPr>
                <w:sz w:val="16"/>
              </w:rPr>
              <w:t>-11,48</w:t>
            </w:r>
          </w:p>
        </w:tc>
      </w:tr>
      <w:tr>
        <w:tc>
          <w:tcPr>
            <w:tcW w:type="dxa" w:w="1567"/>
            <w:vAlign w:val="center"/>
          </w:tcPr>
          <w:p>
            <w:pPr>
              <w:spacing w:line="240" w:lineRule="auto"/>
              <w:ind w:firstLine="0"/>
            </w:pPr>
            <w:r>
              <w:rPr>
                <w:sz w:val="16"/>
              </w:rPr>
              <w:t>Abaetetuba - Presencial</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1</w:t>
            </w:r>
          </w:p>
        </w:tc>
        <w:tc>
          <w:tcPr>
            <w:tcW w:type="dxa" w:w="1567"/>
            <w:vAlign w:val="center"/>
          </w:tcPr>
          <w:p>
            <w:pPr>
              <w:spacing w:line="240" w:lineRule="auto"/>
              <w:ind w:firstLine="0"/>
            </w:pPr>
            <w:r>
              <w:rPr>
                <w:sz w:val="16"/>
              </w:rPr>
              <w:t>44,20</w:t>
            </w:r>
          </w:p>
        </w:tc>
        <w:tc>
          <w:tcPr>
            <w:tcW w:type="dxa" w:w="1567"/>
            <w:vAlign w:val="center"/>
          </w:tcPr>
          <w:p>
            <w:pPr>
              <w:spacing w:line="240" w:lineRule="auto"/>
              <w:ind w:firstLine="0"/>
            </w:pPr>
            <w:r>
              <w:rPr>
                <w:sz w:val="16"/>
              </w:rPr>
              <w:t>62,48</w:t>
            </w:r>
          </w:p>
        </w:tc>
        <w:tc>
          <w:tcPr>
            <w:tcW w:type="dxa" w:w="1567"/>
            <w:vAlign w:val="center"/>
          </w:tcPr>
          <w:p>
            <w:pPr>
              <w:spacing w:line="240" w:lineRule="auto"/>
              <w:ind w:firstLine="0"/>
            </w:pPr>
            <w:r>
              <w:rPr>
                <w:sz w:val="16"/>
              </w:rPr>
              <w:t>-18,28</w:t>
            </w:r>
          </w:p>
        </w:tc>
      </w:tr>
      <w:tr>
        <w:tc>
          <w:tcPr>
            <w:tcW w:type="dxa" w:w="1567"/>
            <w:vAlign w:val="center"/>
          </w:tcPr>
          <w:p>
            <w:pPr>
              <w:spacing w:line="240" w:lineRule="auto"/>
              <w:ind w:firstLine="0"/>
            </w:pPr>
            <w:r>
              <w:rPr>
                <w:sz w:val="16"/>
              </w:rPr>
              <w:t>Abaetetuba - Presencial</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9</w:t>
            </w:r>
          </w:p>
        </w:tc>
        <w:tc>
          <w:tcPr>
            <w:tcW w:type="dxa" w:w="1567"/>
            <w:vAlign w:val="center"/>
          </w:tcPr>
          <w:p>
            <w:pPr>
              <w:spacing w:line="240" w:lineRule="auto"/>
              <w:ind w:firstLine="0"/>
            </w:pPr>
            <w:r>
              <w:rPr>
                <w:sz w:val="16"/>
              </w:rPr>
              <w:t>44,20</w:t>
            </w:r>
          </w:p>
        </w:tc>
        <w:tc>
          <w:tcPr>
            <w:tcW w:type="dxa" w:w="1567"/>
            <w:vAlign w:val="center"/>
          </w:tcPr>
          <w:p>
            <w:pPr>
              <w:spacing w:line="240" w:lineRule="auto"/>
              <w:ind w:firstLine="0"/>
            </w:pPr>
            <w:r>
              <w:rPr>
                <w:sz w:val="16"/>
              </w:rPr>
              <w:t>57,25</w:t>
            </w:r>
          </w:p>
        </w:tc>
        <w:tc>
          <w:tcPr>
            <w:tcW w:type="dxa" w:w="1567"/>
            <w:vAlign w:val="center"/>
          </w:tcPr>
          <w:p>
            <w:pPr>
              <w:spacing w:line="240" w:lineRule="auto"/>
              <w:ind w:firstLine="0"/>
            </w:pPr>
            <w:r>
              <w:rPr>
                <w:sz w:val="16"/>
              </w:rPr>
              <w:t>-13,04</w:t>
            </w:r>
          </w:p>
        </w:tc>
      </w:tr>
      <w:tr>
        <w:tc>
          <w:tcPr>
            <w:tcW w:type="dxa" w:w="1567"/>
            <w:vAlign w:val="center"/>
          </w:tcPr>
          <w:p>
            <w:pPr>
              <w:spacing w:line="240" w:lineRule="auto"/>
              <w:ind w:firstLine="0"/>
            </w:pPr>
            <w:r>
              <w:rPr>
                <w:sz w:val="16"/>
              </w:rPr>
              <w:t>Abaetetuba - Presencial</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9</w:t>
            </w:r>
          </w:p>
        </w:tc>
        <w:tc>
          <w:tcPr>
            <w:tcW w:type="dxa" w:w="1567"/>
            <w:vAlign w:val="center"/>
          </w:tcPr>
          <w:p>
            <w:pPr>
              <w:spacing w:line="240" w:lineRule="auto"/>
              <w:ind w:firstLine="0"/>
            </w:pPr>
            <w:r>
              <w:rPr>
                <w:sz w:val="16"/>
              </w:rPr>
              <w:t>44,20</w:t>
            </w:r>
          </w:p>
        </w:tc>
        <w:tc>
          <w:tcPr>
            <w:tcW w:type="dxa" w:w="1567"/>
            <w:vAlign w:val="center"/>
          </w:tcPr>
          <w:p>
            <w:pPr>
              <w:spacing w:line="240" w:lineRule="auto"/>
              <w:ind w:firstLine="0"/>
            </w:pPr>
            <w:r>
              <w:rPr>
                <w:sz w:val="16"/>
              </w:rPr>
              <w:t>57,25</w:t>
            </w:r>
          </w:p>
        </w:tc>
        <w:tc>
          <w:tcPr>
            <w:tcW w:type="dxa" w:w="1567"/>
            <w:vAlign w:val="center"/>
          </w:tcPr>
          <w:p>
            <w:pPr>
              <w:spacing w:line="240" w:lineRule="auto"/>
              <w:ind w:firstLine="0"/>
            </w:pPr>
            <w:r>
              <w:rPr>
                <w:sz w:val="16"/>
              </w:rPr>
              <w:t>-13,04</w:t>
            </w:r>
          </w:p>
        </w:tc>
      </w:tr>
      <w:tr>
        <w:tc>
          <w:tcPr>
            <w:tcW w:type="dxa" w:w="1567"/>
            <w:vAlign w:val="center"/>
          </w:tcPr>
          <w:p>
            <w:pPr>
              <w:spacing w:line="240" w:lineRule="auto"/>
              <w:ind w:firstLine="0"/>
            </w:pPr>
            <w:r>
              <w:rPr>
                <w:sz w:val="16"/>
              </w:rPr>
              <w:t>Salinópolis - Presencial</w:t>
            </w:r>
          </w:p>
        </w:tc>
        <w:tc>
          <w:tcPr>
            <w:tcW w:type="dxa" w:w="1567"/>
            <w:vAlign w:val="center"/>
          </w:tcPr>
          <w:p>
            <w:pPr>
              <w:spacing w:line="240" w:lineRule="auto"/>
              <w:ind w:firstLine="0"/>
            </w:pPr>
            <w:r>
              <w:rPr>
                <w:sz w:val="16"/>
              </w:rPr>
              <w:t>porte_25pct</w:t>
            </w:r>
          </w:p>
        </w:tc>
        <w:tc>
          <w:tcPr>
            <w:tcW w:type="dxa" w:w="1567"/>
            <w:vAlign w:val="center"/>
          </w:tcPr>
          <w:p>
            <w:pPr>
              <w:spacing w:line="240" w:lineRule="auto"/>
              <w:ind w:firstLine="0"/>
            </w:pPr>
            <w:r>
              <w:rPr>
                <w:sz w:val="16"/>
              </w:rPr>
              <w:t>15</w:t>
            </w:r>
          </w:p>
        </w:tc>
        <w:tc>
          <w:tcPr>
            <w:tcW w:type="dxa" w:w="1567"/>
            <w:vAlign w:val="center"/>
          </w:tcPr>
          <w:p>
            <w:pPr>
              <w:spacing w:line="240" w:lineRule="auto"/>
              <w:ind w:firstLine="0"/>
            </w:pPr>
            <w:r>
              <w:rPr>
                <w:sz w:val="16"/>
              </w:rPr>
              <w:t>41,36</w:t>
            </w:r>
          </w:p>
        </w:tc>
        <w:tc>
          <w:tcPr>
            <w:tcW w:type="dxa" w:w="1567"/>
            <w:vAlign w:val="center"/>
          </w:tcPr>
          <w:p>
            <w:pPr>
              <w:spacing w:line="240" w:lineRule="auto"/>
              <w:ind w:firstLine="0"/>
            </w:pPr>
            <w:r>
              <w:rPr>
                <w:sz w:val="16"/>
              </w:rPr>
              <w:t>51,55</w:t>
            </w:r>
          </w:p>
        </w:tc>
        <w:tc>
          <w:tcPr>
            <w:tcW w:type="dxa" w:w="1567"/>
            <w:vAlign w:val="center"/>
          </w:tcPr>
          <w:p>
            <w:pPr>
              <w:spacing w:line="240" w:lineRule="auto"/>
              <w:ind w:firstLine="0"/>
            </w:pPr>
            <w:r>
              <w:rPr>
                <w:sz w:val="16"/>
              </w:rPr>
              <w:t>-10,18</w:t>
            </w:r>
          </w:p>
        </w:tc>
      </w:tr>
      <w:tr>
        <w:tc>
          <w:tcPr>
            <w:tcW w:type="dxa" w:w="1567"/>
            <w:vAlign w:val="center"/>
          </w:tcPr>
          <w:p>
            <w:pPr>
              <w:spacing w:line="240" w:lineRule="auto"/>
              <w:ind w:firstLine="0"/>
            </w:pPr>
            <w:r>
              <w:rPr>
                <w:sz w:val="16"/>
              </w:rPr>
              <w:t>Salinópolis - Presencial</w:t>
            </w:r>
          </w:p>
        </w:tc>
        <w:tc>
          <w:tcPr>
            <w:tcW w:type="dxa" w:w="1567"/>
            <w:vAlign w:val="center"/>
          </w:tcPr>
          <w:p>
            <w:pPr>
              <w:spacing w:line="240" w:lineRule="auto"/>
              <w:ind w:firstLine="0"/>
            </w:pPr>
            <w:r>
              <w:rPr>
                <w:sz w:val="16"/>
              </w:rPr>
              <w:t>porte_50pct</w:t>
            </w:r>
          </w:p>
        </w:tc>
        <w:tc>
          <w:tcPr>
            <w:tcW w:type="dxa" w:w="1567"/>
            <w:vAlign w:val="center"/>
          </w:tcPr>
          <w:p>
            <w:pPr>
              <w:spacing w:line="240" w:lineRule="auto"/>
              <w:ind w:firstLine="0"/>
            </w:pPr>
            <w:r>
              <w:rPr>
                <w:sz w:val="16"/>
              </w:rPr>
              <w:t>42</w:t>
            </w:r>
          </w:p>
        </w:tc>
        <w:tc>
          <w:tcPr>
            <w:tcW w:type="dxa" w:w="1567"/>
            <w:vAlign w:val="center"/>
          </w:tcPr>
          <w:p>
            <w:pPr>
              <w:spacing w:line="240" w:lineRule="auto"/>
              <w:ind w:firstLine="0"/>
            </w:pPr>
            <w:r>
              <w:rPr>
                <w:sz w:val="16"/>
              </w:rPr>
              <w:t>41,36</w:t>
            </w:r>
          </w:p>
        </w:tc>
        <w:tc>
          <w:tcPr>
            <w:tcW w:type="dxa" w:w="1567"/>
            <w:vAlign w:val="center"/>
          </w:tcPr>
          <w:p>
            <w:pPr>
              <w:spacing w:line="240" w:lineRule="auto"/>
              <w:ind w:firstLine="0"/>
            </w:pPr>
            <w:r>
              <w:rPr>
                <w:sz w:val="16"/>
              </w:rPr>
              <w:t>54,83</w:t>
            </w:r>
          </w:p>
        </w:tc>
        <w:tc>
          <w:tcPr>
            <w:tcW w:type="dxa" w:w="1567"/>
            <w:vAlign w:val="center"/>
          </w:tcPr>
          <w:p>
            <w:pPr>
              <w:spacing w:line="240" w:lineRule="auto"/>
              <w:ind w:firstLine="0"/>
            </w:pPr>
            <w:r>
              <w:rPr>
                <w:sz w:val="16"/>
              </w:rPr>
              <w:t>-13,47</w:t>
            </w:r>
          </w:p>
        </w:tc>
      </w:tr>
      <w:tr>
        <w:tc>
          <w:tcPr>
            <w:tcW w:type="dxa" w:w="1567"/>
            <w:vAlign w:val="center"/>
          </w:tcPr>
          <w:p>
            <w:pPr>
              <w:spacing w:line="240" w:lineRule="auto"/>
              <w:ind w:firstLine="0"/>
            </w:pPr>
            <w:r>
              <w:rPr>
                <w:sz w:val="16"/>
              </w:rPr>
              <w:t>Salinópolis - Presencial</w:t>
            </w:r>
          </w:p>
        </w:tc>
        <w:tc>
          <w:tcPr>
            <w:tcW w:type="dxa" w:w="1567"/>
            <w:vAlign w:val="center"/>
          </w:tcPr>
          <w:p>
            <w:pPr>
              <w:spacing w:line="240" w:lineRule="auto"/>
              <w:ind w:firstLine="0"/>
            </w:pPr>
            <w:r>
              <w:rPr>
                <w:sz w:val="16"/>
              </w:rPr>
              <w:t>porte_2x</w:t>
            </w:r>
          </w:p>
        </w:tc>
        <w:tc>
          <w:tcPr>
            <w:tcW w:type="dxa" w:w="1567"/>
            <w:vAlign w:val="center"/>
          </w:tcPr>
          <w:p>
            <w:pPr>
              <w:spacing w:line="240" w:lineRule="auto"/>
              <w:ind w:firstLine="0"/>
            </w:pPr>
            <w:r>
              <w:rPr>
                <w:sz w:val="16"/>
              </w:rPr>
              <w:t>47</w:t>
            </w:r>
          </w:p>
        </w:tc>
        <w:tc>
          <w:tcPr>
            <w:tcW w:type="dxa" w:w="1567"/>
            <w:vAlign w:val="center"/>
          </w:tcPr>
          <w:p>
            <w:pPr>
              <w:spacing w:line="240" w:lineRule="auto"/>
              <w:ind w:firstLine="0"/>
            </w:pPr>
            <w:r>
              <w:rPr>
                <w:sz w:val="16"/>
              </w:rPr>
              <w:t>41,36</w:t>
            </w:r>
          </w:p>
        </w:tc>
        <w:tc>
          <w:tcPr>
            <w:tcW w:type="dxa" w:w="1567"/>
            <w:vAlign w:val="center"/>
          </w:tcPr>
          <w:p>
            <w:pPr>
              <w:spacing w:line="240" w:lineRule="auto"/>
              <w:ind w:firstLine="0"/>
            </w:pPr>
            <w:r>
              <w:rPr>
                <w:sz w:val="16"/>
              </w:rPr>
              <w:t>54,86</w:t>
            </w:r>
          </w:p>
        </w:tc>
        <w:tc>
          <w:tcPr>
            <w:tcW w:type="dxa" w:w="1567"/>
            <w:vAlign w:val="center"/>
          </w:tcPr>
          <w:p>
            <w:pPr>
              <w:spacing w:line="240" w:lineRule="auto"/>
              <w:ind w:firstLine="0"/>
            </w:pPr>
            <w:r>
              <w:rPr>
                <w:sz w:val="16"/>
              </w:rPr>
              <w:t>-13,50</w:t>
            </w:r>
          </w:p>
        </w:tc>
      </w:tr>
    </w:tbl>
    <w:p>
      <w:pPr>
        <w:pStyle w:val="Fonte"/>
      </w:pPr>
      <w:r>
        <w:t>Fonte: elaboração própria com microdados do Inep (2025).</w:t>
      </w:r>
    </w:p>
    <w:p>
      <w:r>
        <w:t>Todas as ofertas conceito 1 permaneceram abaixo da média de seus benchmarks nos três critérios. A magnitude variou, sobretudo quando o número de comparáveis foi pequeno. Abaetetuba, por exemplo, teve apenas um comparável no critério mais restritivo, exigindo cautela.</w:t>
      </w:r>
    </w:p>
    <w:p>
      <w:pPr>
        <w:pStyle w:val="Heading2"/>
      </w:pPr>
      <w:r>
        <w:t>5.7 Associações ecológicas exploratórias</w:t>
      </w:r>
    </w:p>
    <w:p>
      <w:r>
        <w:t>As associações ecológicas entre indicadores agregados foram tratadas como diagnóstico complementar. O pequeno número de ofertas da UFPA impede uma matriz restrita ao grupo conceito 1. Análises futuras deverão utilizar o conjunto regional ou nacional, relatar N de cursos, examinar outliers e comparar estimativas ponderadas e não ponderadas.</w:t>
      </w:r>
    </w:p>
    <w:p>
      <w:pPr>
        <w:pStyle w:val="Heading1"/>
      </w:pPr>
      <w:r>
        <w:t>6 DISCUSSÃO</w:t>
      </w:r>
    </w:p>
    <w:p>
      <w:r>
        <w:t>O achado mais estável é a diferença de desempenho entre as sete ofertas conceito 1 e a oferta presencial de Belém, bem como em relação aos benchmarks comparáveis. A persistência do sinal sob critérios alternativos fortalece a interpretação descritiva de que o resultado não decorre apenas da composição indiscriminada do benchmark.</w:t>
      </w:r>
    </w:p>
    <w:p>
      <w:r>
        <w:t>Não foi identificado um único atributo suficiente para explicar o padrão. A presença simultânea de ofertas presenciais e EaD entre os conceitos 1, além da heterogeneidade de porte e perfil, contraria explicações monocausais. Hipóteses plausíveis envolvem combinações de participação, composição discente, condições acadêmicas, oportunidades formativas e organização do curso, que precisam ser avaliadas com fontes institucionais complementares.</w:t>
      </w:r>
    </w:p>
    <w:p>
      <w:pPr>
        <w:ind w:firstLine="0"/>
      </w:pPr>
      <w:r>
        <w:rPr>
          <w:b/>
          <w:sz w:val="20"/>
        </w:rPr>
        <w:t>Tabela 6 - Síntese interpretativa dos achados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vAlign w:val="center"/>
          </w:tcPr>
          <w:p>
            <w:pPr>
              <w:jc w:val="center"/>
            </w:pPr>
            <w:r>
              <w:rPr>
                <w:b/>
                <w:sz w:val="16"/>
              </w:rPr>
              <w:t>Dimensão</w:t>
            </w:r>
          </w:p>
        </w:tc>
        <w:tc>
          <w:tcPr>
            <w:tcW w:type="dxa" w:w="2351"/>
            <w:vAlign w:val="center"/>
          </w:tcPr>
          <w:p>
            <w:pPr>
              <w:jc w:val="center"/>
            </w:pPr>
            <w:r>
              <w:rPr>
                <w:b/>
                <w:sz w:val="16"/>
              </w:rPr>
              <w:t>UFPA conceito 1</w:t>
            </w:r>
          </w:p>
        </w:tc>
        <w:tc>
          <w:tcPr>
            <w:tcW w:type="dxa" w:w="2351"/>
            <w:vAlign w:val="center"/>
          </w:tcPr>
          <w:p>
            <w:pPr>
              <w:jc w:val="center"/>
            </w:pPr>
            <w:r>
              <w:rPr>
                <w:b/>
                <w:sz w:val="16"/>
              </w:rPr>
              <w:t>UFPA conceito superior</w:t>
            </w:r>
          </w:p>
        </w:tc>
        <w:tc>
          <w:tcPr>
            <w:tcW w:type="dxa" w:w="2351"/>
            <w:vAlign w:val="center"/>
          </w:tcPr>
          <w:p>
            <w:pPr>
              <w:jc w:val="center"/>
            </w:pPr>
            <w:r>
              <w:rPr>
                <w:b/>
                <w:sz w:val="16"/>
              </w:rPr>
              <w:t>Leitura cautelosa</w:t>
            </w:r>
          </w:p>
        </w:tc>
      </w:tr>
      <w:tr>
        <w:tc>
          <w:tcPr>
            <w:tcW w:type="dxa" w:w="2351"/>
            <w:vAlign w:val="center"/>
          </w:tcPr>
          <w:p>
            <w:pPr>
              <w:spacing w:line="240" w:lineRule="auto"/>
              <w:ind w:firstLine="0"/>
            </w:pPr>
            <w:r>
              <w:rPr>
                <w:sz w:val="16"/>
              </w:rPr>
              <w:t>Desempenho</w:t>
            </w:r>
          </w:p>
        </w:tc>
        <w:tc>
          <w:tcPr>
            <w:tcW w:type="dxa" w:w="2351"/>
            <w:vAlign w:val="center"/>
          </w:tcPr>
          <w:p>
            <w:pPr>
              <w:spacing w:line="240" w:lineRule="auto"/>
              <w:ind w:firstLine="0"/>
            </w:pPr>
            <w:r>
              <w:rPr>
                <w:sz w:val="16"/>
              </w:rPr>
              <w:t>42,23</w:t>
            </w:r>
          </w:p>
        </w:tc>
        <w:tc>
          <w:tcPr>
            <w:tcW w:type="dxa" w:w="2351"/>
            <w:vAlign w:val="center"/>
          </w:tcPr>
          <w:p>
            <w:pPr>
              <w:spacing w:line="240" w:lineRule="auto"/>
              <w:ind w:firstLine="0"/>
            </w:pPr>
            <w:r>
              <w:rPr>
                <w:sz w:val="16"/>
              </w:rPr>
              <w:t>54,14</w:t>
            </w:r>
          </w:p>
        </w:tc>
        <w:tc>
          <w:tcPr>
            <w:tcW w:type="dxa" w:w="2351"/>
            <w:vAlign w:val="center"/>
          </w:tcPr>
          <w:p>
            <w:pPr>
              <w:spacing w:line="240" w:lineRule="auto"/>
              <w:ind w:firstLine="0"/>
            </w:pPr>
            <w:r>
              <w:rPr>
                <w:sz w:val="16"/>
              </w:rPr>
              <w:t>Diferença persistente em favor da oferta interna com conceito superior.</w:t>
            </w:r>
          </w:p>
        </w:tc>
      </w:tr>
      <w:tr>
        <w:tc>
          <w:tcPr>
            <w:tcW w:type="dxa" w:w="2351"/>
            <w:vAlign w:val="center"/>
          </w:tcPr>
          <w:p>
            <w:pPr>
              <w:spacing w:line="240" w:lineRule="auto"/>
              <w:ind w:firstLine="0"/>
            </w:pPr>
            <w:r>
              <w:rPr>
                <w:sz w:val="16"/>
              </w:rPr>
              <w:t>Participação</w:t>
            </w:r>
          </w:p>
        </w:tc>
        <w:tc>
          <w:tcPr>
            <w:tcW w:type="dxa" w:w="2351"/>
            <w:vAlign w:val="center"/>
          </w:tcPr>
          <w:p>
            <w:pPr>
              <w:spacing w:line="240" w:lineRule="auto"/>
              <w:ind w:firstLine="0"/>
            </w:pPr>
            <w:r>
              <w:rPr>
                <w:sz w:val="16"/>
              </w:rPr>
              <w:t>69,07</w:t>
            </w:r>
          </w:p>
        </w:tc>
        <w:tc>
          <w:tcPr>
            <w:tcW w:type="dxa" w:w="2351"/>
            <w:vAlign w:val="center"/>
          </w:tcPr>
          <w:p>
            <w:pPr>
              <w:spacing w:line="240" w:lineRule="auto"/>
              <w:ind w:firstLine="0"/>
            </w:pPr>
            <w:r>
              <w:rPr>
                <w:sz w:val="16"/>
              </w:rPr>
              <w:t>89,71</w:t>
            </w:r>
          </w:p>
        </w:tc>
        <w:tc>
          <w:tcPr>
            <w:tcW w:type="dxa" w:w="2351"/>
            <w:vAlign w:val="center"/>
          </w:tcPr>
          <w:p>
            <w:pPr>
              <w:spacing w:line="240" w:lineRule="auto"/>
              <w:ind w:firstLine="0"/>
            </w:pPr>
            <w:r>
              <w:rPr>
                <w:sz w:val="16"/>
              </w:rPr>
              <w:t>A interpretação deve distinguir inscritos, participantes oficiais e notas válidas.</w:t>
            </w:r>
          </w:p>
        </w:tc>
      </w:tr>
      <w:tr>
        <w:tc>
          <w:tcPr>
            <w:tcW w:type="dxa" w:w="2351"/>
            <w:vAlign w:val="center"/>
          </w:tcPr>
          <w:p>
            <w:pPr>
              <w:spacing w:line="240" w:lineRule="auto"/>
              <w:ind w:firstLine="0"/>
            </w:pPr>
            <w:r>
              <w:rPr>
                <w:sz w:val="16"/>
              </w:rPr>
              <w:t>Renda até 3 SM</w:t>
            </w:r>
          </w:p>
        </w:tc>
        <w:tc>
          <w:tcPr>
            <w:tcW w:type="dxa" w:w="2351"/>
            <w:vAlign w:val="center"/>
          </w:tcPr>
          <w:p>
            <w:pPr>
              <w:spacing w:line="240" w:lineRule="auto"/>
              <w:ind w:firstLine="0"/>
            </w:pPr>
            <w:r>
              <w:rPr>
                <w:sz w:val="16"/>
              </w:rPr>
              <w:t>85,51</w:t>
            </w:r>
          </w:p>
        </w:tc>
        <w:tc>
          <w:tcPr>
            <w:tcW w:type="dxa" w:w="2351"/>
            <w:vAlign w:val="center"/>
          </w:tcPr>
          <w:p>
            <w:pPr>
              <w:spacing w:line="240" w:lineRule="auto"/>
              <w:ind w:firstLine="0"/>
            </w:pPr>
            <w:r>
              <w:rPr>
                <w:sz w:val="16"/>
              </w:rPr>
              <w:t>74,19</w:t>
            </w:r>
          </w:p>
        </w:tc>
        <w:tc>
          <w:tcPr>
            <w:tcW w:type="dxa" w:w="2351"/>
            <w:vAlign w:val="center"/>
          </w:tcPr>
          <w:p>
            <w:pPr>
              <w:spacing w:line="240" w:lineRule="auto"/>
              <w:ind w:firstLine="0"/>
            </w:pPr>
            <w:r>
              <w:rPr>
                <w:sz w:val="16"/>
              </w:rPr>
              <w:t>Associação agregada; não permite inferência individual.</w:t>
            </w:r>
          </w:p>
        </w:tc>
      </w:tr>
      <w:tr>
        <w:tc>
          <w:tcPr>
            <w:tcW w:type="dxa" w:w="2351"/>
            <w:vAlign w:val="center"/>
          </w:tcPr>
          <w:p>
            <w:pPr>
              <w:spacing w:line="240" w:lineRule="auto"/>
              <w:ind w:firstLine="0"/>
            </w:pPr>
            <w:r>
              <w:rPr>
                <w:sz w:val="16"/>
              </w:rPr>
              <w:t>Trabalho</w:t>
            </w:r>
          </w:p>
        </w:tc>
        <w:tc>
          <w:tcPr>
            <w:tcW w:type="dxa" w:w="2351"/>
            <w:vAlign w:val="center"/>
          </w:tcPr>
          <w:p>
            <w:pPr>
              <w:spacing w:line="240" w:lineRule="auto"/>
              <w:ind w:firstLine="0"/>
            </w:pPr>
            <w:r>
              <w:rPr>
                <w:sz w:val="16"/>
              </w:rPr>
              <w:t>57,48</w:t>
            </w:r>
          </w:p>
        </w:tc>
        <w:tc>
          <w:tcPr>
            <w:tcW w:type="dxa" w:w="2351"/>
            <w:vAlign w:val="center"/>
          </w:tcPr>
          <w:p>
            <w:pPr>
              <w:spacing w:line="240" w:lineRule="auto"/>
              <w:ind w:firstLine="0"/>
            </w:pPr>
            <w:r>
              <w:rPr>
                <w:sz w:val="16"/>
              </w:rPr>
              <w:t>64,52</w:t>
            </w:r>
          </w:p>
        </w:tc>
        <w:tc>
          <w:tcPr>
            <w:tcW w:type="dxa" w:w="2351"/>
            <w:vAlign w:val="center"/>
          </w:tcPr>
          <w:p>
            <w:pPr>
              <w:spacing w:line="240" w:lineRule="auto"/>
              <w:ind w:firstLine="0"/>
            </w:pPr>
            <w:r>
              <w:rPr>
                <w:sz w:val="16"/>
              </w:rPr>
              <w:t>Indicador de composição discente, não explicação causal.</w:t>
            </w:r>
          </w:p>
        </w:tc>
      </w:tr>
      <w:tr>
        <w:tc>
          <w:tcPr>
            <w:tcW w:type="dxa" w:w="2351"/>
            <w:vAlign w:val="center"/>
          </w:tcPr>
          <w:p>
            <w:pPr>
              <w:spacing w:line="240" w:lineRule="auto"/>
              <w:ind w:firstLine="0"/>
            </w:pPr>
            <w:r>
              <w:rPr>
                <w:sz w:val="16"/>
              </w:rPr>
              <w:t>Recomendação do curso (9-10)</w:t>
            </w:r>
          </w:p>
        </w:tc>
        <w:tc>
          <w:tcPr>
            <w:tcW w:type="dxa" w:w="2351"/>
            <w:vAlign w:val="center"/>
          </w:tcPr>
          <w:p>
            <w:pPr>
              <w:spacing w:line="240" w:lineRule="auto"/>
              <w:ind w:firstLine="0"/>
            </w:pPr>
            <w:r>
              <w:rPr>
                <w:sz w:val="16"/>
              </w:rPr>
              <w:t>57,46</w:t>
            </w:r>
          </w:p>
        </w:tc>
        <w:tc>
          <w:tcPr>
            <w:tcW w:type="dxa" w:w="2351"/>
            <w:vAlign w:val="center"/>
          </w:tcPr>
          <w:p>
            <w:pPr>
              <w:spacing w:line="240" w:lineRule="auto"/>
              <w:ind w:firstLine="0"/>
            </w:pPr>
            <w:r>
              <w:rPr>
                <w:sz w:val="16"/>
              </w:rPr>
              <w:t>43,55</w:t>
            </w:r>
          </w:p>
        </w:tc>
        <w:tc>
          <w:tcPr>
            <w:tcW w:type="dxa" w:w="2351"/>
            <w:vAlign w:val="center"/>
          </w:tcPr>
          <w:p>
            <w:pPr>
              <w:spacing w:line="240" w:lineRule="auto"/>
              <w:ind w:firstLine="0"/>
            </w:pPr>
            <w:r>
              <w:rPr>
                <w:sz w:val="16"/>
              </w:rPr>
              <w:t>Deve ser interpretada como recomendação, não como satisfação geral.</w:t>
            </w:r>
          </w:p>
        </w:tc>
      </w:tr>
    </w:tbl>
    <w:p>
      <w:pPr>
        <w:pStyle w:val="Fonte"/>
      </w:pPr>
      <w:r>
        <w:t>Fonte: elaboração própria com microdados do Inep (2025).</w:t>
      </w:r>
    </w:p>
    <w:p>
      <w:r>
        <w:t>O contraste interno é informativo, mas a oferta de Belém não constitui contrafactual causal. Ela difere das demais em localização, escala e possivelmente em organização acadêmica e perfil de estudantes. O benchmark comparável reduz algumas diferenças, sem eliminar variáveis não observadas.</w:t>
      </w:r>
    </w:p>
    <w:p>
      <w:pPr>
        <w:pStyle w:val="Heading1"/>
      </w:pPr>
      <w:r>
        <w:t>7 CONCLUSÃO</w:t>
      </w:r>
    </w:p>
    <w:p>
      <w:r>
        <w:t>As ofertas de Matemática da UFPA com Conceito Enade 1 diferenciam-se principalmente pelo desempenho inferior em relação à oferta interna com conceito 3 e aos benchmarks comparáveis. A direção do contraste é robusta a diferentes regras de porte, embora a magnitude varie. Indicadores socioeconômicos, de trajetória e de processo formativo revelam heterogeneidade e oferecem hipóteses, mas não permitem atribuir causalidade individual ou institucional.</w:t>
      </w:r>
    </w:p>
    <w:p>
      <w:r>
        <w:t>Recomenda-se aprofundar: (a) comparação entre ofertas presenciais de universidades federais; (b) análise de participação e estabilidade em cursos pequenos; (c) validação teórica dos itens de processo formativo; (d) associações ecológicas nacionais com análise de outliers; e (e) incorporação de evidências institucionais sobre currículo, estágio, corpo docente e apoio estudantil.</w:t>
      </w:r>
    </w:p>
    <w:p>
      <w:pPr>
        <w:pStyle w:val="Heading1"/>
      </w:pPr>
      <w:r>
        <w:t>REFERÊNCIAS</w:t>
      </w:r>
    </w:p>
    <w:p>
      <w:pPr>
        <w:spacing w:line="240" w:lineRule="auto" w:after="0"/>
        <w:ind w:firstLine="0"/>
      </w:pPr>
      <w:r>
        <w:t>BRASIL. Lei nº 10.861, de 14 de abril de 2004. Institui o Sistema Nacional de Avaliação da Educação Superior - SINAES. Brasília, DF: Presidência da República, 2004.</w:t>
      </w:r>
    </w:p>
    <w:p>
      <w:pPr>
        <w:spacing w:line="240" w:lineRule="auto" w:after="0"/>
        <w:ind w:firstLine="0"/>
      </w:pPr>
      <w:r>
        <w:t>CLIFF, N. Ordinal methods for behavioral data analysis. Mahwah: Lawrence Erlbaum Associates, 1996.</w:t>
      </w:r>
    </w:p>
    <w:p>
      <w:pPr>
        <w:spacing w:line="240" w:lineRule="auto" w:after="0"/>
        <w:ind w:firstLine="0"/>
      </w:pPr>
      <w:r>
        <w:t>COHEN, J. Statistical power analysis for the behavioral sciences. 2. ed. Hillsdale: Lawrence Erlbaum Associates, 1988.</w:t>
      </w:r>
    </w:p>
    <w:p>
      <w:pPr>
        <w:spacing w:line="240" w:lineRule="auto" w:after="0"/>
        <w:ind w:firstLine="0"/>
      </w:pPr>
      <w:r>
        <w:t>INSTITUTO BRASILEIRO DE GEOGRAFIA E ESTATÍSTICA (IBGE). Normas de apresentação tabular. 3. ed. Rio de Janeiro: IBGE, 1993.</w:t>
      </w:r>
    </w:p>
    <w:p>
      <w:pPr>
        <w:spacing w:line="240" w:lineRule="auto" w:after="0"/>
        <w:ind w:firstLine="0"/>
      </w:pPr>
      <w:r>
        <w:t>INSTITUTO NACIONAL DE ESTUDOS E PESQUISAS EDUCACIONAIS ANÍSIO TEIXEIRA (INEP). Enade das Licenciaturas: microdados 2025. Brasília, DF: Inep, 2026.</w:t>
      </w:r>
    </w:p>
    <w:p>
      <w:pPr>
        <w:spacing w:line="240" w:lineRule="auto" w:after="0"/>
        <w:ind w:firstLine="0"/>
      </w:pPr>
      <w:r>
        <w:t>INSTITUTO NACIONAL DE ESTUDOS E PESQUISAS EDUCACIONAIS ANÍSIO TEIXEIRA (INEP). Manual do usuário: Enade das Licenciaturas 2025. Brasília, DF: Inep, 2026.</w:t>
      </w:r>
    </w:p>
    <w:p>
      <w:pPr>
        <w:spacing w:line="240" w:lineRule="auto" w:after="0"/>
        <w:ind w:firstLine="0"/>
      </w:pPr>
      <w:r>
        <w:t>INSTITUTO NACIONAL DE ESTUDOS E PESQUISAS EDUCACIONAIS ANÍSIO TEIXEIRA (INEP). Nota Técnica nº 8/2026/CEI/CGGI/DAES-INEP: metodologia do Conceito Enade para os cursos de licenciatura a partir da edição de 2025. Brasília, DF: Inep, 2026.</w:t>
      </w:r>
    </w:p>
    <w:p>
      <w:pPr>
        <w:spacing w:line="240" w:lineRule="auto" w:after="0"/>
        <w:ind w:firstLine="0"/>
      </w:pPr>
      <w:r>
        <w:t>INSTITUTO NACIONAL DE ESTUDOS E PESQUISAS EDUCACIONAIS ANÍSIO TEIXEIRA (INEP). Questionário do Estudante - Enade das Licenciaturas 2025. Brasília, DF: Inep, 2025.</w:t>
      </w:r>
    </w:p>
    <w:p>
      <w:pPr>
        <w:pStyle w:val="Heading1"/>
      </w:pPr>
      <w:r>
        <w:t>APÊNDICE A - REGRAS DE INTEGRIDADE</w:t>
      </w:r>
    </w:p>
    <w:p>
      <w:r>
        <w:t>Os arquivos temáticos foram tratados separadamente. Não foi utilizada posição de linha, não foram reconstruídos indivíduos e todas as junções analíticas foram realizadas após agregação por CO_CURSO.</w:t>
      </w:r>
    </w:p>
    <w:p>
      <w:pPr>
        <w:pStyle w:val="Heading1"/>
      </w:pPr>
      <w:r>
        <w:t>APÊNDICE B - CRITÉRIOS DE BENCHMARK</w:t>
      </w:r>
    </w:p>
    <w:p>
      <w:r>
        <w:t>O benchmark comparável utilizou área, modalidade, categoria administrativa, organização acadêmica e faixas de porte. Os resultados foram recalculados sob ±25%, ±50% e razão de até duas vezes o número de participantes.</w:t>
      </w:r>
    </w:p>
    <w:sectPr w:rsidR="00FC693F" w:rsidRPr="0006063C" w:rsidSect="00034616">
      <w:pgSz w:w="12240" w:h="15840"/>
      <w:pgMar w:top="1701"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Fonte: elaboração própria com dados do Inep (2025), quando não indicado em contrário.</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ind w:firstLine="709"/>
      <w:jc w:val="both"/>
    </w:pPr>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ind w:firstLine="0"/>
      <w:jc w:val="left"/>
      <w:outlineLvl w:val="0"/>
    </w:pPr>
    <w:rPr>
      <w:rFonts w:asciiTheme="majorHAnsi" w:eastAsiaTheme="majorEastAsia" w:hAnsiTheme="majorHAnsi" w:cstheme="majorBidi" w:ascii="Arial" w:hAnsi="Arial"/>
      <w:b/>
      <w:bCs/>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40" w:after="120"/>
      <w:ind w:firstLine="0"/>
      <w:jc w:val="left"/>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40" w:after="120"/>
      <w:ind w:firstLine="0"/>
      <w:jc w:val="left"/>
      <w:outlineLvl w:val="2"/>
    </w:pPr>
    <w:rPr>
      <w:rFonts w:asciiTheme="majorHAnsi" w:eastAsiaTheme="majorEastAsia" w:hAnsiTheme="majorHAnsi" w:cstheme="majorBidi" w:ascii="Arial" w:hAnsi="Arial"/>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240"/>
      <w:ind w:firstLine="0"/>
      <w:contextualSpacing/>
      <w:jc w:val="left"/>
    </w:pPr>
    <w:rPr>
      <w:rFonts w:asciiTheme="majorHAnsi" w:eastAsiaTheme="majorEastAsia" w:hAnsiTheme="majorHAnsi" w:cstheme="majorBidi" w:ascii="Arial" w:hAnsi="Arial"/>
      <w:b/>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nte">
    <w:name w:val="Fonte"/>
    <w:pPr>
      <w:spacing w:line="240" w:lineRule="auto" w:after="120"/>
      <w:ind w:firstLine="0"/>
    </w:pPr>
    <w:rPr>
      <w:rFonts w:ascii="Arial" w:hAnsi="Arial"/>
      <w:sz w:val="20"/>
    </w:rPr>
  </w:style>
  <w:style w:type="paragraph" w:customStyle="1" w:styleId="Resumo">
    <w:name w:val="Resumo"/>
    <w:pPr>
      <w:spacing w:line="240" w:lineRule="auto"/>
      <w:ind w:firstLine="0"/>
      <w:jc w:val="both"/>
    </w:pPr>
    <w:rPr>
      <w:rFonts w:ascii="Arial" w:hAnsi="Arial"/>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