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4"/>
        </w:rPr>
        <w:t>UNIVERSIDADE FEDERAL DO PARÁ</w:t>
      </w:r>
    </w:p>
    <w:p/>
    <w:p/>
    <w:p/>
    <w:p/>
    <w:p>
      <w:pPr>
        <w:ind w:firstLine="0"/>
        <w:jc w:val="center"/>
      </w:pPr>
      <w:r>
        <w:rPr>
          <w:b/>
          <w:sz w:val="28"/>
        </w:rPr>
        <w:t>DESEMPENHO, COMPOSIÇÃO DISCENTE E PROCESSO FORMATIVO NAS OFERTAS DE LICENCIATURA EM FÍSICA DA UFPA NO ENADE 2025</w:t>
      </w:r>
    </w:p>
    <w:p/>
    <w:p/>
    <w:p/>
    <w:p/>
    <w:p/>
    <w:p/>
    <w:p>
      <w:pPr>
        <w:ind w:firstLine="0"/>
        <w:jc w:val="center"/>
      </w:pPr>
      <w:r>
        <w:t>Autor(a): [preencher]</w:t>
      </w:r>
    </w:p>
    <w:p/>
    <w:p/>
    <w:p/>
    <w:p/>
    <w:p/>
    <w:p/>
    <w:p>
      <w:pPr>
        <w:ind w:firstLine="0"/>
        <w:jc w:val="center"/>
      </w:pPr>
      <w:r>
        <w:t>Belém</w:t>
        <w:br/>
        <w:t>2026</w:t>
      </w:r>
    </w:p>
    <w:p>
      <w:pPr>
        <w:sectPr>
          <w:headerReference w:type="default" r:id="rId9"/>
          <w:footerReference w:type="default" r:id="rId10"/>
          <w:pgSz w:w="12240" w:h="15840"/>
          <w:pgMar w:top="1701" w:right="1134" w:bottom="1134" w:left="1701" w:header="720" w:footer="720" w:gutter="0"/>
          <w:cols w:space="720"/>
          <w:docGrid w:linePitch="360"/>
        </w:sectPr>
      </w:pPr>
    </w:p>
    <w:p>
      <w:pPr>
        <w:pStyle w:val="Heading1"/>
      </w:pPr>
      <w:r>
        <w:t>FICHA DE IDENTIFICAÇÃO TÉCNICA</w:t>
      </w:r>
    </w:p>
    <w:p>
      <w:r>
        <w:t>Instituição: Universidade Federal do Pará.</w:t>
      </w:r>
    </w:p>
    <w:p>
      <w:r>
        <w:t>Área: Licenciatura em Física (CO_GRUPO=1402).</w:t>
      </w:r>
    </w:p>
    <w:p>
      <w:r>
        <w:t>Unidade principal de análise: curso (CO_CURSO).</w:t>
      </w:r>
    </w:p>
    <w:p>
      <w:r>
        <w:t>Data de geração: 27/07/2026 18:51.</w:t>
      </w:r>
    </w:p>
    <w:p>
      <w:r>
        <w:t>Fontes: microdados do Enade das Licenciaturas 2025 e planilha externa de Conceito Enade.</w:t>
      </w:r>
    </w:p>
    <w:p>
      <w:pPr>
        <w:pStyle w:val="Heading1"/>
      </w:pPr>
      <w:r>
        <w:t>RESUMO</w:t>
      </w:r>
    </w:p>
    <w:p>
      <w:pPr>
        <w:pStyle w:val="Resumo"/>
      </w:pPr>
      <w:r>
        <w:t>Este relatório analisa 5 ofertas validadas de licenciatura em Física da UFPA no Enade das Licenciaturas 2025, das quais 4 receberam Conceito Enade 1. A unidade principal é o curso (CO_CURSO). Os arquivos temáticos foram tratados separadamente e agregados por curso, sem reconstrução de registros individuais. Entre as ofertas da UFPA, a média das médias de NT_GER foi 38,5 nas ofertas conceito 1 e 54,4 na oferta com conceito superior. O contraste deve ser interpretado junto ao porte, à modalidade, à participação e à composição discente. As associações entre desempenho, perfil e processo formativo são ecológicas e não sustentam inferência causal ou individual.</w:t>
      </w:r>
    </w:p>
    <w:p>
      <w:pPr>
        <w:pStyle w:val="Resumo"/>
      </w:pPr>
      <w:r>
        <w:t>Palavras-chave: Enade; licenciatura em Física; UFPA; microdados; avaliação da educação superior.</w:t>
      </w:r>
    </w:p>
    <w:p>
      <w:pPr>
        <w:pStyle w:val="Heading1"/>
      </w:pPr>
      <w:r>
        <w:t>ABSTRACT</w:t>
      </w:r>
    </w:p>
    <w:p>
      <w:pPr>
        <w:pStyle w:val="Resumo"/>
      </w:pPr>
      <w:r>
        <w:t>This report analyzes Physics teacher education programs offered by the Federal University of Pará in the 2025 Enade for Teacher Education Programs. The course, identified by CO_CURSO, is the main unit of analysis. Thematic files were processed separately and aggregated at course level, without reconstructing individual records. Performance, participation, socioeconomic composition, academic trajectory, formative process evaluation, recommendation, and broad and comparable benchmarks were examined. Associations are ecological and do not support individual or causal inference.</w:t>
      </w:r>
    </w:p>
    <w:p>
      <w:pPr>
        <w:pStyle w:val="Resumo"/>
      </w:pPr>
      <w:r>
        <w:t>Keywords: Enade; Physics teacher education; UFPA; microdata; higher education assessment.</w:t>
      </w:r>
    </w:p>
    <w:p>
      <w:pPr>
        <w:pStyle w:val="Heading1"/>
      </w:pPr>
      <w:r>
        <w:t>LISTA DE FIGURAS</w:t>
      </w:r>
    </w:p>
    <w:p>
      <w:pPr>
        <w:pStyle w:val="Fonte"/>
      </w:pPr>
      <w:r>
        <w:t>Figura 1 – Ofertas de Física da UFPA</w:t>
      </w:r>
    </w:p>
    <w:p>
      <w:pPr>
        <w:pStyle w:val="Fonte"/>
      </w:pPr>
      <w:r>
        <w:t>Figura 2 – Taxa de presença</w:t>
      </w:r>
    </w:p>
    <w:p>
      <w:pPr>
        <w:pStyle w:val="Fonte"/>
      </w:pPr>
      <w:r>
        <w:t>Figura 3 – NT_GER por oferta</w:t>
      </w:r>
    </w:p>
    <w:p>
      <w:pPr>
        <w:pStyle w:val="Fonte"/>
      </w:pPr>
      <w:r>
        <w:t>Figura 4 – Comparação territorial de NT_GER</w:t>
      </w:r>
    </w:p>
    <w:p>
      <w:pPr>
        <w:pStyle w:val="Fonte"/>
      </w:pPr>
      <w:r>
        <w:t>Figura 5 – NT_OBJ por oferta</w:t>
      </w:r>
    </w:p>
    <w:p>
      <w:pPr>
        <w:pStyle w:val="Fonte"/>
      </w:pPr>
      <w:r>
        <w:t>Figura 6 – NT_DIS por oferta</w:t>
      </w:r>
    </w:p>
    <w:p>
      <w:pPr>
        <w:pStyle w:val="Fonte"/>
      </w:pPr>
      <w:r>
        <w:t>Figura 7 – Conceito e dificuldade</w:t>
      </w:r>
    </w:p>
    <w:p>
      <w:pPr>
        <w:pStyle w:val="Fonte"/>
      </w:pPr>
      <w:r>
        <w:t>Figura 8 – Processo formativo</w:t>
      </w:r>
    </w:p>
    <w:p>
      <w:pPr>
        <w:pStyle w:val="Fonte"/>
      </w:pPr>
      <w:r>
        <w:t>Figura 9 – Recomendação do curso</w:t>
      </w:r>
    </w:p>
    <w:p>
      <w:pPr>
        <w:pStyle w:val="Fonte"/>
      </w:pPr>
      <w:r>
        <w:t>Figura 10 – Recomendação da instituição</w:t>
      </w:r>
    </w:p>
    <w:p>
      <w:pPr>
        <w:pStyle w:val="Fonte"/>
      </w:pPr>
      <w:r>
        <w:t>Figura 11 – Perfil socioeconômico</w:t>
      </w:r>
    </w:p>
    <w:p>
      <w:pPr>
        <w:pStyle w:val="Fonte"/>
      </w:pPr>
      <w:r>
        <w:t>Figura 12 – Benchmark comparável</w:t>
      </w:r>
    </w:p>
    <w:p>
      <w:pPr>
        <w:pStyle w:val="Fonte"/>
      </w:pPr>
      <w:r>
        <w:t>Figura 13 – Síntese socioeconômica e desempenho</w:t>
      </w:r>
    </w:p>
    <w:p>
      <w:pPr>
        <w:pStyle w:val="Heading1"/>
      </w:pPr>
      <w:r>
        <w:t>LISTA DE TABELAS</w:t>
      </w:r>
    </w:p>
    <w:p>
      <w:pPr>
        <w:pStyle w:val="Fonte"/>
      </w:pPr>
      <w:r>
        <w:t>Tabela 1 – Ofertas da UFPA</w:t>
      </w:r>
    </w:p>
    <w:p>
      <w:pPr>
        <w:pStyle w:val="Fonte"/>
      </w:pPr>
      <w:r>
        <w:t>Tabela 2 – Participação</w:t>
      </w:r>
    </w:p>
    <w:p>
      <w:pPr>
        <w:pStyle w:val="Fonte"/>
      </w:pPr>
      <w:r>
        <w:t>Tabela 3 – Desempenho</w:t>
      </w:r>
    </w:p>
    <w:p>
      <w:pPr>
        <w:pStyle w:val="Fonte"/>
      </w:pPr>
      <w:r>
        <w:t>Tabela 4 – Comparação territorial</w:t>
      </w:r>
    </w:p>
    <w:p>
      <w:pPr>
        <w:pStyle w:val="Fonte"/>
      </w:pPr>
      <w:r>
        <w:t>Tabela 5 – Perfil socioeconômico</w:t>
      </w:r>
    </w:p>
    <w:p>
      <w:pPr>
        <w:pStyle w:val="Fonte"/>
      </w:pPr>
      <w:r>
        <w:t>Tabela 6 – Processo formativo</w:t>
      </w:r>
    </w:p>
    <w:p>
      <w:pPr>
        <w:pStyle w:val="Fonte"/>
      </w:pPr>
      <w:r>
        <w:t>Tabela 7 – Dificuldade e recomendação</w:t>
      </w:r>
    </w:p>
    <w:p>
      <w:pPr>
        <w:pStyle w:val="Fonte"/>
      </w:pPr>
      <w:r>
        <w:t>Tabela 8 – Sensibilidade dos benchmarks</w:t>
      </w:r>
    </w:p>
    <w:p>
      <w:pPr>
        <w:pStyle w:val="Fonte"/>
      </w:pPr>
      <w:r>
        <w:t>Tabela 9 – Associações ecológicas</w:t>
      </w:r>
    </w:p>
    <w:p>
      <w:pPr>
        <w:pStyle w:val="Heading1"/>
      </w:pPr>
      <w:r>
        <w:t>LISTA DE ABREVIATURAS E SIGLAS</w:t>
      </w:r>
    </w:p>
    <w:p>
      <w:pPr>
        <w:pStyle w:val="Fonte"/>
      </w:pPr>
      <w:r>
        <w:t>ABNT – Associação Brasileira de Normas Técnicas</w:t>
      </w:r>
    </w:p>
    <w:p>
      <w:pPr>
        <w:pStyle w:val="Fonte"/>
      </w:pPr>
      <w:r>
        <w:t>Enade – Exame Nacional de Desempenho dos Estudantes</w:t>
      </w:r>
    </w:p>
    <w:p>
      <w:pPr>
        <w:pStyle w:val="Fonte"/>
      </w:pPr>
      <w:r>
        <w:t>IES – Instituição de Educação Superior</w:t>
      </w:r>
    </w:p>
    <w:p>
      <w:pPr>
        <w:pStyle w:val="Fonte"/>
      </w:pPr>
      <w:r>
        <w:t>Inep – Instituto Nacional de Estudos e Pesquisas Educacionais Anísio Teixeira</w:t>
      </w:r>
    </w:p>
    <w:p>
      <w:pPr>
        <w:pStyle w:val="Fonte"/>
      </w:pPr>
      <w:r>
        <w:t>NT_DIS – Nota da prova discursiva</w:t>
      </w:r>
    </w:p>
    <w:p>
      <w:pPr>
        <w:pStyle w:val="Fonte"/>
      </w:pPr>
      <w:r>
        <w:t>NT_GER – Nota geral</w:t>
      </w:r>
    </w:p>
    <w:p>
      <w:pPr>
        <w:pStyle w:val="Fonte"/>
      </w:pPr>
      <w:r>
        <w:t>NT_OBJ – Nota da prova objetiva</w:t>
      </w:r>
    </w:p>
    <w:p>
      <w:pPr>
        <w:pStyle w:val="Fonte"/>
      </w:pPr>
      <w:r>
        <w:t>UFPA – Universidade Federal do Pará</w:t>
      </w:r>
    </w:p>
    <w:p>
      <w:pPr>
        <w:pStyle w:val="Heading1"/>
      </w:pPr>
      <w:r>
        <w:t>SUMÁRIO</w:t>
      </w:r>
    </w:p>
    <w:p>
      <w:pPr>
        <w:pStyle w:val="Fonte"/>
      </w:pPr>
      <w:r>
        <w:t>1 INTRODUÇÃO</w:t>
      </w:r>
    </w:p>
    <w:p>
      <w:pPr>
        <w:pStyle w:val="Fonte"/>
      </w:pPr>
      <w:r>
        <w:t>2 REFERENCIAL INSTITUCIONAL E METODOLÓGICO</w:t>
      </w:r>
    </w:p>
    <w:p>
      <w:pPr>
        <w:pStyle w:val="Fonte"/>
      </w:pPr>
      <w:r>
        <w:t>3 METODOLOGIA</w:t>
      </w:r>
    </w:p>
    <w:p>
      <w:pPr>
        <w:pStyle w:val="Fonte"/>
      </w:pPr>
      <w:r>
        <w:t>4 PANORAMA DA LICENCIATURA EM FÍSICA</w:t>
      </w:r>
    </w:p>
    <w:p>
      <w:pPr>
        <w:pStyle w:val="Fonte"/>
      </w:pPr>
      <w:r>
        <w:t>5 RESULTADOS</w:t>
      </w:r>
    </w:p>
    <w:p>
      <w:pPr>
        <w:pStyle w:val="Fonte"/>
      </w:pPr>
      <w:r>
        <w:t>5.1 Desempenho</w:t>
      </w:r>
    </w:p>
    <w:p>
      <w:pPr>
        <w:pStyle w:val="Fonte"/>
      </w:pPr>
      <w:r>
        <w:t>5.2 Perfil demográfico e socioeconômico</w:t>
      </w:r>
    </w:p>
    <w:p>
      <w:pPr>
        <w:pStyle w:val="Fonte"/>
      </w:pPr>
      <w:r>
        <w:t>5.3 Trajetória e condições acadêmicas</w:t>
      </w:r>
    </w:p>
    <w:p>
      <w:pPr>
        <w:pStyle w:val="Fonte"/>
      </w:pPr>
      <w:r>
        <w:t>5.4 Processo formativo</w:t>
      </w:r>
    </w:p>
    <w:p>
      <w:pPr>
        <w:pStyle w:val="Fonte"/>
      </w:pPr>
      <w:r>
        <w:t>5.5 Recomendação</w:t>
      </w:r>
    </w:p>
    <w:p>
      <w:pPr>
        <w:pStyle w:val="Fonte"/>
      </w:pPr>
      <w:r>
        <w:t>5.6 Benchmark comparável</w:t>
      </w:r>
    </w:p>
    <w:p>
      <w:pPr>
        <w:pStyle w:val="Fonte"/>
      </w:pPr>
      <w:r>
        <w:t>5.7 Associações ecológicas</w:t>
      </w:r>
    </w:p>
    <w:p>
      <w:pPr>
        <w:pStyle w:val="Fonte"/>
      </w:pPr>
      <w:r>
        <w:t>6 DISCUSSÃO</w:t>
      </w:r>
    </w:p>
    <w:p>
      <w:pPr>
        <w:pStyle w:val="Fonte"/>
      </w:pPr>
      <w:r>
        <w:t>7 CONCLUSÃO</w:t>
      </w:r>
    </w:p>
    <w:p>
      <w:pPr>
        <w:pStyle w:val="Fonte"/>
      </w:pPr>
      <w:r>
        <w:t>REFERÊNCIAS</w:t>
      </w:r>
    </w:p>
    <w:p>
      <w:pPr>
        <w:pStyle w:val="Fonte"/>
      </w:pPr>
      <w:r>
        <w:t>APÊNDICES</w:t>
      </w:r>
    </w:p>
    <w:p>
      <w:pPr>
        <w:pStyle w:val="Fonte"/>
      </w:pPr>
      <w:r>
        <w:t>Nota: atualize o sumário e os campos ao abrir o documento no Word ou LibreOffice.</w:t>
      </w:r>
    </w:p>
    <w:p>
      <w:pPr>
        <w:sectPr>
          <w:pgSz w:w="12240" w:h="15840"/>
          <w:pgMar w:top="1701" w:right="1134" w:bottom="1134" w:left="1701" w:header="720" w:footer="720" w:gutter="0"/>
          <w:cols w:space="720"/>
          <w:docGrid w:linePitch="360"/>
        </w:sectPr>
      </w:pPr>
    </w:p>
    <w:p>
      <w:pPr>
        <w:pStyle w:val="Heading1"/>
      </w:pPr>
      <w:r>
        <w:t>1 INTRODUÇÃO</w:t>
      </w:r>
    </w:p>
    <w:p>
      <w:r>
        <w:t>O Enade produz evidências sobre desempenho e contexto de formação no ensino superior. Este relatório concentra-se nas ofertas de licenciatura em Física da UFPA, com ênfase naquelas classificadas com Conceito Enade 1 e no contraste com a oferta interna de conceito superior e com cursos da mesma área em diferentes territórios.</w:t>
      </w:r>
    </w:p>
    <w:p>
      <w:r>
        <w:t>A pergunta central é: quais características de desempenho, composição discente, trajetória acadêmica e avaliação do processo formativo diferenciam as ofertas da UFPA com Conceito Enade 1 das demais ofertas da mesma área na UFPA, no Pará, na Região Norte e no Brasil?</w:t>
      </w:r>
    </w:p>
    <w:p>
      <w:r>
        <w:t>O objetivo geral é descrever e contrastar essas ofertas sem atribuir causalidade individual. Os objetivos específicos são auditar participação e desempenho, caracterizar composição discente, examinar processo formativo e recomendação, construir benchmarks comparáveis e sintetizar associações ecológicas no nível do curso.</w:t>
      </w:r>
    </w:p>
    <w:p>
      <w:pPr>
        <w:pStyle w:val="Heading1"/>
      </w:pPr>
      <w:r>
        <w:t>2 REFERENCIAL INSTITUCIONAL E METODOLÓGICO</w:t>
      </w:r>
    </w:p>
    <w:p>
      <w:pPr>
        <w:pStyle w:val="Heading2"/>
      </w:pPr>
      <w:r>
        <w:t>2.1 Enade e Conceito Enade</w:t>
      </w:r>
    </w:p>
    <w:p>
      <w:r>
        <w:t>O Conceito Enade é utilizado como classificação externa do curso. As variáveis contínuas dos microdados descrevem desempenho e composição, enquanto a planilha externa preserva o conceito e a situação de divulgação. Ausência de conceito não foi tratada como conceito 1.</w:t>
      </w:r>
    </w:p>
    <w:p>
      <w:pPr>
        <w:pStyle w:val="Heading2"/>
      </w:pPr>
      <w:r>
        <w:t>2.2 Unidade de análise e anonimização</w:t>
      </w:r>
    </w:p>
    <w:p>
      <w:r>
        <w:t>Os arquivos temáticos não contêm identificador público que permita reconhecer o mesmo estudante entre desempenho, perfil e percepção. A posição da linha não é uma chave. Cada arquivo foi tratado separadamente, agregado por CO_CURSO e somente então relacionado às demais tabelas agregadas.</w:t>
      </w:r>
    </w:p>
    <w:p>
      <w:pPr>
        <w:pStyle w:val="Heading2"/>
      </w:pPr>
      <w:r>
        <w:t>2.3 Inferência ecológica</w:t>
      </w:r>
    </w:p>
    <w:p>
      <w:r>
        <w:t>Relações entre nota média, renda, trabalho, auxílio, infraestrutura e recomendação são examinadas no nível do curso. Uma associação entre cursos não autoriza concluir que a mesma relação ocorre entre estudantes. Essa restrição é explicitada em todas as interpretações.</w:t>
      </w:r>
    </w:p>
    <w:p>
      <w:pPr>
        <w:pStyle w:val="Heading1"/>
      </w:pPr>
      <w:r>
        <w:t>3 METODOLOGIA</w:t>
      </w:r>
    </w:p>
    <w:p>
      <w:r>
        <w:t>Foram selecionados cursos com CO_GRUPO=1402. A UFPA foi identificada por CO_IES=569. A unidade principal é CO_CURSO. Os arquivos temáticos foram submetidos a tratamento de ausentes, agregação por curso e validação de unicidade antes da junção um-para-um das tabelas agregadas.</w:t>
      </w:r>
    </w:p>
    <w:p>
      <w:r>
        <w:t>Os grupos exclusivos são: A) UFPA com conceito 1; B) demais ofertas da UFPA com conceito superior; C) outras IES do Pará; D) restante da Região Norte, excluindo Pará; E) restante do Brasil, excluindo Norte. Pará, Norte e Brasil completos foram mantidos como benchmarks descritivos, não como grupos independentes em testes.</w:t>
      </w:r>
    </w:p>
    <w:p>
      <w:r>
        <w:t>Foram calculadas médias, medianas, desvios-padrão, quartis, intervalos interquartis, percentis e intervalos de confiança quando disponíveis. Os benchmarks comparáveis combinaram modalidade, categoria administrativa, organização acadêmica e porte. As correlações de Spearman foram calculadas entre indicadores agregados por curso, com N e p exploratório registrados.</w:t>
      </w:r>
    </w:p>
    <w:p>
      <w:pPr>
        <w:pStyle w:val="Heading1"/>
      </w:pPr>
      <w:r>
        <w:t>4 PANORAMA DA LICENCIATURA EM FÍSICA</w:t>
      </w:r>
    </w:p>
    <w:p>
      <w:r>
        <w:t>Foram identificados 257 cursos de Física com registros no cadastro analítico. A UFPA possui 5 ofertas validadas: quatro classificadas no grupo A (Conceito Enade 1) e uma no grupo B (conceito superior). Os demais cursos distribuem-se entre outras IES do Pará (grupo C: 3), restante da Região Norte (grupo D: 17) e restante do Brasil (grupo E: 232). A oferta inicialmente informada para Tucuruí permanece registrada como ausência de localização analítica e não foi reclassificada como conceito 1.</w:t>
      </w:r>
    </w:p>
    <w:p>
      <w:pPr>
        <w:ind w:firstLine="0"/>
      </w:pPr>
      <w:r>
        <w:rPr>
          <w:b/>
          <w:sz w:val="20"/>
        </w:rPr>
        <w:t>Tabela 1 – Ofertas de Física da UFPA e situação do Conceito Enade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pPr>
              <w:jc w:val="center"/>
            </w:pPr>
            <w:r>
              <w:rPr>
                <w:b/>
                <w:sz w:val="16"/>
              </w:rPr>
              <w:t>Código</w:t>
            </w:r>
          </w:p>
        </w:tc>
        <w:tc>
          <w:tcPr>
            <w:tcW w:type="dxa" w:w="1176"/>
            <w:vAlign w:val="center"/>
          </w:tcPr>
          <w:p>
            <w:pPr>
              <w:jc w:val="center"/>
            </w:pPr>
            <w:r>
              <w:rPr>
                <w:b/>
                <w:sz w:val="16"/>
              </w:rPr>
              <w:t>Oferta</w:t>
            </w:r>
          </w:p>
        </w:tc>
        <w:tc>
          <w:tcPr>
            <w:tcW w:type="dxa" w:w="1176"/>
            <w:vAlign w:val="center"/>
          </w:tcPr>
          <w:p>
            <w:pPr>
              <w:jc w:val="center"/>
            </w:pPr>
            <w:r>
              <w:rPr>
                <w:b/>
                <w:sz w:val="16"/>
              </w:rPr>
              <w:t>Modalidade</w:t>
            </w:r>
          </w:p>
        </w:tc>
        <w:tc>
          <w:tcPr>
            <w:tcW w:type="dxa" w:w="1176"/>
            <w:vAlign w:val="center"/>
          </w:tcPr>
          <w:p>
            <w:pPr>
              <w:jc w:val="center"/>
            </w:pPr>
            <w:r>
              <w:rPr>
                <w:b/>
                <w:sz w:val="16"/>
              </w:rPr>
              <w:t>Inscritos</w:t>
            </w:r>
          </w:p>
        </w:tc>
        <w:tc>
          <w:tcPr>
            <w:tcW w:type="dxa" w:w="1176"/>
            <w:vAlign w:val="center"/>
          </w:tcPr>
          <w:p>
            <w:pPr>
              <w:jc w:val="center"/>
            </w:pPr>
            <w:r>
              <w:rPr>
                <w:b/>
                <w:sz w:val="16"/>
              </w:rPr>
              <w:t>Participantes</w:t>
            </w:r>
          </w:p>
        </w:tc>
        <w:tc>
          <w:tcPr>
            <w:tcW w:type="dxa" w:w="1176"/>
            <w:vAlign w:val="center"/>
          </w:tcPr>
          <w:p>
            <w:pPr>
              <w:jc w:val="center"/>
            </w:pPr>
            <w:r>
              <w:rPr>
                <w:b/>
                <w:sz w:val="16"/>
              </w:rPr>
              <w:t>% no padrão</w:t>
            </w:r>
          </w:p>
        </w:tc>
        <w:tc>
          <w:tcPr>
            <w:tcW w:type="dxa" w:w="1176"/>
            <w:vAlign w:val="center"/>
          </w:tcPr>
          <w:p>
            <w:pPr>
              <w:jc w:val="center"/>
            </w:pPr>
            <w:r>
              <w:rPr>
                <w:b/>
                <w:sz w:val="16"/>
              </w:rPr>
              <w:t>Conceito</w:t>
            </w:r>
          </w:p>
        </w:tc>
        <w:tc>
          <w:tcPr>
            <w:tcW w:type="dxa" w:w="1176"/>
            <w:vAlign w:val="center"/>
          </w:tcPr>
          <w:p>
            <w:pPr>
              <w:jc w:val="center"/>
            </w:pPr>
            <w:r>
              <w:rPr>
                <w:b/>
                <w:sz w:val="16"/>
              </w:rPr>
              <w:t>Situação</w:t>
            </w:r>
          </w:p>
        </w:tc>
      </w:tr>
      <w:tr>
        <w:tc>
          <w:tcPr>
            <w:tcW w:type="dxa" w:w="1176"/>
            <w:vAlign w:val="center"/>
          </w:tcPr>
          <w:p>
            <w:pPr>
              <w:spacing w:line="240" w:lineRule="auto"/>
              <w:ind w:firstLine="0"/>
            </w:pPr>
            <w:r>
              <w:rPr>
                <w:sz w:val="16"/>
              </w:rPr>
              <w:t>92851</w:t>
            </w:r>
          </w:p>
        </w:tc>
        <w:tc>
          <w:tcPr>
            <w:tcW w:type="dxa" w:w="1176"/>
            <w:vAlign w:val="center"/>
          </w:tcPr>
          <w:p>
            <w:pPr>
              <w:spacing w:line="240" w:lineRule="auto"/>
              <w:ind w:firstLine="0"/>
            </w:pPr>
            <w:r>
              <w:rPr>
                <w:sz w:val="16"/>
              </w:rPr>
              <w:t>Abaetetuba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58</w:t>
            </w:r>
          </w:p>
        </w:tc>
        <w:tc>
          <w:tcPr>
            <w:tcW w:type="dxa" w:w="1176"/>
            <w:vAlign w:val="center"/>
          </w:tcPr>
          <w:p>
            <w:pPr>
              <w:spacing w:line="240" w:lineRule="auto"/>
              <w:ind w:firstLine="0"/>
            </w:pPr>
            <w:r>
              <w:rPr>
                <w:sz w:val="16"/>
              </w:rPr>
              <w:t>42</w:t>
            </w:r>
          </w:p>
        </w:tc>
        <w:tc>
          <w:tcPr>
            <w:tcW w:type="dxa" w:w="1176"/>
            <w:vAlign w:val="center"/>
          </w:tcPr>
          <w:p>
            <w:pPr>
              <w:spacing w:line="240" w:lineRule="auto"/>
              <w:ind w:firstLine="0"/>
            </w:pPr>
            <w:r>
              <w:rPr>
                <w:sz w:val="16"/>
              </w:rPr>
              <w:t>19</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1330339</w:t>
            </w:r>
          </w:p>
        </w:tc>
        <w:tc>
          <w:tcPr>
            <w:tcW w:type="dxa" w:w="1176"/>
            <w:vAlign w:val="center"/>
          </w:tcPr>
          <w:p>
            <w:pPr>
              <w:spacing w:line="240" w:lineRule="auto"/>
              <w:ind w:firstLine="0"/>
            </w:pPr>
            <w:r>
              <w:rPr>
                <w:sz w:val="16"/>
              </w:rPr>
              <w:t>Ananindeua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22</w:t>
            </w:r>
          </w:p>
        </w:tc>
        <w:tc>
          <w:tcPr>
            <w:tcW w:type="dxa" w:w="1176"/>
            <w:vAlign w:val="center"/>
          </w:tcPr>
          <w:p>
            <w:pPr>
              <w:spacing w:line="240" w:lineRule="auto"/>
              <w:ind w:firstLine="0"/>
            </w:pPr>
            <w:r>
              <w:rPr>
                <w:sz w:val="16"/>
              </w:rPr>
              <w:t>17</w:t>
            </w:r>
          </w:p>
        </w:tc>
        <w:tc>
          <w:tcPr>
            <w:tcW w:type="dxa" w:w="1176"/>
            <w:vAlign w:val="center"/>
          </w:tcPr>
          <w:p>
            <w:pPr>
              <w:spacing w:line="240" w:lineRule="auto"/>
              <w:ind w:firstLine="0"/>
            </w:pPr>
            <w:r>
              <w:rPr>
                <w:sz w:val="16"/>
              </w:rPr>
              <w:t>17,60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1202639</w:t>
            </w:r>
          </w:p>
        </w:tc>
        <w:tc>
          <w:tcPr>
            <w:tcW w:type="dxa" w:w="1176"/>
            <w:vAlign w:val="center"/>
          </w:tcPr>
          <w:p>
            <w:pPr>
              <w:spacing w:line="240" w:lineRule="auto"/>
              <w:ind w:firstLine="0"/>
            </w:pPr>
            <w:r>
              <w:rPr>
                <w:sz w:val="16"/>
              </w:rPr>
              <w:t>Belém — EaD</w:t>
            </w:r>
          </w:p>
        </w:tc>
        <w:tc>
          <w:tcPr>
            <w:tcW w:type="dxa" w:w="1176"/>
            <w:vAlign w:val="center"/>
          </w:tcPr>
          <w:p>
            <w:pPr>
              <w:spacing w:line="240" w:lineRule="auto"/>
              <w:ind w:firstLine="0"/>
            </w:pPr>
            <w:r>
              <w:rPr>
                <w:sz w:val="16"/>
              </w:rPr>
              <w:t>EaD</w:t>
            </w:r>
          </w:p>
        </w:tc>
        <w:tc>
          <w:tcPr>
            <w:tcW w:type="dxa" w:w="1176"/>
            <w:vAlign w:val="center"/>
          </w:tcPr>
          <w:p>
            <w:pPr>
              <w:spacing w:line="240" w:lineRule="auto"/>
              <w:ind w:firstLine="0"/>
            </w:pPr>
            <w:r>
              <w:rPr>
                <w:sz w:val="16"/>
              </w:rPr>
              <w:t>32</w:t>
            </w:r>
          </w:p>
        </w:tc>
        <w:tc>
          <w:tcPr>
            <w:tcW w:type="dxa" w:w="1176"/>
            <w:vAlign w:val="center"/>
          </w:tcPr>
          <w:p>
            <w:pPr>
              <w:spacing w:line="240" w:lineRule="auto"/>
              <w:ind w:firstLine="0"/>
            </w:pPr>
            <w:r>
              <w:rPr>
                <w:sz w:val="16"/>
              </w:rPr>
              <w:t>24</w:t>
            </w:r>
          </w:p>
        </w:tc>
        <w:tc>
          <w:tcPr>
            <w:tcW w:type="dxa" w:w="1176"/>
            <w:vAlign w:val="center"/>
          </w:tcPr>
          <w:p>
            <w:pPr>
              <w:spacing w:line="240" w:lineRule="auto"/>
              <w:ind w:firstLine="0"/>
            </w:pPr>
            <w:r>
              <w:rPr>
                <w:sz w:val="16"/>
              </w:rPr>
              <w:t>4,20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r>
        <w:tc>
          <w:tcPr>
            <w:tcW w:type="dxa" w:w="1176"/>
            <w:vAlign w:val="center"/>
          </w:tcPr>
          <w:p>
            <w:pPr>
              <w:spacing w:line="240" w:lineRule="auto"/>
              <w:ind w:firstLine="0"/>
            </w:pPr>
            <w:r>
              <w:rPr>
                <w:sz w:val="16"/>
              </w:rPr>
              <w:t>12022</w:t>
            </w:r>
          </w:p>
        </w:tc>
        <w:tc>
          <w:tcPr>
            <w:tcW w:type="dxa" w:w="1176"/>
            <w:vAlign w:val="center"/>
          </w:tcPr>
          <w:p>
            <w:pPr>
              <w:spacing w:line="240" w:lineRule="auto"/>
              <w:ind w:firstLine="0"/>
            </w:pPr>
            <w:r>
              <w:rPr>
                <w:sz w:val="16"/>
              </w:rPr>
              <w:t>Belém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53</w:t>
            </w:r>
          </w:p>
        </w:tc>
        <w:tc>
          <w:tcPr>
            <w:tcW w:type="dxa" w:w="1176"/>
            <w:vAlign w:val="center"/>
          </w:tcPr>
          <w:p>
            <w:pPr>
              <w:spacing w:line="240" w:lineRule="auto"/>
              <w:ind w:firstLine="0"/>
            </w:pPr>
            <w:r>
              <w:rPr>
                <w:sz w:val="16"/>
              </w:rPr>
              <w:t>34</w:t>
            </w:r>
          </w:p>
        </w:tc>
        <w:tc>
          <w:tcPr>
            <w:tcW w:type="dxa" w:w="1176"/>
            <w:vAlign w:val="center"/>
          </w:tcPr>
          <w:p>
            <w:pPr>
              <w:spacing w:line="240" w:lineRule="auto"/>
              <w:ind w:firstLine="0"/>
            </w:pPr>
            <w:r>
              <w:rPr>
                <w:sz w:val="16"/>
              </w:rPr>
              <w:t>61,80</w:t>
            </w:r>
          </w:p>
        </w:tc>
        <w:tc>
          <w:tcPr>
            <w:tcW w:type="dxa" w:w="1176"/>
            <w:vAlign w:val="center"/>
          </w:tcPr>
          <w:p>
            <w:pPr>
              <w:spacing w:line="240" w:lineRule="auto"/>
              <w:ind w:firstLine="0"/>
            </w:pPr>
            <w:r>
              <w:rPr>
                <w:sz w:val="16"/>
              </w:rPr>
              <w:t>3</w:t>
            </w:r>
          </w:p>
        </w:tc>
        <w:tc>
          <w:tcPr>
            <w:tcW w:type="dxa" w:w="1176"/>
            <w:vAlign w:val="center"/>
          </w:tcPr>
          <w:p>
            <w:pPr>
              <w:spacing w:line="240" w:lineRule="auto"/>
              <w:ind w:firstLine="0"/>
            </w:pPr>
            <w:r>
              <w:rPr>
                <w:sz w:val="16"/>
              </w:rPr>
              <w:t>Conceito superior a 1</w:t>
            </w:r>
          </w:p>
        </w:tc>
      </w:tr>
      <w:tr>
        <w:tc>
          <w:tcPr>
            <w:tcW w:type="dxa" w:w="1176"/>
            <w:vAlign w:val="center"/>
          </w:tcPr>
          <w:p>
            <w:pPr>
              <w:spacing w:line="240" w:lineRule="auto"/>
              <w:ind w:firstLine="0"/>
            </w:pPr>
            <w:r>
              <w:rPr>
                <w:sz w:val="16"/>
              </w:rPr>
              <w:t>1364837</w:t>
            </w:r>
          </w:p>
        </w:tc>
        <w:tc>
          <w:tcPr>
            <w:tcW w:type="dxa" w:w="1176"/>
            <w:vAlign w:val="center"/>
          </w:tcPr>
          <w:p>
            <w:pPr>
              <w:spacing w:line="240" w:lineRule="auto"/>
              <w:ind w:firstLine="0"/>
            </w:pPr>
            <w:r>
              <w:rPr>
                <w:sz w:val="16"/>
              </w:rPr>
              <w:t>Salinópolis — Presencial</w:t>
            </w:r>
          </w:p>
        </w:tc>
        <w:tc>
          <w:tcPr>
            <w:tcW w:type="dxa" w:w="1176"/>
            <w:vAlign w:val="center"/>
          </w:tcPr>
          <w:p>
            <w:pPr>
              <w:spacing w:line="240" w:lineRule="auto"/>
              <w:ind w:firstLine="0"/>
            </w:pPr>
            <w:r>
              <w:rPr>
                <w:sz w:val="16"/>
              </w:rPr>
              <w:t>Presencial</w:t>
            </w:r>
          </w:p>
        </w:tc>
        <w:tc>
          <w:tcPr>
            <w:tcW w:type="dxa" w:w="1176"/>
            <w:vAlign w:val="center"/>
          </w:tcPr>
          <w:p>
            <w:pPr>
              <w:spacing w:line="240" w:lineRule="auto"/>
              <w:ind w:firstLine="0"/>
            </w:pPr>
            <w:r>
              <w:rPr>
                <w:sz w:val="16"/>
              </w:rPr>
              <w:t>20</w:t>
            </w:r>
          </w:p>
        </w:tc>
        <w:tc>
          <w:tcPr>
            <w:tcW w:type="dxa" w:w="1176"/>
            <w:vAlign w:val="center"/>
          </w:tcPr>
          <w:p>
            <w:pPr>
              <w:spacing w:line="240" w:lineRule="auto"/>
              <w:ind w:firstLine="0"/>
            </w:pPr>
            <w:r>
              <w:rPr>
                <w:sz w:val="16"/>
              </w:rPr>
              <w:t>14</w:t>
            </w:r>
          </w:p>
        </w:tc>
        <w:tc>
          <w:tcPr>
            <w:tcW w:type="dxa" w:w="1176"/>
            <w:vAlign w:val="center"/>
          </w:tcPr>
          <w:p>
            <w:pPr>
              <w:spacing w:line="240" w:lineRule="auto"/>
              <w:ind w:firstLine="0"/>
            </w:pPr>
            <w:r>
              <w:rPr>
                <w:sz w:val="16"/>
              </w:rPr>
              <w:t>21,40</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Conceito 1</w:t>
            </w:r>
          </w:p>
        </w:tc>
      </w:tr>
    </w:tbl>
    <w:p>
      <w:pPr>
        <w:pStyle w:val="Fonte"/>
      </w:pPr>
      <w:r>
        <w:t>Fonte: Elaboração própria com base nas fontes do projeto.</w:t>
      </w:r>
    </w:p>
    <w:p>
      <w:pPr>
        <w:pStyle w:val="Heading1"/>
      </w:pPr>
      <w:r>
        <w:t>5 RESULTADOS</w:t>
      </w:r>
    </w:p>
    <w:p>
      <w:pPr>
        <w:pStyle w:val="Heading2"/>
      </w:pPr>
      <w:r>
        <w:t>5.1 Desempenho</w:t>
      </w:r>
    </w:p>
    <w:p>
      <w:r>
        <w:t>A maior média de NT_GER entre as ofertas da UFPA foi observada em Belém — Presencial (54,4; N=34), enquanto a menor ocorreu em Belém — EaD (30,9; N=24). Média, mediana, dispersão e intervalos devem ser examinados conjuntamente, sobretudo nos cursos de menor porte. A direção do contraste interno é consistente com o Conceito Enade, mas não identifica mecanismo causal.</w:t>
      </w:r>
    </w:p>
    <w:p>
      <w:pPr>
        <w:ind w:firstLine="0"/>
      </w:pPr>
      <w:r>
        <w:rPr>
          <w:b/>
          <w:sz w:val="20"/>
        </w:rPr>
        <w:t>Tabela 2 – Inscritos, participantes e taxa de presença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Oferta</w:t>
            </w:r>
          </w:p>
        </w:tc>
        <w:tc>
          <w:tcPr>
            <w:tcW w:type="dxa" w:w="1344"/>
            <w:vAlign w:val="center"/>
          </w:tcPr>
          <w:p>
            <w:pPr>
              <w:jc w:val="center"/>
            </w:pPr>
            <w:r>
              <w:rPr>
                <w:b/>
                <w:sz w:val="16"/>
              </w:rPr>
              <w:t>Inscritos</w:t>
            </w:r>
          </w:p>
        </w:tc>
        <w:tc>
          <w:tcPr>
            <w:tcW w:type="dxa" w:w="1344"/>
            <w:vAlign w:val="center"/>
          </w:tcPr>
          <w:p>
            <w:pPr>
              <w:jc w:val="center"/>
            </w:pPr>
            <w:r>
              <w:rPr>
                <w:b/>
                <w:sz w:val="16"/>
              </w:rPr>
              <w:t>Participantes oficiais</w:t>
            </w:r>
          </w:p>
        </w:tc>
        <w:tc>
          <w:tcPr>
            <w:tcW w:type="dxa" w:w="1344"/>
            <w:vAlign w:val="center"/>
          </w:tcPr>
          <w:p>
            <w:pPr>
              <w:jc w:val="center"/>
            </w:pPr>
            <w:r>
              <w:rPr>
                <w:b/>
                <w:sz w:val="16"/>
              </w:rPr>
              <w:t>Presentes válidos</w:t>
            </w:r>
          </w:p>
        </w:tc>
        <w:tc>
          <w:tcPr>
            <w:tcW w:type="dxa" w:w="1344"/>
            <w:vAlign w:val="center"/>
          </w:tcPr>
          <w:p>
            <w:pPr>
              <w:jc w:val="center"/>
            </w:pPr>
            <w:r>
              <w:rPr>
                <w:b/>
                <w:sz w:val="16"/>
              </w:rPr>
              <w:t>Taxa de presença (%)</w:t>
            </w:r>
          </w:p>
        </w:tc>
        <w:tc>
          <w:tcPr>
            <w:tcW w:type="dxa" w:w="1344"/>
            <w:vAlign w:val="center"/>
          </w:tcPr>
          <w:p>
            <w:pPr>
              <w:jc w:val="center"/>
            </w:pPr>
            <w:r>
              <w:rPr>
                <w:b/>
                <w:sz w:val="16"/>
              </w:rPr>
              <w:t>Cobertura NT_GER (%)</w:t>
            </w:r>
          </w:p>
        </w:tc>
        <w:tc>
          <w:tcPr>
            <w:tcW w:type="dxa" w:w="1344"/>
            <w:vAlign w:val="center"/>
          </w:tcPr>
          <w:p>
            <w:pPr>
              <w:jc w:val="center"/>
            </w:pPr>
            <w:r>
              <w:rPr>
                <w:b/>
                <w:sz w:val="16"/>
              </w:rPr>
              <w:t>Auditoria</w:t>
            </w:r>
          </w:p>
        </w:tc>
      </w:tr>
      <w:tr>
        <w:tc>
          <w:tcPr>
            <w:tcW w:type="dxa" w:w="1344"/>
            <w:vAlign w:val="center"/>
          </w:tcPr>
          <w:p>
            <w:pPr>
              <w:spacing w:line="240" w:lineRule="auto"/>
              <w:ind w:firstLine="0"/>
            </w:pPr>
            <w:r>
              <w:rPr>
                <w:sz w:val="16"/>
              </w:rPr>
              <w:t>Belém — Presencial</w:t>
            </w:r>
          </w:p>
        </w:tc>
        <w:tc>
          <w:tcPr>
            <w:tcW w:type="dxa" w:w="1344"/>
            <w:vAlign w:val="center"/>
          </w:tcPr>
          <w:p>
            <w:pPr>
              <w:spacing w:line="240" w:lineRule="auto"/>
              <w:ind w:firstLine="0"/>
            </w:pPr>
            <w:r>
              <w:rPr>
                <w:sz w:val="16"/>
              </w:rPr>
              <w:t>53</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64,15</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20</w:t>
            </w:r>
          </w:p>
        </w:tc>
        <w:tc>
          <w:tcPr>
            <w:tcW w:type="dxa" w:w="1344"/>
            <w:vAlign w:val="center"/>
          </w:tcPr>
          <w:p>
            <w:pPr>
              <w:spacing w:line="240" w:lineRule="auto"/>
              <w:ind w:firstLine="0"/>
            </w:pPr>
            <w:r>
              <w:rPr>
                <w:sz w:val="16"/>
              </w:rPr>
              <w:t>14</w:t>
            </w:r>
          </w:p>
        </w:tc>
        <w:tc>
          <w:tcPr>
            <w:tcW w:type="dxa" w:w="1344"/>
            <w:vAlign w:val="center"/>
          </w:tcPr>
          <w:p>
            <w:pPr>
              <w:spacing w:line="240" w:lineRule="auto"/>
              <w:ind w:firstLine="0"/>
            </w:pPr>
            <w:r>
              <w:rPr>
                <w:sz w:val="16"/>
              </w:rPr>
              <w:t>14</w:t>
            </w:r>
          </w:p>
        </w:tc>
        <w:tc>
          <w:tcPr>
            <w:tcW w:type="dxa" w:w="1344"/>
            <w:vAlign w:val="center"/>
          </w:tcPr>
          <w:p>
            <w:pPr>
              <w:spacing w:line="240" w:lineRule="auto"/>
              <w:ind w:firstLine="0"/>
            </w:pPr>
            <w:r>
              <w:rPr>
                <w:sz w:val="16"/>
              </w:rPr>
              <w:t>70</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58</w:t>
            </w:r>
          </w:p>
        </w:tc>
        <w:tc>
          <w:tcPr>
            <w:tcW w:type="dxa" w:w="1344"/>
            <w:vAlign w:val="center"/>
          </w:tcPr>
          <w:p>
            <w:pPr>
              <w:spacing w:line="240" w:lineRule="auto"/>
              <w:ind w:firstLine="0"/>
            </w:pPr>
            <w:r>
              <w:rPr>
                <w:sz w:val="16"/>
              </w:rPr>
              <w:t>42</w:t>
            </w:r>
          </w:p>
        </w:tc>
        <w:tc>
          <w:tcPr>
            <w:tcW w:type="dxa" w:w="1344"/>
            <w:vAlign w:val="center"/>
          </w:tcPr>
          <w:p>
            <w:pPr>
              <w:spacing w:line="240" w:lineRule="auto"/>
              <w:ind w:firstLine="0"/>
            </w:pPr>
            <w:r>
              <w:rPr>
                <w:sz w:val="16"/>
              </w:rPr>
              <w:t>42</w:t>
            </w:r>
          </w:p>
        </w:tc>
        <w:tc>
          <w:tcPr>
            <w:tcW w:type="dxa" w:w="1344"/>
            <w:vAlign w:val="center"/>
          </w:tcPr>
          <w:p>
            <w:pPr>
              <w:spacing w:line="240" w:lineRule="auto"/>
              <w:ind w:firstLine="0"/>
            </w:pPr>
            <w:r>
              <w:rPr>
                <w:sz w:val="16"/>
              </w:rPr>
              <w:t>72,41</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32</w:t>
            </w:r>
          </w:p>
        </w:tc>
        <w:tc>
          <w:tcPr>
            <w:tcW w:type="dxa" w:w="1344"/>
            <w:vAlign w:val="center"/>
          </w:tcPr>
          <w:p>
            <w:pPr>
              <w:spacing w:line="240" w:lineRule="auto"/>
              <w:ind w:firstLine="0"/>
            </w:pPr>
            <w:r>
              <w:rPr>
                <w:sz w:val="16"/>
              </w:rPr>
              <w:t>24</w:t>
            </w:r>
          </w:p>
        </w:tc>
        <w:tc>
          <w:tcPr>
            <w:tcW w:type="dxa" w:w="1344"/>
            <w:vAlign w:val="center"/>
          </w:tcPr>
          <w:p>
            <w:pPr>
              <w:spacing w:line="240" w:lineRule="auto"/>
              <w:ind w:firstLine="0"/>
            </w:pPr>
            <w:r>
              <w:rPr>
                <w:sz w:val="16"/>
              </w:rPr>
              <w:t>24</w:t>
            </w:r>
          </w:p>
        </w:tc>
        <w:tc>
          <w:tcPr>
            <w:tcW w:type="dxa" w:w="1344"/>
            <w:vAlign w:val="center"/>
          </w:tcPr>
          <w:p>
            <w:pPr>
              <w:spacing w:line="240" w:lineRule="auto"/>
              <w:ind w:firstLine="0"/>
            </w:pPr>
            <w:r>
              <w:rPr>
                <w:sz w:val="16"/>
              </w:rPr>
              <w:t>75</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22</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77,27</w:t>
            </w:r>
          </w:p>
        </w:tc>
        <w:tc>
          <w:tcPr>
            <w:tcW w:type="dxa" w:w="1344"/>
            <w:vAlign w:val="center"/>
          </w:tcPr>
          <w:p>
            <w:pPr>
              <w:spacing w:line="240" w:lineRule="auto"/>
              <w:ind w:firstLine="0"/>
            </w:pPr>
            <w:r>
              <w:rPr>
                <w:sz w:val="16"/>
              </w:rPr>
              <w:t>100</w:t>
            </w:r>
          </w:p>
        </w:tc>
        <w:tc>
          <w:tcPr>
            <w:tcW w:type="dxa" w:w="1344"/>
            <w:vAlign w:val="center"/>
          </w:tcPr>
          <w:p>
            <w:pPr>
              <w:spacing w:line="240" w:lineRule="auto"/>
              <w:ind w:firstLine="0"/>
            </w:pPr>
            <w:r>
              <w:rPr>
                <w:sz w:val="16"/>
              </w:rPr>
              <w:t>OK</w:t>
            </w:r>
          </w:p>
        </w:tc>
      </w:tr>
    </w:tbl>
    <w:p>
      <w:pPr>
        <w:pStyle w:val="Fonte"/>
      </w:pPr>
      <w:r>
        <w:t>Fonte: Elaboração própria; N válido e auditoria indicados na tabela.</w:t>
      </w:r>
    </w:p>
    <w:p>
      <w:pPr>
        <w:ind w:firstLine="0"/>
      </w:pPr>
      <w:r>
        <w:rPr>
          <w:b/>
          <w:sz w:val="20"/>
        </w:rPr>
        <w:t>Tabela 3 – Estatísticas de NT_GER, NT_OBJ e NT_DIS</w:t>
      </w:r>
    </w:p>
    <w:tbl>
      <w:tblPr>
        <w:tblStyle w:val="TableGrid"/>
        <w:tblW w:type="auto" w:w="0"/>
        <w:jc w:val="center"/>
        <w:tblLook w:firstColumn="1" w:firstRow="1" w:lastColumn="0" w:lastRow="0" w:noHBand="0" w:noVBand="1" w:val="04A0"/>
      </w:tblPr>
      <w:tblGrid>
        <w:gridCol w:w="723"/>
        <w:gridCol w:w="723"/>
        <w:gridCol w:w="723"/>
        <w:gridCol w:w="723"/>
        <w:gridCol w:w="723"/>
        <w:gridCol w:w="723"/>
        <w:gridCol w:w="723"/>
        <w:gridCol w:w="723"/>
        <w:gridCol w:w="723"/>
        <w:gridCol w:w="723"/>
        <w:gridCol w:w="723"/>
        <w:gridCol w:w="723"/>
        <w:gridCol w:w="723"/>
      </w:tblGrid>
      <w:tr>
        <w:tc>
          <w:tcPr>
            <w:tcW w:type="dxa" w:w="723"/>
            <w:vAlign w:val="center"/>
          </w:tcPr>
          <w:p>
            <w:pPr>
              <w:jc w:val="center"/>
            </w:pPr>
            <w:r>
              <w:rPr>
                <w:b/>
                <w:sz w:val="16"/>
              </w:rPr>
              <w:t>Oferta</w:t>
            </w:r>
          </w:p>
        </w:tc>
        <w:tc>
          <w:tcPr>
            <w:tcW w:type="dxa" w:w="723"/>
            <w:vAlign w:val="center"/>
          </w:tcPr>
          <w:p>
            <w:pPr>
              <w:jc w:val="center"/>
            </w:pPr>
            <w:r>
              <w:rPr>
                <w:b/>
                <w:sz w:val="16"/>
              </w:rPr>
              <w:t>Conceito</w:t>
            </w:r>
          </w:p>
        </w:tc>
        <w:tc>
          <w:tcPr>
            <w:tcW w:type="dxa" w:w="723"/>
            <w:vAlign w:val="center"/>
          </w:tcPr>
          <w:p>
            <w:pPr>
              <w:jc w:val="center"/>
            </w:pPr>
            <w:r>
              <w:rPr>
                <w:b/>
                <w:sz w:val="16"/>
              </w:rPr>
              <w:t>N NT_GER</w:t>
            </w:r>
          </w:p>
        </w:tc>
        <w:tc>
          <w:tcPr>
            <w:tcW w:type="dxa" w:w="723"/>
            <w:vAlign w:val="center"/>
          </w:tcPr>
          <w:p>
            <w:pPr>
              <w:jc w:val="center"/>
            </w:pPr>
            <w:r>
              <w:rPr>
                <w:b/>
                <w:sz w:val="16"/>
              </w:rPr>
              <w:t>Média NT_GER</w:t>
            </w:r>
          </w:p>
        </w:tc>
        <w:tc>
          <w:tcPr>
            <w:tcW w:type="dxa" w:w="723"/>
            <w:vAlign w:val="center"/>
          </w:tcPr>
          <w:p>
            <w:pPr>
              <w:jc w:val="center"/>
            </w:pPr>
            <w:r>
              <w:rPr>
                <w:b/>
                <w:sz w:val="16"/>
              </w:rPr>
              <w:t>Mediana NT_GER</w:t>
            </w:r>
          </w:p>
        </w:tc>
        <w:tc>
          <w:tcPr>
            <w:tcW w:type="dxa" w:w="723"/>
            <w:vAlign w:val="center"/>
          </w:tcPr>
          <w:p>
            <w:pPr>
              <w:jc w:val="center"/>
            </w:pPr>
            <w:r>
              <w:rPr>
                <w:b/>
                <w:sz w:val="16"/>
              </w:rPr>
              <w:t>DP NT_GER</w:t>
            </w:r>
          </w:p>
        </w:tc>
        <w:tc>
          <w:tcPr>
            <w:tcW w:type="dxa" w:w="723"/>
            <w:vAlign w:val="center"/>
          </w:tcPr>
          <w:p>
            <w:pPr>
              <w:jc w:val="center"/>
            </w:pPr>
            <w:r>
              <w:rPr>
                <w:b/>
                <w:sz w:val="16"/>
              </w:rPr>
              <w:t>N NT_OBJ</w:t>
            </w:r>
          </w:p>
        </w:tc>
        <w:tc>
          <w:tcPr>
            <w:tcW w:type="dxa" w:w="723"/>
            <w:vAlign w:val="center"/>
          </w:tcPr>
          <w:p>
            <w:pPr>
              <w:jc w:val="center"/>
            </w:pPr>
            <w:r>
              <w:rPr>
                <w:b/>
                <w:sz w:val="16"/>
              </w:rPr>
              <w:t>Média NT_OBJ</w:t>
            </w:r>
          </w:p>
        </w:tc>
        <w:tc>
          <w:tcPr>
            <w:tcW w:type="dxa" w:w="723"/>
            <w:vAlign w:val="center"/>
          </w:tcPr>
          <w:p>
            <w:pPr>
              <w:jc w:val="center"/>
            </w:pPr>
            <w:r>
              <w:rPr>
                <w:b/>
                <w:sz w:val="16"/>
              </w:rPr>
              <w:t>Mediana NT_OBJ</w:t>
            </w:r>
          </w:p>
        </w:tc>
        <w:tc>
          <w:tcPr>
            <w:tcW w:type="dxa" w:w="723"/>
            <w:vAlign w:val="center"/>
          </w:tcPr>
          <w:p>
            <w:pPr>
              <w:jc w:val="center"/>
            </w:pPr>
            <w:r>
              <w:rPr>
                <w:b/>
                <w:sz w:val="16"/>
              </w:rPr>
              <w:t>N NT_DIS</w:t>
            </w:r>
          </w:p>
        </w:tc>
        <w:tc>
          <w:tcPr>
            <w:tcW w:type="dxa" w:w="723"/>
            <w:vAlign w:val="center"/>
          </w:tcPr>
          <w:p>
            <w:pPr>
              <w:jc w:val="center"/>
            </w:pPr>
            <w:r>
              <w:rPr>
                <w:b/>
                <w:sz w:val="16"/>
              </w:rPr>
              <w:t>Média NT_DIS</w:t>
            </w:r>
          </w:p>
        </w:tc>
        <w:tc>
          <w:tcPr>
            <w:tcW w:type="dxa" w:w="723"/>
            <w:vAlign w:val="center"/>
          </w:tcPr>
          <w:p>
            <w:pPr>
              <w:jc w:val="center"/>
            </w:pPr>
            <w:r>
              <w:rPr>
                <w:b/>
                <w:sz w:val="16"/>
              </w:rPr>
              <w:t>Mediana NT_DIS</w:t>
            </w:r>
          </w:p>
        </w:tc>
        <w:tc>
          <w:tcPr>
            <w:tcW w:type="dxa" w:w="723"/>
            <w:vAlign w:val="center"/>
          </w:tcPr>
          <w:p>
            <w:pPr>
              <w:jc w:val="center"/>
            </w:pPr>
            <w:r>
              <w:rPr>
                <w:b/>
                <w:sz w:val="16"/>
              </w:rPr>
              <w:t>Percentil Brasil</w:t>
            </w:r>
          </w:p>
        </w:tc>
      </w:tr>
      <w:tr>
        <w:tc>
          <w:tcPr>
            <w:tcW w:type="dxa" w:w="723"/>
            <w:vAlign w:val="center"/>
          </w:tcPr>
          <w:p>
            <w:pPr>
              <w:spacing w:line="240" w:lineRule="auto"/>
              <w:ind w:firstLine="0"/>
            </w:pPr>
            <w:r>
              <w:rPr>
                <w:sz w:val="16"/>
              </w:rPr>
              <w:t>Belém — Presencial</w:t>
            </w:r>
          </w:p>
        </w:tc>
        <w:tc>
          <w:tcPr>
            <w:tcW w:type="dxa" w:w="723"/>
            <w:vAlign w:val="center"/>
          </w:tcPr>
          <w:p>
            <w:pPr>
              <w:spacing w:line="240" w:lineRule="auto"/>
              <w:ind w:firstLine="0"/>
            </w:pPr>
            <w:r>
              <w:rPr>
                <w:sz w:val="16"/>
              </w:rPr>
              <w:t>3</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54,45</w:t>
            </w:r>
          </w:p>
        </w:tc>
        <w:tc>
          <w:tcPr>
            <w:tcW w:type="dxa" w:w="723"/>
            <w:vAlign w:val="center"/>
          </w:tcPr>
          <w:p>
            <w:pPr>
              <w:spacing w:line="240" w:lineRule="auto"/>
              <w:ind w:firstLine="0"/>
            </w:pPr>
            <w:r>
              <w:rPr>
                <w:sz w:val="16"/>
              </w:rPr>
              <w:t>58,25</w:t>
            </w:r>
          </w:p>
        </w:tc>
        <w:tc>
          <w:tcPr>
            <w:tcW w:type="dxa" w:w="723"/>
            <w:vAlign w:val="center"/>
          </w:tcPr>
          <w:p>
            <w:pPr>
              <w:spacing w:line="240" w:lineRule="auto"/>
              <w:ind w:firstLine="0"/>
            </w:pPr>
            <w:r>
              <w:rPr>
                <w:sz w:val="16"/>
              </w:rPr>
              <w:t>17,34</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52,97</w:t>
            </w:r>
          </w:p>
        </w:tc>
        <w:tc>
          <w:tcPr>
            <w:tcW w:type="dxa" w:w="723"/>
            <w:vAlign w:val="center"/>
          </w:tcPr>
          <w:p>
            <w:pPr>
              <w:spacing w:line="240" w:lineRule="auto"/>
              <w:ind w:firstLine="0"/>
            </w:pPr>
            <w:r>
              <w:rPr>
                <w:sz w:val="16"/>
              </w:rPr>
              <w:t>54,25</w:t>
            </w:r>
          </w:p>
        </w:tc>
        <w:tc>
          <w:tcPr>
            <w:tcW w:type="dxa" w:w="723"/>
            <w:vAlign w:val="center"/>
          </w:tcPr>
          <w:p>
            <w:pPr>
              <w:spacing w:line="240" w:lineRule="auto"/>
              <w:ind w:firstLine="0"/>
            </w:pPr>
            <w:r>
              <w:rPr>
                <w:sz w:val="16"/>
              </w:rPr>
              <w:t>34</w:t>
            </w:r>
          </w:p>
        </w:tc>
        <w:tc>
          <w:tcPr>
            <w:tcW w:type="dxa" w:w="723"/>
            <w:vAlign w:val="center"/>
          </w:tcPr>
          <w:p>
            <w:pPr>
              <w:spacing w:line="240" w:lineRule="auto"/>
              <w:ind w:firstLine="0"/>
            </w:pPr>
            <w:r>
              <w:rPr>
                <w:sz w:val="16"/>
              </w:rPr>
              <w:t>6,04</w:t>
            </w:r>
          </w:p>
        </w:tc>
        <w:tc>
          <w:tcPr>
            <w:tcW w:type="dxa" w:w="723"/>
            <w:vAlign w:val="center"/>
          </w:tcPr>
          <w:p>
            <w:pPr>
              <w:spacing w:line="240" w:lineRule="auto"/>
              <w:ind w:firstLine="0"/>
            </w:pPr>
            <w:r>
              <w:rPr>
                <w:sz w:val="16"/>
              </w:rPr>
              <w:t>6,75</w:t>
            </w:r>
          </w:p>
        </w:tc>
        <w:tc>
          <w:tcPr>
            <w:tcW w:type="dxa" w:w="723"/>
            <w:vAlign w:val="center"/>
          </w:tcPr>
          <w:p>
            <w:pPr>
              <w:spacing w:line="240" w:lineRule="auto"/>
              <w:ind w:firstLine="0"/>
            </w:pPr>
            <w:r>
              <w:rPr>
                <w:sz w:val="16"/>
              </w:rPr>
              <w:t>56,96</w:t>
            </w:r>
          </w:p>
        </w:tc>
      </w:tr>
      <w:tr>
        <w:tc>
          <w:tcPr>
            <w:tcW w:type="dxa" w:w="723"/>
            <w:vAlign w:val="center"/>
          </w:tcPr>
          <w:p>
            <w:pPr>
              <w:spacing w:line="240" w:lineRule="auto"/>
              <w:ind w:firstLine="0"/>
            </w:pPr>
            <w:r>
              <w:rPr>
                <w:sz w:val="16"/>
              </w:rPr>
              <w:t>Salinópolis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42,47</w:t>
            </w:r>
          </w:p>
        </w:tc>
        <w:tc>
          <w:tcPr>
            <w:tcW w:type="dxa" w:w="723"/>
            <w:vAlign w:val="center"/>
          </w:tcPr>
          <w:p>
            <w:pPr>
              <w:spacing w:line="240" w:lineRule="auto"/>
              <w:ind w:firstLine="0"/>
            </w:pPr>
            <w:r>
              <w:rPr>
                <w:sz w:val="16"/>
              </w:rPr>
              <w:t>43,45</w:t>
            </w:r>
          </w:p>
        </w:tc>
        <w:tc>
          <w:tcPr>
            <w:tcW w:type="dxa" w:w="723"/>
            <w:vAlign w:val="center"/>
          </w:tcPr>
          <w:p>
            <w:pPr>
              <w:spacing w:line="240" w:lineRule="auto"/>
              <w:ind w:firstLine="0"/>
            </w:pPr>
            <w:r>
              <w:rPr>
                <w:sz w:val="16"/>
              </w:rPr>
              <w:t>11,66</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37,96</w:t>
            </w:r>
          </w:p>
        </w:tc>
        <w:tc>
          <w:tcPr>
            <w:tcW w:type="dxa" w:w="723"/>
            <w:vAlign w:val="center"/>
          </w:tcPr>
          <w:p>
            <w:pPr>
              <w:spacing w:line="240" w:lineRule="auto"/>
              <w:ind w:firstLine="0"/>
            </w:pPr>
            <w:r>
              <w:rPr>
                <w:sz w:val="16"/>
              </w:rPr>
              <w:t>36,50</w:t>
            </w:r>
          </w:p>
        </w:tc>
        <w:tc>
          <w:tcPr>
            <w:tcW w:type="dxa" w:w="723"/>
            <w:vAlign w:val="center"/>
          </w:tcPr>
          <w:p>
            <w:pPr>
              <w:spacing w:line="240" w:lineRule="auto"/>
              <w:ind w:firstLine="0"/>
            </w:pPr>
            <w:r>
              <w:rPr>
                <w:sz w:val="16"/>
              </w:rPr>
              <w:t>14</w:t>
            </w:r>
          </w:p>
        </w:tc>
        <w:tc>
          <w:tcPr>
            <w:tcW w:type="dxa" w:w="723"/>
            <w:vAlign w:val="center"/>
          </w:tcPr>
          <w:p>
            <w:pPr>
              <w:spacing w:line="240" w:lineRule="auto"/>
              <w:ind w:firstLine="0"/>
            </w:pPr>
            <w:r>
              <w:rPr>
                <w:sz w:val="16"/>
              </w:rPr>
              <w:t>6,05</w:t>
            </w:r>
          </w:p>
        </w:tc>
        <w:tc>
          <w:tcPr>
            <w:tcW w:type="dxa" w:w="723"/>
            <w:vAlign w:val="center"/>
          </w:tcPr>
          <w:p>
            <w:pPr>
              <w:spacing w:line="240" w:lineRule="auto"/>
              <w:ind w:firstLine="0"/>
            </w:pPr>
            <w:r>
              <w:rPr>
                <w:sz w:val="16"/>
              </w:rPr>
              <w:t>6,50</w:t>
            </w:r>
          </w:p>
        </w:tc>
        <w:tc>
          <w:tcPr>
            <w:tcW w:type="dxa" w:w="723"/>
            <w:vAlign w:val="center"/>
          </w:tcPr>
          <w:p>
            <w:pPr>
              <w:spacing w:line="240" w:lineRule="auto"/>
              <w:ind w:firstLine="0"/>
            </w:pPr>
            <w:r>
              <w:rPr>
                <w:sz w:val="16"/>
              </w:rPr>
              <w:t>12,66</w:t>
            </w:r>
          </w:p>
        </w:tc>
      </w:tr>
      <w:tr>
        <w:tc>
          <w:tcPr>
            <w:tcW w:type="dxa" w:w="723"/>
            <w:vAlign w:val="center"/>
          </w:tcPr>
          <w:p>
            <w:pPr>
              <w:spacing w:line="240" w:lineRule="auto"/>
              <w:ind w:firstLine="0"/>
            </w:pPr>
            <w:r>
              <w:rPr>
                <w:sz w:val="16"/>
              </w:rPr>
              <w:t>Ananindeua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42,33</w:t>
            </w:r>
          </w:p>
        </w:tc>
        <w:tc>
          <w:tcPr>
            <w:tcW w:type="dxa" w:w="723"/>
            <w:vAlign w:val="center"/>
          </w:tcPr>
          <w:p>
            <w:pPr>
              <w:spacing w:line="240" w:lineRule="auto"/>
              <w:ind w:firstLine="0"/>
            </w:pPr>
            <w:r>
              <w:rPr>
                <w:sz w:val="16"/>
              </w:rPr>
              <w:t>40,84</w:t>
            </w:r>
          </w:p>
        </w:tc>
        <w:tc>
          <w:tcPr>
            <w:tcW w:type="dxa" w:w="723"/>
            <w:vAlign w:val="center"/>
          </w:tcPr>
          <w:p>
            <w:pPr>
              <w:spacing w:line="240" w:lineRule="auto"/>
              <w:ind w:firstLine="0"/>
            </w:pPr>
            <w:r>
              <w:rPr>
                <w:sz w:val="16"/>
              </w:rPr>
              <w:t>12,24</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39,13</w:t>
            </w:r>
          </w:p>
        </w:tc>
        <w:tc>
          <w:tcPr>
            <w:tcW w:type="dxa" w:w="723"/>
            <w:vAlign w:val="center"/>
          </w:tcPr>
          <w:p>
            <w:pPr>
              <w:spacing w:line="240" w:lineRule="auto"/>
              <w:ind w:firstLine="0"/>
            </w:pPr>
            <w:r>
              <w:rPr>
                <w:sz w:val="16"/>
              </w:rPr>
              <w:t>37,90</w:t>
            </w:r>
          </w:p>
        </w:tc>
        <w:tc>
          <w:tcPr>
            <w:tcW w:type="dxa" w:w="723"/>
            <w:vAlign w:val="center"/>
          </w:tcPr>
          <w:p>
            <w:pPr>
              <w:spacing w:line="240" w:lineRule="auto"/>
              <w:ind w:firstLine="0"/>
            </w:pPr>
            <w:r>
              <w:rPr>
                <w:sz w:val="16"/>
              </w:rPr>
              <w:t>17</w:t>
            </w:r>
          </w:p>
        </w:tc>
        <w:tc>
          <w:tcPr>
            <w:tcW w:type="dxa" w:w="723"/>
            <w:vAlign w:val="center"/>
          </w:tcPr>
          <w:p>
            <w:pPr>
              <w:spacing w:line="240" w:lineRule="auto"/>
              <w:ind w:firstLine="0"/>
            </w:pPr>
            <w:r>
              <w:rPr>
                <w:sz w:val="16"/>
              </w:rPr>
              <w:t>5,51</w:t>
            </w:r>
          </w:p>
        </w:tc>
        <w:tc>
          <w:tcPr>
            <w:tcW w:type="dxa" w:w="723"/>
            <w:vAlign w:val="center"/>
          </w:tcPr>
          <w:p>
            <w:pPr>
              <w:spacing w:line="240" w:lineRule="auto"/>
              <w:ind w:firstLine="0"/>
            </w:pPr>
            <w:r>
              <w:rPr>
                <w:sz w:val="16"/>
              </w:rPr>
              <w:t>6</w:t>
            </w:r>
          </w:p>
        </w:tc>
        <w:tc>
          <w:tcPr>
            <w:tcW w:type="dxa" w:w="723"/>
            <w:vAlign w:val="center"/>
          </w:tcPr>
          <w:p>
            <w:pPr>
              <w:spacing w:line="240" w:lineRule="auto"/>
              <w:ind w:firstLine="0"/>
            </w:pPr>
            <w:r>
              <w:rPr>
                <w:sz w:val="16"/>
              </w:rPr>
              <w:t>12,24</w:t>
            </w:r>
          </w:p>
        </w:tc>
      </w:tr>
      <w:tr>
        <w:tc>
          <w:tcPr>
            <w:tcW w:type="dxa" w:w="723"/>
            <w:vAlign w:val="center"/>
          </w:tcPr>
          <w:p>
            <w:pPr>
              <w:spacing w:line="240" w:lineRule="auto"/>
              <w:ind w:firstLine="0"/>
            </w:pPr>
            <w:r>
              <w:rPr>
                <w:sz w:val="16"/>
              </w:rPr>
              <w:t>Abaetetuba — Presencial</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38,45</w:t>
            </w:r>
          </w:p>
        </w:tc>
        <w:tc>
          <w:tcPr>
            <w:tcW w:type="dxa" w:w="723"/>
            <w:vAlign w:val="center"/>
          </w:tcPr>
          <w:p>
            <w:pPr>
              <w:spacing w:line="240" w:lineRule="auto"/>
              <w:ind w:firstLine="0"/>
            </w:pPr>
            <w:r>
              <w:rPr>
                <w:sz w:val="16"/>
              </w:rPr>
              <w:t>38,74</w:t>
            </w:r>
          </w:p>
        </w:tc>
        <w:tc>
          <w:tcPr>
            <w:tcW w:type="dxa" w:w="723"/>
            <w:vAlign w:val="center"/>
          </w:tcPr>
          <w:p>
            <w:pPr>
              <w:spacing w:line="240" w:lineRule="auto"/>
              <w:ind w:firstLine="0"/>
            </w:pPr>
            <w:r>
              <w:rPr>
                <w:sz w:val="16"/>
              </w:rPr>
              <w:t>13,07</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33,91</w:t>
            </w:r>
          </w:p>
        </w:tc>
        <w:tc>
          <w:tcPr>
            <w:tcW w:type="dxa" w:w="723"/>
            <w:vAlign w:val="center"/>
          </w:tcPr>
          <w:p>
            <w:pPr>
              <w:spacing w:line="240" w:lineRule="auto"/>
              <w:ind w:firstLine="0"/>
            </w:pPr>
            <w:r>
              <w:rPr>
                <w:sz w:val="16"/>
              </w:rPr>
              <w:t>32,30</w:t>
            </w:r>
          </w:p>
        </w:tc>
        <w:tc>
          <w:tcPr>
            <w:tcW w:type="dxa" w:w="723"/>
            <w:vAlign w:val="center"/>
          </w:tcPr>
          <w:p>
            <w:pPr>
              <w:spacing w:line="240" w:lineRule="auto"/>
              <w:ind w:firstLine="0"/>
            </w:pPr>
            <w:r>
              <w:rPr>
                <w:sz w:val="16"/>
              </w:rPr>
              <w:t>42</w:t>
            </w:r>
          </w:p>
        </w:tc>
        <w:tc>
          <w:tcPr>
            <w:tcW w:type="dxa" w:w="723"/>
            <w:vAlign w:val="center"/>
          </w:tcPr>
          <w:p>
            <w:pPr>
              <w:spacing w:line="240" w:lineRule="auto"/>
              <w:ind w:firstLine="0"/>
            </w:pPr>
            <w:r>
              <w:rPr>
                <w:sz w:val="16"/>
              </w:rPr>
              <w:t>5,66</w:t>
            </w:r>
          </w:p>
        </w:tc>
        <w:tc>
          <w:tcPr>
            <w:tcW w:type="dxa" w:w="723"/>
            <w:vAlign w:val="center"/>
          </w:tcPr>
          <w:p>
            <w:pPr>
              <w:spacing w:line="240" w:lineRule="auto"/>
              <w:ind w:firstLine="0"/>
            </w:pPr>
            <w:r>
              <w:rPr>
                <w:sz w:val="16"/>
              </w:rPr>
              <w:t>6,25</w:t>
            </w:r>
          </w:p>
        </w:tc>
        <w:tc>
          <w:tcPr>
            <w:tcW w:type="dxa" w:w="723"/>
            <w:vAlign w:val="center"/>
          </w:tcPr>
          <w:p>
            <w:pPr>
              <w:spacing w:line="240" w:lineRule="auto"/>
              <w:ind w:firstLine="0"/>
            </w:pPr>
            <w:r>
              <w:rPr>
                <w:sz w:val="16"/>
              </w:rPr>
              <w:t>6,33</w:t>
            </w:r>
          </w:p>
        </w:tc>
      </w:tr>
      <w:tr>
        <w:tc>
          <w:tcPr>
            <w:tcW w:type="dxa" w:w="723"/>
            <w:vAlign w:val="center"/>
          </w:tcPr>
          <w:p>
            <w:pPr>
              <w:spacing w:line="240" w:lineRule="auto"/>
              <w:ind w:firstLine="0"/>
            </w:pPr>
            <w:r>
              <w:rPr>
                <w:sz w:val="16"/>
              </w:rPr>
              <w:t>Belém — EaD</w:t>
            </w:r>
          </w:p>
        </w:tc>
        <w:tc>
          <w:tcPr>
            <w:tcW w:type="dxa" w:w="723"/>
            <w:vAlign w:val="center"/>
          </w:tcPr>
          <w:p>
            <w:pPr>
              <w:spacing w:line="240" w:lineRule="auto"/>
              <w:ind w:firstLine="0"/>
            </w:pPr>
            <w:r>
              <w:rPr>
                <w:sz w:val="16"/>
              </w:rPr>
              <w:t>1</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30,91</w:t>
            </w:r>
          </w:p>
        </w:tc>
        <w:tc>
          <w:tcPr>
            <w:tcW w:type="dxa" w:w="723"/>
            <w:vAlign w:val="center"/>
          </w:tcPr>
          <w:p>
            <w:pPr>
              <w:spacing w:line="240" w:lineRule="auto"/>
              <w:ind w:firstLine="0"/>
            </w:pPr>
            <w:r>
              <w:rPr>
                <w:sz w:val="16"/>
              </w:rPr>
              <w:t>28,60</w:t>
            </w:r>
          </w:p>
        </w:tc>
        <w:tc>
          <w:tcPr>
            <w:tcW w:type="dxa" w:w="723"/>
            <w:vAlign w:val="center"/>
          </w:tcPr>
          <w:p>
            <w:pPr>
              <w:spacing w:line="240" w:lineRule="auto"/>
              <w:ind w:firstLine="0"/>
            </w:pPr>
            <w:r>
              <w:rPr>
                <w:sz w:val="16"/>
              </w:rPr>
              <w:t>9,40</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26,29</w:t>
            </w:r>
          </w:p>
        </w:tc>
        <w:tc>
          <w:tcPr>
            <w:tcW w:type="dxa" w:w="723"/>
            <w:vAlign w:val="center"/>
          </w:tcPr>
          <w:p>
            <w:pPr>
              <w:spacing w:line="240" w:lineRule="auto"/>
              <w:ind w:firstLine="0"/>
            </w:pPr>
            <w:r>
              <w:rPr>
                <w:sz w:val="16"/>
              </w:rPr>
              <w:t>23,60</w:t>
            </w:r>
          </w:p>
        </w:tc>
        <w:tc>
          <w:tcPr>
            <w:tcW w:type="dxa" w:w="723"/>
            <w:vAlign w:val="center"/>
          </w:tcPr>
          <w:p>
            <w:pPr>
              <w:spacing w:line="240" w:lineRule="auto"/>
              <w:ind w:firstLine="0"/>
            </w:pPr>
            <w:r>
              <w:rPr>
                <w:sz w:val="16"/>
              </w:rPr>
              <w:t>24</w:t>
            </w:r>
          </w:p>
        </w:tc>
        <w:tc>
          <w:tcPr>
            <w:tcW w:type="dxa" w:w="723"/>
            <w:vAlign w:val="center"/>
          </w:tcPr>
          <w:p>
            <w:pPr>
              <w:spacing w:line="240" w:lineRule="auto"/>
              <w:ind w:firstLine="0"/>
            </w:pPr>
            <w:r>
              <w:rPr>
                <w:sz w:val="16"/>
              </w:rPr>
              <w:t>4,94</w:t>
            </w:r>
          </w:p>
        </w:tc>
        <w:tc>
          <w:tcPr>
            <w:tcW w:type="dxa" w:w="723"/>
            <w:vAlign w:val="center"/>
          </w:tcPr>
          <w:p>
            <w:pPr>
              <w:spacing w:line="240" w:lineRule="auto"/>
              <w:ind w:firstLine="0"/>
            </w:pPr>
            <w:r>
              <w:rPr>
                <w:sz w:val="16"/>
              </w:rPr>
              <w:t>5,25</w:t>
            </w:r>
          </w:p>
        </w:tc>
        <w:tc>
          <w:tcPr>
            <w:tcW w:type="dxa" w:w="723"/>
            <w:vAlign w:val="center"/>
          </w:tcPr>
          <w:p>
            <w:pPr>
              <w:spacing w:line="240" w:lineRule="auto"/>
              <w:ind w:firstLine="0"/>
            </w:pPr>
            <w:r>
              <w:rPr>
                <w:sz w:val="16"/>
              </w:rPr>
              <w:t>1,69</w:t>
            </w:r>
          </w:p>
        </w:tc>
      </w:tr>
    </w:tbl>
    <w:p>
      <w:pPr>
        <w:pStyle w:val="Fonte"/>
      </w:pPr>
      <w:r>
        <w:t>Fonte: Elaboração própria; escala de 0 a 100; somente resultados válidos.</w:t>
      </w:r>
    </w:p>
    <w:p>
      <w:pPr>
        <w:ind w:firstLine="0"/>
        <w:jc w:val="center"/>
      </w:pPr>
      <w:r>
        <w:rPr>
          <w:b/>
          <w:sz w:val="20"/>
        </w:rPr>
        <w:t>Figura 1 – Ofertas de Física da UFPA</w:t>
      </w:r>
    </w:p>
    <w:p>
      <w:pPr>
        <w:ind w:firstLine="0"/>
        <w:jc w:val="center"/>
      </w:pPr>
      <w:r>
        <w:drawing>
          <wp:inline xmlns:a="http://schemas.openxmlformats.org/drawingml/2006/main" xmlns:pic="http://schemas.openxmlformats.org/drawingml/2006/picture">
            <wp:extent cx="5580000" cy="3180079"/>
            <wp:docPr id="1" name="Picture 1"/>
            <wp:cNvGraphicFramePr>
              <a:graphicFrameLocks noChangeAspect="1"/>
            </wp:cNvGraphicFramePr>
            <a:graphic>
              <a:graphicData uri="http://schemas.openxmlformats.org/drawingml/2006/picture">
                <pic:pic>
                  <pic:nvPicPr>
                    <pic:cNvPr id="0" name="01_ofertas_ufpa.png"/>
                    <pic:cNvPicPr/>
                  </pic:nvPicPr>
                  <pic:blipFill>
                    <a:blip r:embed="rId11"/>
                    <a:stretch>
                      <a:fillRect/>
                    </a:stretch>
                  </pic:blipFill>
                  <pic:spPr>
                    <a:xfrm>
                      <a:off x="0" y="0"/>
                      <a:ext cx="5580000" cy="3180079"/>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painel localiza as ofertas validadas e distingue modalidade e conceito.</w:t>
      </w:r>
    </w:p>
    <w:p>
      <w:r>
        <w:t>Limitação: A visualização não representa a oferta de Tucuruí, não localizada analiticamente.</w:t>
      </w:r>
    </w:p>
    <w:p>
      <w:pPr>
        <w:ind w:firstLine="0"/>
        <w:jc w:val="center"/>
      </w:pPr>
      <w:r>
        <w:rPr>
          <w:b/>
          <w:sz w:val="20"/>
        </w:rPr>
        <w:t>Figura 2 – Taxa de presença por oferta</w:t>
      </w:r>
    </w:p>
    <w:p>
      <w:pPr>
        <w:ind w:firstLine="0"/>
        <w:jc w:val="center"/>
      </w:pPr>
      <w:r>
        <w:drawing>
          <wp:inline xmlns:a="http://schemas.openxmlformats.org/drawingml/2006/main" xmlns:pic="http://schemas.openxmlformats.org/drawingml/2006/picture">
            <wp:extent cx="5580000" cy="3061347"/>
            <wp:docPr id="2" name="Picture 2"/>
            <wp:cNvGraphicFramePr>
              <a:graphicFrameLocks noChangeAspect="1"/>
            </wp:cNvGraphicFramePr>
            <a:graphic>
              <a:graphicData uri="http://schemas.openxmlformats.org/drawingml/2006/picture">
                <pic:pic>
                  <pic:nvPicPr>
                    <pic:cNvPr id="0" name="validada_02_taxa_presenca.png"/>
                    <pic:cNvPicPr/>
                  </pic:nvPicPr>
                  <pic:blipFill>
                    <a:blip r:embed="rId12"/>
                    <a:stretch>
                      <a:fillRect/>
                    </a:stretch>
                  </pic:blipFill>
                  <pic:spPr>
                    <a:xfrm>
                      <a:off x="0" y="0"/>
                      <a:ext cx="5580000" cy="3061347"/>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As taxas variam entre as ofertas e devem ser lidas com inscritos, participantes e N de nota válida.</w:t>
      </w:r>
    </w:p>
    <w:p>
      <w:r>
        <w:t>Limitação: Baixo N aumenta a instabilidade percentual.</w:t>
      </w:r>
    </w:p>
    <w:p>
      <w:pPr>
        <w:ind w:firstLine="0"/>
        <w:jc w:val="center"/>
      </w:pPr>
      <w:r>
        <w:rPr>
          <w:b/>
          <w:sz w:val="20"/>
        </w:rPr>
        <w:t>Figura 3 – Nota geral por oferta</w:t>
      </w:r>
    </w:p>
    <w:p>
      <w:pPr>
        <w:ind w:firstLine="0"/>
        <w:jc w:val="center"/>
      </w:pPr>
      <w:r>
        <w:drawing>
          <wp:inline xmlns:a="http://schemas.openxmlformats.org/drawingml/2006/main" xmlns:pic="http://schemas.openxmlformats.org/drawingml/2006/picture">
            <wp:extent cx="5580000" cy="3024071"/>
            <wp:docPr id="3" name="Picture 3"/>
            <wp:cNvGraphicFramePr>
              <a:graphicFrameLocks noChangeAspect="1"/>
            </wp:cNvGraphicFramePr>
            <a:graphic>
              <a:graphicData uri="http://schemas.openxmlformats.org/drawingml/2006/picture">
                <pic:pic>
                  <pic:nvPicPr>
                    <pic:cNvPr id="0" name="validada_03_nt_ger_ofertas.png"/>
                    <pic:cNvPicPr/>
                  </pic:nvPicPr>
                  <pic:blipFill>
                    <a:blip r:embed="rId13"/>
                    <a:stretch>
                      <a:fillRect/>
                    </a:stretch>
                  </pic:blipFill>
                  <pic:spPr>
                    <a:xfrm>
                      <a:off x="0" y="0"/>
                      <a:ext cx="5580000" cy="3024071"/>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oferta presencial de Belém ocupa a posição superior no contraste interno.</w:t>
      </w:r>
    </w:p>
    <w:p>
      <w:r>
        <w:t>Limitação: A média não substitui a distribuição e não identifica causa.</w:t>
      </w:r>
    </w:p>
    <w:p>
      <w:pPr>
        <w:ind w:firstLine="0"/>
        <w:jc w:val="center"/>
      </w:pPr>
      <w:r>
        <w:rPr>
          <w:b/>
          <w:sz w:val="20"/>
        </w:rPr>
        <w:t>Figura 4 – Comparação territorial de NT_GER</w:t>
      </w:r>
    </w:p>
    <w:p>
      <w:pPr>
        <w:ind w:firstLine="0"/>
        <w:jc w:val="center"/>
      </w:pPr>
      <w:r>
        <w:drawing>
          <wp:inline xmlns:a="http://schemas.openxmlformats.org/drawingml/2006/main" xmlns:pic="http://schemas.openxmlformats.org/drawingml/2006/picture">
            <wp:extent cx="5580000" cy="3147401"/>
            <wp:docPr id="4" name="Picture 4"/>
            <wp:cNvGraphicFramePr>
              <a:graphicFrameLocks noChangeAspect="1"/>
            </wp:cNvGraphicFramePr>
            <a:graphic>
              <a:graphicData uri="http://schemas.openxmlformats.org/drawingml/2006/picture">
                <pic:pic>
                  <pic:nvPicPr>
                    <pic:cNvPr id="0" name="04_nt_ger_comparativo.png"/>
                    <pic:cNvPicPr/>
                  </pic:nvPicPr>
                  <pic:blipFill>
                    <a:blip r:embed="rId14"/>
                    <a:stretch>
                      <a:fillRect/>
                    </a:stretch>
                  </pic:blipFill>
                  <pic:spPr>
                    <a:xfrm>
                      <a:off x="0" y="0"/>
                      <a:ext cx="5580000" cy="3147401"/>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As referências territoriais situam as ofertas da UFPA em relação a conjuntos amplos.</w:t>
      </w:r>
    </w:p>
    <w:p>
      <w:r>
        <w:t>Limitação: Pará, Norte e Brasil completos se sobrepõem e são apenas benchmarks descritivos.</w:t>
      </w:r>
    </w:p>
    <w:p>
      <w:pPr>
        <w:ind w:firstLine="0"/>
        <w:jc w:val="center"/>
      </w:pPr>
      <w:r>
        <w:rPr>
          <w:b/>
          <w:sz w:val="20"/>
        </w:rPr>
        <w:t>Figura 5 – Nota objetiva por oferta</w:t>
      </w:r>
    </w:p>
    <w:p>
      <w:pPr>
        <w:ind w:firstLine="0"/>
        <w:jc w:val="center"/>
      </w:pPr>
      <w:r>
        <w:drawing>
          <wp:inline xmlns:a="http://schemas.openxmlformats.org/drawingml/2006/main" xmlns:pic="http://schemas.openxmlformats.org/drawingml/2006/picture">
            <wp:extent cx="5580000" cy="3287019"/>
            <wp:docPr id="5" name="Picture 5"/>
            <wp:cNvGraphicFramePr>
              <a:graphicFrameLocks noChangeAspect="1"/>
            </wp:cNvGraphicFramePr>
            <a:graphic>
              <a:graphicData uri="http://schemas.openxmlformats.org/drawingml/2006/picture">
                <pic:pic>
                  <pic:nvPicPr>
                    <pic:cNvPr id="0" name="05_nt_obj_por_oferta.png"/>
                    <pic:cNvPicPr/>
                  </pic:nvPicPr>
                  <pic:blipFill>
                    <a:blip r:embed="rId15"/>
                    <a:stretch>
                      <a:fillRect/>
                    </a:stretch>
                  </pic:blipFill>
                  <pic:spPr>
                    <a:xfrm>
                      <a:off x="0" y="0"/>
                      <a:ext cx="5580000" cy="3287019"/>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prova objetiva preserva diferenças entre ofertas, com N válido indicado.</w:t>
      </w:r>
    </w:p>
    <w:p>
      <w:r>
        <w:t>Limitação: NT_OBJ possui relação mecânica com NT_GER.</w:t>
      </w:r>
    </w:p>
    <w:p>
      <w:pPr>
        <w:ind w:firstLine="0"/>
        <w:jc w:val="center"/>
      </w:pPr>
      <w:r>
        <w:rPr>
          <w:b/>
          <w:sz w:val="20"/>
        </w:rPr>
        <w:t>Figura 6 – Nota discursiva por oferta</w:t>
      </w:r>
    </w:p>
    <w:p>
      <w:pPr>
        <w:ind w:firstLine="0"/>
        <w:jc w:val="center"/>
      </w:pPr>
      <w:r>
        <w:drawing>
          <wp:inline xmlns:a="http://schemas.openxmlformats.org/drawingml/2006/main" xmlns:pic="http://schemas.openxmlformats.org/drawingml/2006/picture">
            <wp:extent cx="5580000" cy="3287019"/>
            <wp:docPr id="6" name="Picture 6"/>
            <wp:cNvGraphicFramePr>
              <a:graphicFrameLocks noChangeAspect="1"/>
            </wp:cNvGraphicFramePr>
            <a:graphic>
              <a:graphicData uri="http://schemas.openxmlformats.org/drawingml/2006/picture">
                <pic:pic>
                  <pic:nvPicPr>
                    <pic:cNvPr id="0" name="06_nt_dis_por_oferta.png"/>
                    <pic:cNvPicPr/>
                  </pic:nvPicPr>
                  <pic:blipFill>
                    <a:blip r:embed="rId16"/>
                    <a:stretch>
                      <a:fillRect/>
                    </a:stretch>
                  </pic:blipFill>
                  <pic:spPr>
                    <a:xfrm>
                      <a:off x="0" y="0"/>
                      <a:ext cx="5580000" cy="3287019"/>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prova discursiva apresenta cobertura e dispersão próprias.</w:t>
      </w:r>
    </w:p>
    <w:p>
      <w:r>
        <w:t>Limitação: Diferenças de cobertura podem afetar comparações.</w:t>
      </w:r>
    </w:p>
    <w:p>
      <w:pPr>
        <w:pStyle w:val="Heading2"/>
      </w:pPr>
      <w:r>
        <w:t>5.2 Perfil demográfico e socioeconômico</w:t>
      </w:r>
    </w:p>
    <w:p>
      <w:r>
        <w:t>A maior proporção agregada de estudantes com renda familiar de até três salários mínimos foi observada em Salinópolis — Presencial (100,0%). A maior proporção de estudantes que trabalham ocorreu em Belém — EaD (70,4%). Esses indicadores descrevem a composição das ofertas e podem orientar hipóteses institucionais, mas não permitem afirmar que uma característica individual produziu determinada nota.</w:t>
      </w:r>
    </w:p>
    <w:p>
      <w:pPr>
        <w:ind w:firstLine="0"/>
      </w:pPr>
      <w:r>
        <w:rPr>
          <w:b/>
          <w:sz w:val="20"/>
        </w:rPr>
        <w:t>Tabela 4 – Perfil socioeconômico agregado das ofertas da UFPA</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vAlign w:val="center"/>
          </w:tcPr>
          <w:p>
            <w:pPr>
              <w:jc w:val="center"/>
            </w:pPr>
            <w:r>
              <w:rPr>
                <w:b/>
                <w:sz w:val="16"/>
              </w:rPr>
              <w:t>Oferta</w:t>
            </w:r>
          </w:p>
        </w:tc>
        <w:tc>
          <w:tcPr>
            <w:tcW w:type="dxa" w:w="855"/>
            <w:vAlign w:val="center"/>
          </w:tcPr>
          <w:p>
            <w:pPr>
              <w:jc w:val="center"/>
            </w:pPr>
            <w:r>
              <w:rPr>
                <w:b/>
                <w:sz w:val="16"/>
              </w:rPr>
              <w:t>Conceito</w:t>
            </w:r>
          </w:p>
        </w:tc>
        <w:tc>
          <w:tcPr>
            <w:tcW w:type="dxa" w:w="855"/>
            <w:vAlign w:val="center"/>
          </w:tcPr>
          <w:p>
            <w:pPr>
              <w:jc w:val="center"/>
            </w:pPr>
            <w:r>
              <w:rPr>
                <w:b/>
                <w:sz w:val="16"/>
              </w:rPr>
              <w:t>Média NT_GER</w:t>
            </w:r>
          </w:p>
        </w:tc>
        <w:tc>
          <w:tcPr>
            <w:tcW w:type="dxa" w:w="855"/>
            <w:vAlign w:val="center"/>
          </w:tcPr>
          <w:p>
            <w:pPr>
              <w:jc w:val="center"/>
            </w:pPr>
            <w:r>
              <w:rPr>
                <w:b/>
                <w:sz w:val="16"/>
              </w:rPr>
              <w:t>Primeira geração (%)</w:t>
            </w:r>
          </w:p>
        </w:tc>
        <w:tc>
          <w:tcPr>
            <w:tcW w:type="dxa" w:w="855"/>
            <w:vAlign w:val="center"/>
          </w:tcPr>
          <w:p>
            <w:pPr>
              <w:jc w:val="center"/>
            </w:pPr>
            <w:r>
              <w:rPr>
                <w:b/>
                <w:sz w:val="16"/>
              </w:rPr>
              <w:t>Renda até 3 SM (%)</w:t>
            </w:r>
          </w:p>
        </w:tc>
        <w:tc>
          <w:tcPr>
            <w:tcW w:type="dxa" w:w="855"/>
            <w:vAlign w:val="center"/>
          </w:tcPr>
          <w:p>
            <w:pPr>
              <w:jc w:val="center"/>
            </w:pPr>
            <w:r>
              <w:rPr>
                <w:b/>
                <w:sz w:val="16"/>
              </w:rPr>
              <w:t>Trabalha (%)</w:t>
            </w:r>
          </w:p>
        </w:tc>
        <w:tc>
          <w:tcPr>
            <w:tcW w:type="dxa" w:w="855"/>
            <w:vAlign w:val="center"/>
          </w:tcPr>
          <w:p>
            <w:pPr>
              <w:jc w:val="center"/>
            </w:pPr>
            <w:r>
              <w:rPr>
                <w:b/>
                <w:sz w:val="16"/>
              </w:rPr>
              <w:t>Ação afirmativa (%)</w:t>
            </w:r>
          </w:p>
        </w:tc>
        <w:tc>
          <w:tcPr>
            <w:tcW w:type="dxa" w:w="855"/>
            <w:vAlign w:val="center"/>
          </w:tcPr>
          <w:p>
            <w:pPr>
              <w:jc w:val="center"/>
            </w:pPr>
            <w:r>
              <w:rPr>
                <w:b/>
                <w:sz w:val="16"/>
              </w:rPr>
              <w:t>Auxílio permanência (%)</w:t>
            </w:r>
          </w:p>
        </w:tc>
        <w:tc>
          <w:tcPr>
            <w:tcW w:type="dxa" w:w="855"/>
            <w:vAlign w:val="center"/>
          </w:tcPr>
          <w:p>
            <w:pPr>
              <w:jc w:val="center"/>
            </w:pPr>
            <w:r>
              <w:rPr>
                <w:b/>
                <w:sz w:val="16"/>
              </w:rPr>
              <w:t>Bolsa acadêmica (%)</w:t>
            </w:r>
          </w:p>
        </w:tc>
        <w:tc>
          <w:tcPr>
            <w:tcW w:type="dxa" w:w="855"/>
            <w:vAlign w:val="center"/>
          </w:tcPr>
          <w:p>
            <w:pPr>
              <w:jc w:val="center"/>
            </w:pPr>
            <w:r>
              <w:rPr>
                <w:b/>
                <w:sz w:val="16"/>
              </w:rPr>
              <w:t>Estudo ≥4h (%)</w:t>
            </w:r>
          </w:p>
        </w:tc>
        <w:tc>
          <w:tcPr>
            <w:tcW w:type="dxa" w:w="855"/>
            <w:vAlign w:val="center"/>
          </w:tcPr>
          <w:p>
            <w:pPr>
              <w:jc w:val="center"/>
            </w:pPr>
            <w:r>
              <w:rPr>
                <w:b/>
                <w:sz w:val="16"/>
              </w:rPr>
              <w:t>Pretende magistério (%)</w:t>
            </w:r>
          </w:p>
        </w:tc>
      </w:tr>
      <w:tr>
        <w:tc>
          <w:tcPr>
            <w:tcW w:type="dxa" w:w="855"/>
            <w:vAlign w:val="center"/>
          </w:tcPr>
          <w:p>
            <w:pPr>
              <w:spacing w:line="240" w:lineRule="auto"/>
              <w:ind w:firstLine="0"/>
            </w:pPr>
            <w:r>
              <w:rPr>
                <w:sz w:val="16"/>
              </w:rPr>
              <w:t>Belém — Presencial</w:t>
            </w:r>
          </w:p>
        </w:tc>
        <w:tc>
          <w:tcPr>
            <w:tcW w:type="dxa" w:w="855"/>
            <w:vAlign w:val="center"/>
          </w:tcPr>
          <w:p>
            <w:pPr>
              <w:spacing w:line="240" w:lineRule="auto"/>
              <w:ind w:firstLine="0"/>
            </w:pPr>
            <w:r>
              <w:rPr>
                <w:sz w:val="16"/>
              </w:rPr>
              <w:t>3</w:t>
            </w:r>
          </w:p>
        </w:tc>
        <w:tc>
          <w:tcPr>
            <w:tcW w:type="dxa" w:w="855"/>
            <w:vAlign w:val="center"/>
          </w:tcPr>
          <w:p>
            <w:pPr>
              <w:spacing w:line="240" w:lineRule="auto"/>
              <w:ind w:firstLine="0"/>
            </w:pPr>
            <w:r>
              <w:rPr>
                <w:sz w:val="16"/>
              </w:rPr>
              <w:t>54,45</w:t>
            </w:r>
          </w:p>
        </w:tc>
        <w:tc>
          <w:tcPr>
            <w:tcW w:type="dxa" w:w="855"/>
            <w:vAlign w:val="center"/>
          </w:tcPr>
          <w:p>
            <w:pPr>
              <w:spacing w:line="240" w:lineRule="auto"/>
              <w:ind w:firstLine="0"/>
            </w:pPr>
            <w:r>
              <w:rPr>
                <w:sz w:val="16"/>
              </w:rPr>
              <w:t>34,21</w:t>
            </w:r>
          </w:p>
        </w:tc>
        <w:tc>
          <w:tcPr>
            <w:tcW w:type="dxa" w:w="855"/>
            <w:vAlign w:val="center"/>
          </w:tcPr>
          <w:p>
            <w:pPr>
              <w:spacing w:line="240" w:lineRule="auto"/>
              <w:ind w:firstLine="0"/>
            </w:pPr>
            <w:r>
              <w:rPr>
                <w:sz w:val="16"/>
              </w:rPr>
              <w:t>77,50</w:t>
            </w:r>
          </w:p>
        </w:tc>
        <w:tc>
          <w:tcPr>
            <w:tcW w:type="dxa" w:w="855"/>
            <w:vAlign w:val="center"/>
          </w:tcPr>
          <w:p>
            <w:pPr>
              <w:spacing w:line="240" w:lineRule="auto"/>
              <w:ind w:firstLine="0"/>
            </w:pPr>
            <w:r>
              <w:rPr>
                <w:sz w:val="16"/>
              </w:rPr>
              <w:t>55</w:t>
            </w:r>
          </w:p>
        </w:tc>
        <w:tc>
          <w:tcPr>
            <w:tcW w:type="dxa" w:w="855"/>
            <w:vAlign w:val="center"/>
          </w:tcPr>
          <w:p>
            <w:pPr>
              <w:spacing w:line="240" w:lineRule="auto"/>
              <w:ind w:firstLine="0"/>
            </w:pPr>
            <w:r>
              <w:rPr>
                <w:sz w:val="16"/>
              </w:rPr>
              <w:t>57,50</w:t>
            </w:r>
          </w:p>
        </w:tc>
        <w:tc>
          <w:tcPr>
            <w:tcW w:type="dxa" w:w="855"/>
            <w:vAlign w:val="center"/>
          </w:tcPr>
          <w:p>
            <w:pPr>
              <w:spacing w:line="240" w:lineRule="auto"/>
              <w:ind w:firstLine="0"/>
            </w:pPr>
            <w:r>
              <w:rPr>
                <w:sz w:val="16"/>
              </w:rPr>
              <w:t>7,50</w:t>
            </w:r>
          </w:p>
        </w:tc>
        <w:tc>
          <w:tcPr>
            <w:tcW w:type="dxa" w:w="855"/>
            <w:vAlign w:val="center"/>
          </w:tcPr>
          <w:p>
            <w:pPr>
              <w:spacing w:line="240" w:lineRule="auto"/>
              <w:ind w:firstLine="0"/>
            </w:pPr>
            <w:r>
              <w:rPr>
                <w:sz w:val="16"/>
              </w:rPr>
              <w:t>62,07</w:t>
            </w:r>
          </w:p>
        </w:tc>
        <w:tc>
          <w:tcPr>
            <w:tcW w:type="dxa" w:w="855"/>
            <w:vAlign w:val="center"/>
          </w:tcPr>
          <w:p>
            <w:pPr>
              <w:spacing w:line="240" w:lineRule="auto"/>
              <w:ind w:firstLine="0"/>
            </w:pPr>
            <w:r>
              <w:rPr>
                <w:sz w:val="16"/>
              </w:rPr>
              <w:t>75</w:t>
            </w:r>
          </w:p>
        </w:tc>
        <w:tc>
          <w:tcPr>
            <w:tcW w:type="dxa" w:w="855"/>
            <w:vAlign w:val="center"/>
          </w:tcPr>
          <w:p>
            <w:pPr>
              <w:spacing w:line="240" w:lineRule="auto"/>
              <w:ind w:firstLine="0"/>
            </w:pPr>
            <w:r>
              <w:rPr>
                <w:sz w:val="16"/>
              </w:rPr>
              <w:t>82,50</w:t>
            </w:r>
          </w:p>
        </w:tc>
      </w:tr>
      <w:tr>
        <w:tc>
          <w:tcPr>
            <w:tcW w:type="dxa" w:w="855"/>
            <w:vAlign w:val="center"/>
          </w:tcPr>
          <w:p>
            <w:pPr>
              <w:spacing w:line="240" w:lineRule="auto"/>
              <w:ind w:firstLine="0"/>
            </w:pPr>
            <w:r>
              <w:rPr>
                <w:sz w:val="16"/>
              </w:rPr>
              <w:t>Salinópolis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42,47</w:t>
            </w:r>
          </w:p>
        </w:tc>
        <w:tc>
          <w:tcPr>
            <w:tcW w:type="dxa" w:w="855"/>
            <w:vAlign w:val="center"/>
          </w:tcPr>
          <w:p>
            <w:pPr>
              <w:spacing w:line="240" w:lineRule="auto"/>
              <w:ind w:firstLine="0"/>
            </w:pPr>
            <w:r>
              <w:rPr>
                <w:sz w:val="16"/>
              </w:rPr>
              <w:t>66,67</w:t>
            </w:r>
          </w:p>
        </w:tc>
        <w:tc>
          <w:tcPr>
            <w:tcW w:type="dxa" w:w="855"/>
            <w:vAlign w:val="center"/>
          </w:tcPr>
          <w:p>
            <w:pPr>
              <w:spacing w:line="240" w:lineRule="auto"/>
              <w:ind w:firstLine="0"/>
            </w:pPr>
            <w:r>
              <w:rPr>
                <w:sz w:val="16"/>
              </w:rPr>
              <w:t>100</w:t>
            </w:r>
          </w:p>
        </w:tc>
        <w:tc>
          <w:tcPr>
            <w:tcW w:type="dxa" w:w="855"/>
            <w:vAlign w:val="center"/>
          </w:tcPr>
          <w:p>
            <w:pPr>
              <w:spacing w:line="240" w:lineRule="auto"/>
              <w:ind w:firstLine="0"/>
            </w:pPr>
            <w:r>
              <w:rPr>
                <w:sz w:val="16"/>
              </w:rPr>
              <w:t>46,67</w:t>
            </w:r>
          </w:p>
        </w:tc>
        <w:tc>
          <w:tcPr>
            <w:tcW w:type="dxa" w:w="855"/>
            <w:vAlign w:val="center"/>
          </w:tcPr>
          <w:p>
            <w:pPr>
              <w:spacing w:line="240" w:lineRule="auto"/>
              <w:ind w:firstLine="0"/>
            </w:pPr>
            <w:r>
              <w:rPr>
                <w:sz w:val="16"/>
              </w:rPr>
              <w:t>73,33</w:t>
            </w:r>
          </w:p>
        </w:tc>
        <w:tc>
          <w:tcPr>
            <w:tcW w:type="dxa" w:w="855"/>
            <w:vAlign w:val="center"/>
          </w:tcPr>
          <w:p>
            <w:pPr>
              <w:spacing w:line="240" w:lineRule="auto"/>
              <w:ind w:firstLine="0"/>
            </w:pPr>
            <w:r>
              <w:rPr>
                <w:sz w:val="16"/>
              </w:rPr>
              <w:t>53,33</w:t>
            </w:r>
          </w:p>
        </w:tc>
        <w:tc>
          <w:tcPr>
            <w:tcW w:type="dxa" w:w="855"/>
            <w:vAlign w:val="center"/>
          </w:tcPr>
          <w:p>
            <w:pPr>
              <w:spacing w:line="240" w:lineRule="auto"/>
              <w:ind w:firstLine="0"/>
            </w:pPr>
            <w:r>
              <w:rPr>
                <w:sz w:val="16"/>
              </w:rPr>
              <w:t>50</w:t>
            </w:r>
          </w:p>
        </w:tc>
        <w:tc>
          <w:tcPr>
            <w:tcW w:type="dxa" w:w="855"/>
            <w:vAlign w:val="center"/>
          </w:tcPr>
          <w:p>
            <w:pPr>
              <w:spacing w:line="240" w:lineRule="auto"/>
              <w:ind w:firstLine="0"/>
            </w:pPr>
            <w:r>
              <w:rPr>
                <w:sz w:val="16"/>
              </w:rPr>
              <w:t>53,33</w:t>
            </w:r>
          </w:p>
        </w:tc>
        <w:tc>
          <w:tcPr>
            <w:tcW w:type="dxa" w:w="855"/>
            <w:vAlign w:val="center"/>
          </w:tcPr>
          <w:p>
            <w:pPr>
              <w:spacing w:line="240" w:lineRule="auto"/>
              <w:ind w:firstLine="0"/>
            </w:pPr>
            <w:r>
              <w:rPr>
                <w:sz w:val="16"/>
              </w:rPr>
              <w:t>86,67</w:t>
            </w:r>
          </w:p>
        </w:tc>
      </w:tr>
      <w:tr>
        <w:tc>
          <w:tcPr>
            <w:tcW w:type="dxa" w:w="855"/>
            <w:vAlign w:val="center"/>
          </w:tcPr>
          <w:p>
            <w:pPr>
              <w:spacing w:line="240" w:lineRule="auto"/>
              <w:ind w:firstLine="0"/>
            </w:pPr>
            <w:r>
              <w:rPr>
                <w:sz w:val="16"/>
              </w:rPr>
              <w:t>Ananindeua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42,33</w:t>
            </w:r>
          </w:p>
        </w:tc>
        <w:tc>
          <w:tcPr>
            <w:tcW w:type="dxa" w:w="855"/>
            <w:vAlign w:val="center"/>
          </w:tcPr>
          <w:p>
            <w:pPr>
              <w:spacing w:line="240" w:lineRule="auto"/>
              <w:ind w:firstLine="0"/>
            </w:pPr>
            <w:r>
              <w:rPr>
                <w:sz w:val="16"/>
              </w:rPr>
              <w:t>47,62</w:t>
            </w:r>
          </w:p>
        </w:tc>
        <w:tc>
          <w:tcPr>
            <w:tcW w:type="dxa" w:w="855"/>
            <w:vAlign w:val="center"/>
          </w:tcPr>
          <w:p>
            <w:pPr>
              <w:spacing w:line="240" w:lineRule="auto"/>
              <w:ind w:firstLine="0"/>
            </w:pPr>
            <w:r>
              <w:rPr>
                <w:sz w:val="16"/>
              </w:rPr>
              <w:t>80,95</w:t>
            </w:r>
          </w:p>
        </w:tc>
        <w:tc>
          <w:tcPr>
            <w:tcW w:type="dxa" w:w="855"/>
            <w:vAlign w:val="center"/>
          </w:tcPr>
          <w:p>
            <w:pPr>
              <w:spacing w:line="240" w:lineRule="auto"/>
              <w:ind w:firstLine="0"/>
            </w:pPr>
            <w:r>
              <w:rPr>
                <w:sz w:val="16"/>
              </w:rPr>
              <w:t>47,62</w:t>
            </w:r>
          </w:p>
        </w:tc>
        <w:tc>
          <w:tcPr>
            <w:tcW w:type="dxa" w:w="855"/>
            <w:vAlign w:val="center"/>
          </w:tcPr>
          <w:p>
            <w:pPr>
              <w:spacing w:line="240" w:lineRule="auto"/>
              <w:ind w:firstLine="0"/>
            </w:pPr>
            <w:r>
              <w:rPr>
                <w:sz w:val="16"/>
              </w:rPr>
              <w:t>57,14</w:t>
            </w:r>
          </w:p>
        </w:tc>
        <w:tc>
          <w:tcPr>
            <w:tcW w:type="dxa" w:w="855"/>
            <w:vAlign w:val="center"/>
          </w:tcPr>
          <w:p>
            <w:pPr>
              <w:spacing w:line="240" w:lineRule="auto"/>
              <w:ind w:firstLine="0"/>
            </w:pPr>
            <w:r>
              <w:rPr>
                <w:sz w:val="16"/>
              </w:rPr>
              <w:t>19,05</w:t>
            </w:r>
          </w:p>
        </w:tc>
        <w:tc>
          <w:tcPr>
            <w:tcW w:type="dxa" w:w="855"/>
            <w:vAlign w:val="center"/>
          </w:tcPr>
          <w:p>
            <w:pPr>
              <w:spacing w:line="240" w:lineRule="auto"/>
              <w:ind w:firstLine="0"/>
            </w:pPr>
            <w:r>
              <w:rPr>
                <w:sz w:val="16"/>
              </w:rPr>
              <w:t>56,25</w:t>
            </w:r>
          </w:p>
        </w:tc>
        <w:tc>
          <w:tcPr>
            <w:tcW w:type="dxa" w:w="855"/>
            <w:vAlign w:val="center"/>
          </w:tcPr>
          <w:p>
            <w:pPr>
              <w:spacing w:line="240" w:lineRule="auto"/>
              <w:ind w:firstLine="0"/>
            </w:pPr>
            <w:r>
              <w:rPr>
                <w:sz w:val="16"/>
              </w:rPr>
              <w:t>61,90</w:t>
            </w:r>
          </w:p>
        </w:tc>
        <w:tc>
          <w:tcPr>
            <w:tcW w:type="dxa" w:w="855"/>
            <w:vAlign w:val="center"/>
          </w:tcPr>
          <w:p>
            <w:pPr>
              <w:spacing w:line="240" w:lineRule="auto"/>
              <w:ind w:firstLine="0"/>
            </w:pPr>
            <w:r>
              <w:rPr>
                <w:sz w:val="16"/>
              </w:rPr>
              <w:t>61,90</w:t>
            </w:r>
          </w:p>
        </w:tc>
      </w:tr>
      <w:tr>
        <w:tc>
          <w:tcPr>
            <w:tcW w:type="dxa" w:w="855"/>
            <w:vAlign w:val="center"/>
          </w:tcPr>
          <w:p>
            <w:pPr>
              <w:spacing w:line="240" w:lineRule="auto"/>
              <w:ind w:firstLine="0"/>
            </w:pPr>
            <w:r>
              <w:rPr>
                <w:sz w:val="16"/>
              </w:rPr>
              <w:t>Abaetetuba — Presencial</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38,45</w:t>
            </w:r>
          </w:p>
        </w:tc>
        <w:tc>
          <w:tcPr>
            <w:tcW w:type="dxa" w:w="855"/>
            <w:vAlign w:val="center"/>
          </w:tcPr>
          <w:p>
            <w:pPr>
              <w:spacing w:line="240" w:lineRule="auto"/>
              <w:ind w:firstLine="0"/>
            </w:pPr>
            <w:r>
              <w:rPr>
                <w:sz w:val="16"/>
              </w:rPr>
              <w:t>46,15</w:t>
            </w:r>
          </w:p>
        </w:tc>
        <w:tc>
          <w:tcPr>
            <w:tcW w:type="dxa" w:w="855"/>
            <w:vAlign w:val="center"/>
          </w:tcPr>
          <w:p>
            <w:pPr>
              <w:spacing w:line="240" w:lineRule="auto"/>
              <w:ind w:firstLine="0"/>
            </w:pPr>
            <w:r>
              <w:rPr>
                <w:sz w:val="16"/>
              </w:rPr>
              <w:t>95,45</w:t>
            </w:r>
          </w:p>
        </w:tc>
        <w:tc>
          <w:tcPr>
            <w:tcW w:type="dxa" w:w="855"/>
            <w:vAlign w:val="center"/>
          </w:tcPr>
          <w:p>
            <w:pPr>
              <w:spacing w:line="240" w:lineRule="auto"/>
              <w:ind w:firstLine="0"/>
            </w:pPr>
            <w:r>
              <w:rPr>
                <w:sz w:val="16"/>
              </w:rPr>
              <w:t>47,73</w:t>
            </w:r>
          </w:p>
        </w:tc>
        <w:tc>
          <w:tcPr>
            <w:tcW w:type="dxa" w:w="855"/>
            <w:vAlign w:val="center"/>
          </w:tcPr>
          <w:p>
            <w:pPr>
              <w:spacing w:line="240" w:lineRule="auto"/>
              <w:ind w:firstLine="0"/>
            </w:pPr>
            <w:r>
              <w:rPr>
                <w:sz w:val="16"/>
              </w:rPr>
              <w:t>75</w:t>
            </w:r>
          </w:p>
        </w:tc>
        <w:tc>
          <w:tcPr>
            <w:tcW w:type="dxa" w:w="855"/>
            <w:vAlign w:val="center"/>
          </w:tcPr>
          <w:p>
            <w:pPr>
              <w:spacing w:line="240" w:lineRule="auto"/>
              <w:ind w:firstLine="0"/>
            </w:pPr>
            <w:r>
              <w:rPr>
                <w:sz w:val="16"/>
              </w:rPr>
              <w:t>40,91</w:t>
            </w:r>
          </w:p>
        </w:tc>
        <w:tc>
          <w:tcPr>
            <w:tcW w:type="dxa" w:w="855"/>
            <w:vAlign w:val="center"/>
          </w:tcPr>
          <w:p>
            <w:pPr>
              <w:spacing w:line="240" w:lineRule="auto"/>
              <w:ind w:firstLine="0"/>
            </w:pPr>
            <w:r>
              <w:rPr>
                <w:sz w:val="16"/>
              </w:rPr>
              <w:t>23,81</w:t>
            </w:r>
          </w:p>
        </w:tc>
        <w:tc>
          <w:tcPr>
            <w:tcW w:type="dxa" w:w="855"/>
            <w:vAlign w:val="center"/>
          </w:tcPr>
          <w:p>
            <w:pPr>
              <w:spacing w:line="240" w:lineRule="auto"/>
              <w:ind w:firstLine="0"/>
            </w:pPr>
            <w:r>
              <w:rPr>
                <w:sz w:val="16"/>
              </w:rPr>
              <w:t>59,09</w:t>
            </w:r>
          </w:p>
        </w:tc>
        <w:tc>
          <w:tcPr>
            <w:tcW w:type="dxa" w:w="855"/>
            <w:vAlign w:val="center"/>
          </w:tcPr>
          <w:p>
            <w:pPr>
              <w:spacing w:line="240" w:lineRule="auto"/>
              <w:ind w:firstLine="0"/>
            </w:pPr>
            <w:r>
              <w:rPr>
                <w:sz w:val="16"/>
              </w:rPr>
              <w:t>81,82</w:t>
            </w:r>
          </w:p>
        </w:tc>
      </w:tr>
      <w:tr>
        <w:tc>
          <w:tcPr>
            <w:tcW w:type="dxa" w:w="855"/>
            <w:vAlign w:val="center"/>
          </w:tcPr>
          <w:p>
            <w:pPr>
              <w:spacing w:line="240" w:lineRule="auto"/>
              <w:ind w:firstLine="0"/>
            </w:pPr>
            <w:r>
              <w:rPr>
                <w:sz w:val="16"/>
              </w:rPr>
              <w:t>Belém — EaD</w:t>
            </w:r>
          </w:p>
        </w:tc>
        <w:tc>
          <w:tcPr>
            <w:tcW w:type="dxa" w:w="855"/>
            <w:vAlign w:val="center"/>
          </w:tcPr>
          <w:p>
            <w:pPr>
              <w:spacing w:line="240" w:lineRule="auto"/>
              <w:ind w:firstLine="0"/>
            </w:pPr>
            <w:r>
              <w:rPr>
                <w:sz w:val="16"/>
              </w:rPr>
              <w:t>1</w:t>
            </w:r>
          </w:p>
        </w:tc>
        <w:tc>
          <w:tcPr>
            <w:tcW w:type="dxa" w:w="855"/>
            <w:vAlign w:val="center"/>
          </w:tcPr>
          <w:p>
            <w:pPr>
              <w:spacing w:line="240" w:lineRule="auto"/>
              <w:ind w:firstLine="0"/>
            </w:pPr>
            <w:r>
              <w:rPr>
                <w:sz w:val="16"/>
              </w:rPr>
              <w:t>30,91</w:t>
            </w:r>
          </w:p>
        </w:tc>
        <w:tc>
          <w:tcPr>
            <w:tcW w:type="dxa" w:w="855"/>
            <w:vAlign w:val="center"/>
          </w:tcPr>
          <w:p>
            <w:pPr>
              <w:spacing w:line="240" w:lineRule="auto"/>
              <w:ind w:firstLine="0"/>
            </w:pPr>
            <w:r>
              <w:rPr>
                <w:sz w:val="16"/>
              </w:rPr>
              <w:t>16</w:t>
            </w:r>
          </w:p>
        </w:tc>
        <w:tc>
          <w:tcPr>
            <w:tcW w:type="dxa" w:w="855"/>
            <w:vAlign w:val="center"/>
          </w:tcPr>
          <w:p>
            <w:pPr>
              <w:spacing w:line="240" w:lineRule="auto"/>
              <w:ind w:firstLine="0"/>
            </w:pPr>
            <w:r>
              <w:rPr>
                <w:sz w:val="16"/>
              </w:rPr>
              <w:t>92,59</w:t>
            </w:r>
          </w:p>
        </w:tc>
        <w:tc>
          <w:tcPr>
            <w:tcW w:type="dxa" w:w="855"/>
            <w:vAlign w:val="center"/>
          </w:tcPr>
          <w:p>
            <w:pPr>
              <w:spacing w:line="240" w:lineRule="auto"/>
              <w:ind w:firstLine="0"/>
            </w:pPr>
            <w:r>
              <w:rPr>
                <w:sz w:val="16"/>
              </w:rPr>
              <w:t>70,37</w:t>
            </w:r>
          </w:p>
        </w:tc>
        <w:tc>
          <w:tcPr>
            <w:tcW w:type="dxa" w:w="855"/>
            <w:vAlign w:val="center"/>
          </w:tcPr>
          <w:p>
            <w:pPr>
              <w:spacing w:line="240" w:lineRule="auto"/>
              <w:ind w:firstLine="0"/>
            </w:pPr>
            <w:r>
              <w:rPr>
                <w:sz w:val="16"/>
              </w:rPr>
              <w:t>74,07</w:t>
            </w:r>
          </w:p>
        </w:tc>
        <w:tc>
          <w:tcPr>
            <w:tcW w:type="dxa" w:w="855"/>
            <w:vAlign w:val="center"/>
          </w:tcPr>
          <w:p>
            <w:pPr>
              <w:spacing w:line="240" w:lineRule="auto"/>
              <w:ind w:firstLine="0"/>
            </w:pPr>
            <w:r>
              <w:rPr>
                <w:sz w:val="16"/>
              </w:rPr>
              <w:t>0</w:t>
            </w:r>
          </w:p>
        </w:tc>
        <w:tc>
          <w:tcPr>
            <w:tcW w:type="dxa" w:w="855"/>
            <w:vAlign w:val="center"/>
          </w:tcPr>
          <w:p>
            <w:pPr>
              <w:spacing w:line="240" w:lineRule="auto"/>
              <w:ind w:firstLine="0"/>
            </w:pPr>
            <w:r>
              <w:rPr>
                <w:sz w:val="16"/>
              </w:rPr>
              <w:t>0</w:t>
            </w:r>
          </w:p>
        </w:tc>
        <w:tc>
          <w:tcPr>
            <w:tcW w:type="dxa" w:w="855"/>
            <w:vAlign w:val="center"/>
          </w:tcPr>
          <w:p>
            <w:pPr>
              <w:spacing w:line="240" w:lineRule="auto"/>
              <w:ind w:firstLine="0"/>
            </w:pPr>
            <w:r>
              <w:rPr>
                <w:sz w:val="16"/>
              </w:rPr>
              <w:t>37,04</w:t>
            </w:r>
          </w:p>
        </w:tc>
        <w:tc>
          <w:tcPr>
            <w:tcW w:type="dxa" w:w="855"/>
            <w:vAlign w:val="center"/>
          </w:tcPr>
          <w:p>
            <w:pPr>
              <w:spacing w:line="240" w:lineRule="auto"/>
              <w:ind w:firstLine="0"/>
            </w:pPr>
            <w:r>
              <w:rPr>
                <w:sz w:val="16"/>
              </w:rPr>
              <w:t>88,89</w:t>
            </w:r>
          </w:p>
        </w:tc>
      </w:tr>
    </w:tbl>
    <w:p>
      <w:pPr>
        <w:pStyle w:val="Fonte"/>
      </w:pPr>
      <w:r>
        <w:t>Fonte: Elaboração própria; percentuais calculados entre respostas válidas.</w:t>
      </w:r>
    </w:p>
    <w:p>
      <w:pPr>
        <w:ind w:firstLine="0"/>
        <w:jc w:val="center"/>
      </w:pPr>
      <w:r>
        <w:rPr>
          <w:b/>
          <w:sz w:val="20"/>
        </w:rPr>
        <w:t>Figura 7 – Perfil socioeconômico por oferta</w:t>
      </w:r>
    </w:p>
    <w:p>
      <w:pPr>
        <w:ind w:firstLine="0"/>
        <w:jc w:val="center"/>
      </w:pPr>
      <w:r>
        <w:drawing>
          <wp:inline xmlns:a="http://schemas.openxmlformats.org/drawingml/2006/main" xmlns:pic="http://schemas.openxmlformats.org/drawingml/2006/picture">
            <wp:extent cx="5580000" cy="2738168"/>
            <wp:docPr id="7" name="Picture 7"/>
            <wp:cNvGraphicFramePr>
              <a:graphicFrameLocks noChangeAspect="1"/>
            </wp:cNvGraphicFramePr>
            <a:graphic>
              <a:graphicData uri="http://schemas.openxmlformats.org/drawingml/2006/picture">
                <pic:pic>
                  <pic:nvPicPr>
                    <pic:cNvPr id="0" name="11_perfil_socioeconomico.png"/>
                    <pic:cNvPicPr/>
                  </pic:nvPicPr>
                  <pic:blipFill>
                    <a:blip r:embed="rId17"/>
                    <a:stretch>
                      <a:fillRect/>
                    </a:stretch>
                  </pic:blipFill>
                  <pic:spPr>
                    <a:xfrm>
                      <a:off x="0" y="0"/>
                      <a:ext cx="5580000" cy="2738168"/>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conjunto mostra heterogeneidade de renda, trabalho, ação afirmativa, auxílios e estudo.</w:t>
      </w:r>
    </w:p>
    <w:p>
      <w:r>
        <w:t>Limitação: Os indicadores são agregados e sujeitos a ausências específicas por item.</w:t>
      </w:r>
    </w:p>
    <w:p>
      <w:pPr>
        <w:ind w:firstLine="0"/>
        <w:jc w:val="center"/>
      </w:pPr>
      <w:r>
        <w:rPr>
          <w:b/>
          <w:sz w:val="20"/>
        </w:rPr>
        <w:t>Figura 8 – Síntese socioeconômica e desempenho</w:t>
      </w:r>
    </w:p>
    <w:p>
      <w:pPr>
        <w:ind w:firstLine="0"/>
        <w:jc w:val="center"/>
      </w:pPr>
      <w:r>
        <w:drawing>
          <wp:inline xmlns:a="http://schemas.openxmlformats.org/drawingml/2006/main" xmlns:pic="http://schemas.openxmlformats.org/drawingml/2006/picture">
            <wp:extent cx="5580000" cy="3124800"/>
            <wp:docPr id="8" name="Picture 8"/>
            <wp:cNvGraphicFramePr>
              <a:graphicFrameLocks noChangeAspect="1"/>
            </wp:cNvGraphicFramePr>
            <a:graphic>
              <a:graphicData uri="http://schemas.openxmlformats.org/drawingml/2006/picture">
                <pic:pic>
                  <pic:nvPicPr>
                    <pic:cNvPr id="0" name="validada_13_sintese_socioeconomica.png"/>
                    <pic:cNvPicPr/>
                  </pic:nvPicPr>
                  <pic:blipFill>
                    <a:blip r:embed="rId18"/>
                    <a:stretch>
                      <a:fillRect/>
                    </a:stretch>
                  </pic:blipFill>
                  <pic:spPr>
                    <a:xfrm>
                      <a:off x="0" y="0"/>
                      <a:ext cx="5580000" cy="312480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reúne desempenho e indicadores de composição para leitura contextual por oferta.</w:t>
      </w:r>
    </w:p>
    <w:p>
      <w:r>
        <w:t>Limitação: A disposição conjunta não implica relação causal entre perfil individual e nota.</w:t>
      </w:r>
    </w:p>
    <w:p>
      <w:pPr>
        <w:pStyle w:val="Heading2"/>
      </w:pPr>
      <w:r>
        <w:t>5.3 Trajetória e condições acadêmicas</w:t>
      </w:r>
    </w:p>
    <w:p>
      <w:r>
        <w:t>As ofertas diferem em trabalho, carga horária, bolsas, auxílio permanência, horas de estudo e intenção de exercer o magistério. Esses indicadores ajudam a caracterizar condições acadêmicas e disponibilidade de tempo, mas não devem ser usados isoladamente para explicar desempenho. A análise preserva o percentual válido e as ausências de cada variável.</w:t>
      </w:r>
    </w:p>
    <w:p>
      <w:pPr>
        <w:pStyle w:val="Heading2"/>
      </w:pPr>
      <w:r>
        <w:t>5.4 Processo formativo</w:t>
      </w:r>
    </w:p>
    <w:p>
      <w:r>
        <w:t>Os itens QE_I20–QE_I66 foram agrupados em dimensões candidatas. As medidas são exploratórias e não constituem uma nota única de qualidade. A decisão metodológica registrada na Sprint 5 foi preservar a leitura dimensional e validar redação, direção da escala e coerência teórica antes de interpretações substantivas.</w:t>
      </w:r>
    </w:p>
    <w:p>
      <w:pPr>
        <w:ind w:firstLine="0"/>
      </w:pPr>
      <w:r>
        <w:rPr>
          <w:b/>
          <w:sz w:val="20"/>
        </w:rPr>
        <w:t>Tabela 5 – Diagnóstico das dimensões do processo formativo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Dimensão</w:t>
            </w:r>
          </w:p>
        </w:tc>
        <w:tc>
          <w:tcPr>
            <w:tcW w:type="dxa" w:w="1567"/>
            <w:vAlign w:val="center"/>
          </w:tcPr>
          <w:p>
            <w:pPr>
              <w:jc w:val="center"/>
            </w:pPr>
            <w:r>
              <w:rPr>
                <w:b/>
                <w:sz w:val="16"/>
              </w:rPr>
              <w:t>N itens</w:t>
            </w:r>
          </w:p>
        </w:tc>
        <w:tc>
          <w:tcPr>
            <w:tcW w:type="dxa" w:w="1567"/>
            <w:vAlign w:val="center"/>
          </w:tcPr>
          <w:p>
            <w:pPr>
              <w:jc w:val="center"/>
            </w:pPr>
            <w:r>
              <w:rPr>
                <w:b/>
                <w:sz w:val="16"/>
              </w:rPr>
              <w:t>N cursos</w:t>
            </w:r>
          </w:p>
        </w:tc>
        <w:tc>
          <w:tcPr>
            <w:tcW w:type="dxa" w:w="1567"/>
            <w:vAlign w:val="center"/>
          </w:tcPr>
          <w:p>
            <w:pPr>
              <w:jc w:val="center"/>
            </w:pPr>
            <w:r>
              <w:rPr>
                <w:b/>
                <w:sz w:val="16"/>
              </w:rPr>
              <w:t>Média Brasil</w:t>
            </w:r>
          </w:p>
        </w:tc>
        <w:tc>
          <w:tcPr>
            <w:tcW w:type="dxa" w:w="1567"/>
            <w:vAlign w:val="center"/>
          </w:tcPr>
          <w:p>
            <w:pPr>
              <w:jc w:val="center"/>
            </w:pPr>
            <w:r>
              <w:rPr>
                <w:b/>
                <w:sz w:val="16"/>
              </w:rPr>
              <w:t>Média UFPA</w:t>
            </w:r>
          </w:p>
        </w:tc>
        <w:tc>
          <w:tcPr>
            <w:tcW w:type="dxa" w:w="1567"/>
            <w:vAlign w:val="center"/>
          </w:tcPr>
          <w:p>
            <w:pPr>
              <w:jc w:val="center"/>
            </w:pPr>
            <w:r>
              <w:rPr>
                <w:b/>
                <w:sz w:val="16"/>
              </w:rPr>
              <w:t>Decisão metodológica</w:t>
            </w:r>
          </w:p>
        </w:tc>
      </w:tr>
      <w:tr>
        <w:tc>
          <w:tcPr>
            <w:tcW w:type="dxa" w:w="1567"/>
            <w:vAlign w:val="center"/>
          </w:tcPr>
          <w:p>
            <w:pPr>
              <w:spacing w:line="240" w:lineRule="auto"/>
              <w:ind w:firstLine="0"/>
            </w:pPr>
            <w:r>
              <w:rPr>
                <w:sz w:val="16"/>
              </w:rPr>
              <w:t>organizacao_didatico_pedagogica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atuacao_docente</w:t>
            </w:r>
          </w:p>
        </w:tc>
        <w:tc>
          <w:tcPr>
            <w:tcW w:type="dxa" w:w="1567"/>
            <w:vAlign w:val="center"/>
          </w:tcPr>
          <w:p>
            <w:pPr>
              <w:spacing w:line="240" w:lineRule="auto"/>
              <w:ind w:firstLine="0"/>
            </w:pPr>
            <w:r>
              <w:rPr>
                <w:sz w:val="16"/>
              </w:rPr>
              <w:t>7</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0,82</w:t>
            </w:r>
          </w:p>
        </w:tc>
        <w:tc>
          <w:tcPr>
            <w:tcW w:type="dxa" w:w="1567"/>
            <w:vAlign w:val="center"/>
          </w:tcPr>
          <w:p>
            <w:pPr>
              <w:spacing w:line="240" w:lineRule="auto"/>
              <w:ind w:firstLine="0"/>
            </w:pPr>
            <w:r>
              <w:rPr>
                <w:sz w:val="16"/>
              </w:rPr>
              <w:t>0,82</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infraestrutura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0,88</w:t>
            </w:r>
          </w:p>
        </w:tc>
        <w:tc>
          <w:tcPr>
            <w:tcW w:type="dxa" w:w="1567"/>
            <w:vAlign w:val="center"/>
          </w:tcPr>
          <w:p>
            <w:pPr>
              <w:spacing w:line="240" w:lineRule="auto"/>
              <w:ind w:firstLine="0"/>
            </w:pPr>
            <w:r>
              <w:rPr>
                <w:sz w:val="16"/>
              </w:rPr>
              <w:t>0,89</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oportunidades_formacao</w:t>
            </w:r>
          </w:p>
        </w:tc>
        <w:tc>
          <w:tcPr>
            <w:tcW w:type="dxa" w:w="1567"/>
            <w:vAlign w:val="center"/>
          </w:tcPr>
          <w:p>
            <w:pPr>
              <w:spacing w:line="240" w:lineRule="auto"/>
              <w:ind w:firstLine="0"/>
            </w:pPr>
            <w:r>
              <w:rPr>
                <w:sz w:val="16"/>
              </w:rPr>
              <w:t>10</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0,87</w:t>
            </w:r>
          </w:p>
        </w:tc>
        <w:tc>
          <w:tcPr>
            <w:tcW w:type="dxa" w:w="1567"/>
            <w:vAlign w:val="center"/>
          </w:tcPr>
          <w:p>
            <w:pPr>
              <w:spacing w:line="240" w:lineRule="auto"/>
              <w:ind w:firstLine="0"/>
            </w:pPr>
            <w:r>
              <w:rPr>
                <w:sz w:val="16"/>
              </w:rPr>
              <w:t>0,85</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integracao_teoria_pratica</w:t>
            </w:r>
          </w:p>
        </w:tc>
        <w:tc>
          <w:tcPr>
            <w:tcW w:type="dxa" w:w="1567"/>
            <w:vAlign w:val="center"/>
          </w:tcPr>
          <w:p>
            <w:pPr>
              <w:spacing w:line="240" w:lineRule="auto"/>
              <w:ind w:firstLine="0"/>
            </w:pPr>
            <w:r>
              <w:rPr>
                <w:sz w:val="16"/>
              </w:rPr>
              <w:t>8</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0,84</w:t>
            </w:r>
          </w:p>
        </w:tc>
        <w:tc>
          <w:tcPr>
            <w:tcW w:type="dxa" w:w="1567"/>
            <w:vAlign w:val="center"/>
          </w:tcPr>
          <w:p>
            <w:pPr>
              <w:spacing w:line="240" w:lineRule="auto"/>
              <w:ind w:firstLine="0"/>
            </w:pPr>
            <w:r>
              <w:rPr>
                <w:sz w:val="16"/>
              </w:rPr>
              <w:t>0,78</w:t>
            </w:r>
          </w:p>
        </w:tc>
        <w:tc>
          <w:tcPr>
            <w:tcW w:type="dxa" w:w="1567"/>
            <w:vAlign w:val="center"/>
          </w:tcPr>
          <w:p>
            <w:pPr>
              <w:spacing w:line="240" w:lineRule="auto"/>
              <w:ind w:firstLine="0"/>
            </w:pPr>
            <w:r>
              <w:rPr>
                <w:sz w:val="16"/>
              </w:rPr>
              <w:t>Uso exploratório; validar redação e coerência teórica antes do relatório final</w:t>
            </w:r>
          </w:p>
        </w:tc>
      </w:tr>
      <w:tr>
        <w:tc>
          <w:tcPr>
            <w:tcW w:type="dxa" w:w="1567"/>
            <w:vAlign w:val="center"/>
          </w:tcPr>
          <w:p>
            <w:pPr>
              <w:spacing w:line="240" w:lineRule="auto"/>
              <w:ind w:firstLine="0"/>
            </w:pPr>
            <w:r>
              <w:rPr>
                <w:sz w:val="16"/>
              </w:rPr>
              <w:t>apoio_academico</w:t>
            </w:r>
          </w:p>
        </w:tc>
        <w:tc>
          <w:tcPr>
            <w:tcW w:type="dxa" w:w="1567"/>
            <w:vAlign w:val="center"/>
          </w:tcPr>
          <w:p>
            <w:pPr>
              <w:spacing w:line="240" w:lineRule="auto"/>
              <w:ind w:firstLine="0"/>
            </w:pPr>
            <w:r>
              <w:rPr>
                <w:sz w:val="16"/>
              </w:rPr>
              <w:t>6</w:t>
            </w:r>
          </w:p>
        </w:tc>
        <w:tc>
          <w:tcPr>
            <w:tcW w:type="dxa" w:w="1567"/>
            <w:vAlign w:val="center"/>
          </w:tcPr>
          <w:p>
            <w:pPr>
              <w:spacing w:line="240" w:lineRule="auto"/>
              <w:ind w:firstLine="0"/>
            </w:pPr>
            <w:r>
              <w:rPr>
                <w:sz w:val="16"/>
              </w:rPr>
              <w:t>242</w:t>
            </w:r>
          </w:p>
        </w:tc>
        <w:tc>
          <w:tcPr>
            <w:tcW w:type="dxa" w:w="1567"/>
            <w:vAlign w:val="center"/>
          </w:tcPr>
          <w:p>
            <w:pPr>
              <w:spacing w:line="240" w:lineRule="auto"/>
              <w:ind w:firstLine="0"/>
            </w:pPr>
            <w:r>
              <w:rPr>
                <w:sz w:val="16"/>
              </w:rPr>
              <w:t>0,88</w:t>
            </w:r>
          </w:p>
        </w:tc>
        <w:tc>
          <w:tcPr>
            <w:tcW w:type="dxa" w:w="1567"/>
            <w:vAlign w:val="center"/>
          </w:tcPr>
          <w:p>
            <w:pPr>
              <w:spacing w:line="240" w:lineRule="auto"/>
              <w:ind w:firstLine="0"/>
            </w:pPr>
            <w:r>
              <w:rPr>
                <w:sz w:val="16"/>
              </w:rPr>
              <w:t>0,85</w:t>
            </w:r>
          </w:p>
        </w:tc>
        <w:tc>
          <w:tcPr>
            <w:tcW w:type="dxa" w:w="1567"/>
            <w:vAlign w:val="center"/>
          </w:tcPr>
          <w:p>
            <w:pPr>
              <w:spacing w:line="240" w:lineRule="auto"/>
              <w:ind w:firstLine="0"/>
            </w:pPr>
            <w:r>
              <w:rPr>
                <w:sz w:val="16"/>
              </w:rPr>
              <w:t>Uso exploratório; validar redação e coerência teórica antes do relatório final</w:t>
            </w:r>
          </w:p>
        </w:tc>
      </w:tr>
    </w:tbl>
    <w:p>
      <w:pPr>
        <w:pStyle w:val="Fonte"/>
      </w:pPr>
      <w:r>
        <w:t>Fonte: Elaboração própria; scores exploratórios no nível do curso.</w:t>
      </w:r>
    </w:p>
    <w:p>
      <w:pPr>
        <w:ind w:firstLine="0"/>
        <w:jc w:val="center"/>
      </w:pPr>
      <w:r>
        <w:rPr>
          <w:b/>
          <w:sz w:val="20"/>
        </w:rPr>
        <w:t>Figura 9 – Percepção do processo formativo</w:t>
      </w:r>
    </w:p>
    <w:p>
      <w:pPr>
        <w:ind w:firstLine="0"/>
        <w:jc w:val="center"/>
      </w:pPr>
      <w:r>
        <w:drawing>
          <wp:inline xmlns:a="http://schemas.openxmlformats.org/drawingml/2006/main" xmlns:pic="http://schemas.openxmlformats.org/drawingml/2006/picture">
            <wp:extent cx="5580000" cy="3498667"/>
            <wp:docPr id="9" name="Picture 9"/>
            <wp:cNvGraphicFramePr>
              <a:graphicFrameLocks noChangeAspect="1"/>
            </wp:cNvGraphicFramePr>
            <a:graphic>
              <a:graphicData uri="http://schemas.openxmlformats.org/drawingml/2006/picture">
                <pic:pic>
                  <pic:nvPicPr>
                    <pic:cNvPr id="0" name="08_processo_formativo.png"/>
                    <pic:cNvPicPr/>
                  </pic:nvPicPr>
                  <pic:blipFill>
                    <a:blip r:embed="rId19"/>
                    <a:stretch>
                      <a:fillRect/>
                    </a:stretch>
                  </pic:blipFill>
                  <pic:spPr>
                    <a:xfrm>
                      <a:off x="0" y="0"/>
                      <a:ext cx="5580000" cy="3498667"/>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heatmap permite localizar itens e dimensões com maior contraste entre ofertas.</w:t>
      </w:r>
    </w:p>
    <w:p>
      <w:r>
        <w:t>Limitação: As respostas são autorreferidas e a consistência dimensional deve ser considerada.</w:t>
      </w:r>
    </w:p>
    <w:p>
      <w:pPr>
        <w:pStyle w:val="Heading2"/>
      </w:pPr>
      <w:r>
        <w:t>5.5 Recomendação</w:t>
      </w:r>
    </w:p>
    <w:p>
      <w:r>
        <w:t>A percepção de dificuldade foi agregada por curso. QE_I68 e QE_I69 foram mantidos como recomendação do curso e da instituição, respectivamente, sem substituição automática pelo termo satisfação. O percentual 9–10 é apresentado entre respostas válidas.</w:t>
      </w:r>
    </w:p>
    <w:p>
      <w:pPr>
        <w:ind w:firstLine="0"/>
      </w:pPr>
      <w:r>
        <w:rPr>
          <w:b/>
          <w:sz w:val="20"/>
        </w:rPr>
        <w:t>Tabela 6 – Percepção de dificuldade e recomendação</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pPr>
              <w:jc w:val="center"/>
            </w:pPr>
            <w:r>
              <w:rPr>
                <w:b/>
                <w:sz w:val="16"/>
              </w:rPr>
              <w:t>Oferta</w:t>
            </w:r>
          </w:p>
        </w:tc>
        <w:tc>
          <w:tcPr>
            <w:tcW w:type="dxa" w:w="1176"/>
            <w:vAlign w:val="center"/>
          </w:tcPr>
          <w:p>
            <w:pPr>
              <w:jc w:val="center"/>
            </w:pPr>
            <w:r>
              <w:rPr>
                <w:b/>
                <w:sz w:val="16"/>
              </w:rPr>
              <w:t>Conceito</w:t>
            </w:r>
          </w:p>
        </w:tc>
        <w:tc>
          <w:tcPr>
            <w:tcW w:type="dxa" w:w="1176"/>
            <w:vAlign w:val="center"/>
          </w:tcPr>
          <w:p>
            <w:pPr>
              <w:jc w:val="center"/>
            </w:pPr>
            <w:r>
              <w:rPr>
                <w:b/>
                <w:sz w:val="16"/>
              </w:rPr>
              <w:t>N dificuldade</w:t>
            </w:r>
          </w:p>
        </w:tc>
        <w:tc>
          <w:tcPr>
            <w:tcW w:type="dxa" w:w="1176"/>
            <w:vAlign w:val="center"/>
          </w:tcPr>
          <w:p>
            <w:pPr>
              <w:jc w:val="center"/>
            </w:pPr>
            <w:r>
              <w:rPr>
                <w:b/>
                <w:sz w:val="16"/>
              </w:rPr>
              <w:t>Dificuldade alta (%)</w:t>
            </w:r>
          </w:p>
        </w:tc>
        <w:tc>
          <w:tcPr>
            <w:tcW w:type="dxa" w:w="1176"/>
            <w:vAlign w:val="center"/>
          </w:tcPr>
          <w:p>
            <w:pPr>
              <w:jc w:val="center"/>
            </w:pPr>
            <w:r>
              <w:rPr>
                <w:b/>
                <w:sz w:val="16"/>
              </w:rPr>
              <w:t>N recomendação curso</w:t>
            </w:r>
          </w:p>
        </w:tc>
        <w:tc>
          <w:tcPr>
            <w:tcW w:type="dxa" w:w="1176"/>
            <w:vAlign w:val="center"/>
          </w:tcPr>
          <w:p>
            <w:pPr>
              <w:jc w:val="center"/>
            </w:pPr>
            <w:r>
              <w:rPr>
                <w:b/>
                <w:sz w:val="16"/>
              </w:rPr>
              <w:t>Recomendação curso 9–10 (%)</w:t>
            </w:r>
          </w:p>
        </w:tc>
        <w:tc>
          <w:tcPr>
            <w:tcW w:type="dxa" w:w="1176"/>
            <w:vAlign w:val="center"/>
          </w:tcPr>
          <w:p>
            <w:pPr>
              <w:jc w:val="center"/>
            </w:pPr>
            <w:r>
              <w:rPr>
                <w:b/>
                <w:sz w:val="16"/>
              </w:rPr>
              <w:t>N recomendação IES</w:t>
            </w:r>
          </w:p>
        </w:tc>
        <w:tc>
          <w:tcPr>
            <w:tcW w:type="dxa" w:w="1176"/>
            <w:vAlign w:val="center"/>
          </w:tcPr>
          <w:p>
            <w:pPr>
              <w:jc w:val="center"/>
            </w:pPr>
            <w:r>
              <w:rPr>
                <w:b/>
                <w:sz w:val="16"/>
              </w:rPr>
              <w:t>Recomendação IES 9–10 (%)</w:t>
            </w:r>
          </w:p>
        </w:tc>
      </w:tr>
      <w:tr>
        <w:tc>
          <w:tcPr>
            <w:tcW w:type="dxa" w:w="1176"/>
            <w:vAlign w:val="center"/>
          </w:tcPr>
          <w:p>
            <w:pPr>
              <w:spacing w:line="240" w:lineRule="auto"/>
              <w:ind w:firstLine="0"/>
            </w:pPr>
            <w:r>
              <w:rPr>
                <w:sz w:val="16"/>
              </w:rPr>
              <w:t>Abaetetuba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75</w:t>
            </w:r>
          </w:p>
        </w:tc>
        <w:tc>
          <w:tcPr>
            <w:tcW w:type="dxa" w:w="1176"/>
            <w:vAlign w:val="center"/>
          </w:tcPr>
          <w:p>
            <w:pPr>
              <w:spacing w:line="240" w:lineRule="auto"/>
              <w:ind w:firstLine="0"/>
            </w:pPr>
            <w:r>
              <w:rPr>
                <w:sz w:val="16"/>
              </w:rPr>
              <w:t>44</w:t>
            </w:r>
          </w:p>
        </w:tc>
        <w:tc>
          <w:tcPr>
            <w:tcW w:type="dxa" w:w="1176"/>
            <w:vAlign w:val="center"/>
          </w:tcPr>
          <w:p>
            <w:pPr>
              <w:spacing w:line="240" w:lineRule="auto"/>
              <w:ind w:firstLine="0"/>
            </w:pPr>
            <w:r>
              <w:rPr>
                <w:sz w:val="16"/>
              </w:rPr>
              <w:t>56,82</w:t>
            </w:r>
          </w:p>
        </w:tc>
        <w:tc>
          <w:tcPr>
            <w:tcW w:type="dxa" w:w="1176"/>
            <w:vAlign w:val="center"/>
          </w:tcPr>
          <w:p>
            <w:pPr>
              <w:spacing w:line="240" w:lineRule="auto"/>
              <w:ind w:firstLine="0"/>
            </w:pPr>
            <w:r>
              <w:rPr>
                <w:sz w:val="16"/>
              </w:rPr>
              <w:t>44</w:t>
            </w:r>
          </w:p>
        </w:tc>
        <w:tc>
          <w:tcPr>
            <w:tcW w:type="dxa" w:w="1176"/>
            <w:vAlign w:val="center"/>
          </w:tcPr>
          <w:p>
            <w:pPr>
              <w:spacing w:line="240" w:lineRule="auto"/>
              <w:ind w:firstLine="0"/>
            </w:pPr>
            <w:r>
              <w:rPr>
                <w:sz w:val="16"/>
              </w:rPr>
              <w:t>72,73</w:t>
            </w:r>
          </w:p>
        </w:tc>
      </w:tr>
      <w:tr>
        <w:tc>
          <w:tcPr>
            <w:tcW w:type="dxa" w:w="1176"/>
            <w:vAlign w:val="center"/>
          </w:tcPr>
          <w:p>
            <w:pPr>
              <w:spacing w:line="240" w:lineRule="auto"/>
              <w:ind w:firstLine="0"/>
            </w:pPr>
            <w:r>
              <w:rPr>
                <w:sz w:val="16"/>
              </w:rPr>
              <w:t>Ananindeua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17</w:t>
            </w:r>
          </w:p>
        </w:tc>
        <w:tc>
          <w:tcPr>
            <w:tcW w:type="dxa" w:w="1176"/>
            <w:vAlign w:val="center"/>
          </w:tcPr>
          <w:p>
            <w:pPr>
              <w:spacing w:line="240" w:lineRule="auto"/>
              <w:ind w:firstLine="0"/>
            </w:pPr>
            <w:r>
              <w:rPr>
                <w:sz w:val="16"/>
              </w:rPr>
              <w:t>82,35</w:t>
            </w:r>
          </w:p>
        </w:tc>
        <w:tc>
          <w:tcPr>
            <w:tcW w:type="dxa" w:w="1176"/>
            <w:vAlign w:val="center"/>
          </w:tcPr>
          <w:p>
            <w:pPr>
              <w:spacing w:line="240" w:lineRule="auto"/>
              <w:ind w:firstLine="0"/>
            </w:pPr>
            <w:r>
              <w:rPr>
                <w:sz w:val="16"/>
              </w:rPr>
              <w:t>21</w:t>
            </w:r>
          </w:p>
        </w:tc>
        <w:tc>
          <w:tcPr>
            <w:tcW w:type="dxa" w:w="1176"/>
            <w:vAlign w:val="center"/>
          </w:tcPr>
          <w:p>
            <w:pPr>
              <w:spacing w:line="240" w:lineRule="auto"/>
              <w:ind w:firstLine="0"/>
            </w:pPr>
            <w:r>
              <w:rPr>
                <w:sz w:val="16"/>
              </w:rPr>
              <w:t>71,43</w:t>
            </w:r>
          </w:p>
        </w:tc>
        <w:tc>
          <w:tcPr>
            <w:tcW w:type="dxa" w:w="1176"/>
            <w:vAlign w:val="center"/>
          </w:tcPr>
          <w:p>
            <w:pPr>
              <w:spacing w:line="240" w:lineRule="auto"/>
              <w:ind w:firstLine="0"/>
            </w:pPr>
            <w:r>
              <w:rPr>
                <w:sz w:val="16"/>
              </w:rPr>
              <w:t>21</w:t>
            </w:r>
          </w:p>
        </w:tc>
        <w:tc>
          <w:tcPr>
            <w:tcW w:type="dxa" w:w="1176"/>
            <w:vAlign w:val="center"/>
          </w:tcPr>
          <w:p>
            <w:pPr>
              <w:spacing w:line="240" w:lineRule="auto"/>
              <w:ind w:firstLine="0"/>
            </w:pPr>
            <w:r>
              <w:rPr>
                <w:sz w:val="16"/>
              </w:rPr>
              <w:t>85,71</w:t>
            </w:r>
          </w:p>
        </w:tc>
      </w:tr>
      <w:tr>
        <w:tc>
          <w:tcPr>
            <w:tcW w:type="dxa" w:w="1176"/>
            <w:vAlign w:val="center"/>
          </w:tcPr>
          <w:p>
            <w:pPr>
              <w:spacing w:line="240" w:lineRule="auto"/>
              <w:ind w:firstLine="0"/>
            </w:pPr>
            <w:r>
              <w:rPr>
                <w:sz w:val="16"/>
              </w:rPr>
              <w:t>Belém — EaD</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22</w:t>
            </w:r>
          </w:p>
        </w:tc>
        <w:tc>
          <w:tcPr>
            <w:tcW w:type="dxa" w:w="1176"/>
            <w:vAlign w:val="center"/>
          </w:tcPr>
          <w:p>
            <w:pPr>
              <w:spacing w:line="240" w:lineRule="auto"/>
              <w:ind w:firstLine="0"/>
            </w:pPr>
            <w:r>
              <w:rPr>
                <w:sz w:val="16"/>
              </w:rPr>
              <w:t>86,36</w:t>
            </w:r>
          </w:p>
        </w:tc>
        <w:tc>
          <w:tcPr>
            <w:tcW w:type="dxa" w:w="1176"/>
            <w:vAlign w:val="center"/>
          </w:tcPr>
          <w:p>
            <w:pPr>
              <w:spacing w:line="240" w:lineRule="auto"/>
              <w:ind w:firstLine="0"/>
            </w:pPr>
            <w:r>
              <w:rPr>
                <w:sz w:val="16"/>
              </w:rPr>
              <w:t>27</w:t>
            </w:r>
          </w:p>
        </w:tc>
        <w:tc>
          <w:tcPr>
            <w:tcW w:type="dxa" w:w="1176"/>
            <w:vAlign w:val="center"/>
          </w:tcPr>
          <w:p>
            <w:pPr>
              <w:spacing w:line="240" w:lineRule="auto"/>
              <w:ind w:firstLine="0"/>
            </w:pPr>
            <w:r>
              <w:rPr>
                <w:sz w:val="16"/>
              </w:rPr>
              <w:t>62,96</w:t>
            </w:r>
          </w:p>
        </w:tc>
        <w:tc>
          <w:tcPr>
            <w:tcW w:type="dxa" w:w="1176"/>
            <w:vAlign w:val="center"/>
          </w:tcPr>
          <w:p>
            <w:pPr>
              <w:spacing w:line="240" w:lineRule="auto"/>
              <w:ind w:firstLine="0"/>
            </w:pPr>
            <w:r>
              <w:rPr>
                <w:sz w:val="16"/>
              </w:rPr>
              <w:t>27</w:t>
            </w:r>
          </w:p>
        </w:tc>
        <w:tc>
          <w:tcPr>
            <w:tcW w:type="dxa" w:w="1176"/>
            <w:vAlign w:val="center"/>
          </w:tcPr>
          <w:p>
            <w:pPr>
              <w:spacing w:line="240" w:lineRule="auto"/>
              <w:ind w:firstLine="0"/>
            </w:pPr>
            <w:r>
              <w:rPr>
                <w:sz w:val="16"/>
              </w:rPr>
              <w:t>85,19</w:t>
            </w:r>
          </w:p>
        </w:tc>
      </w:tr>
      <w:tr>
        <w:tc>
          <w:tcPr>
            <w:tcW w:type="dxa" w:w="1176"/>
            <w:vAlign w:val="center"/>
          </w:tcPr>
          <w:p>
            <w:pPr>
              <w:spacing w:line="240" w:lineRule="auto"/>
              <w:ind w:firstLine="0"/>
            </w:pPr>
            <w:r>
              <w:rPr>
                <w:sz w:val="16"/>
              </w:rPr>
              <w:t>Belém — Presencial</w:t>
            </w:r>
          </w:p>
        </w:tc>
        <w:tc>
          <w:tcPr>
            <w:tcW w:type="dxa" w:w="1176"/>
            <w:vAlign w:val="center"/>
          </w:tcPr>
          <w:p>
            <w:pPr>
              <w:spacing w:line="240" w:lineRule="auto"/>
              <w:ind w:firstLine="0"/>
            </w:pPr>
            <w:r>
              <w:rPr>
                <w:sz w:val="16"/>
              </w:rPr>
              <w:t>3</w:t>
            </w:r>
          </w:p>
        </w:tc>
        <w:tc>
          <w:tcPr>
            <w:tcW w:type="dxa" w:w="1176"/>
            <w:vAlign w:val="center"/>
          </w:tcPr>
          <w:p>
            <w:pPr>
              <w:spacing w:line="240" w:lineRule="auto"/>
              <w:ind w:firstLine="0"/>
            </w:pPr>
            <w:r>
              <w:rPr>
                <w:sz w:val="16"/>
              </w:rPr>
              <w:t>30</w:t>
            </w:r>
          </w:p>
        </w:tc>
        <w:tc>
          <w:tcPr>
            <w:tcW w:type="dxa" w:w="1176"/>
            <w:vAlign w:val="center"/>
          </w:tcPr>
          <w:p>
            <w:pPr>
              <w:spacing w:line="240" w:lineRule="auto"/>
              <w:ind w:firstLine="0"/>
            </w:pPr>
            <w:r>
              <w:rPr>
                <w:sz w:val="16"/>
              </w:rPr>
              <w:t>80</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37,50</w:t>
            </w:r>
          </w:p>
        </w:tc>
        <w:tc>
          <w:tcPr>
            <w:tcW w:type="dxa" w:w="1176"/>
            <w:vAlign w:val="center"/>
          </w:tcPr>
          <w:p>
            <w:pPr>
              <w:spacing w:line="240" w:lineRule="auto"/>
              <w:ind w:firstLine="0"/>
            </w:pPr>
            <w:r>
              <w:rPr>
                <w:sz w:val="16"/>
              </w:rPr>
              <w:t>40</w:t>
            </w:r>
          </w:p>
        </w:tc>
        <w:tc>
          <w:tcPr>
            <w:tcW w:type="dxa" w:w="1176"/>
            <w:vAlign w:val="center"/>
          </w:tcPr>
          <w:p>
            <w:pPr>
              <w:spacing w:line="240" w:lineRule="auto"/>
              <w:ind w:firstLine="0"/>
            </w:pPr>
            <w:r>
              <w:rPr>
                <w:sz w:val="16"/>
              </w:rPr>
              <w:t>80</w:t>
            </w:r>
          </w:p>
        </w:tc>
      </w:tr>
      <w:tr>
        <w:tc>
          <w:tcPr>
            <w:tcW w:type="dxa" w:w="1176"/>
            <w:vAlign w:val="center"/>
          </w:tcPr>
          <w:p>
            <w:pPr>
              <w:spacing w:line="240" w:lineRule="auto"/>
              <w:ind w:firstLine="0"/>
            </w:pPr>
            <w:r>
              <w:rPr>
                <w:sz w:val="16"/>
              </w:rPr>
              <w:t>Salinópolis — Presencial</w:t>
            </w:r>
          </w:p>
        </w:tc>
        <w:tc>
          <w:tcPr>
            <w:tcW w:type="dxa" w:w="1176"/>
            <w:vAlign w:val="center"/>
          </w:tcPr>
          <w:p>
            <w:pPr>
              <w:spacing w:line="240" w:lineRule="auto"/>
              <w:ind w:firstLine="0"/>
            </w:pPr>
            <w:r>
              <w:rPr>
                <w:sz w:val="16"/>
              </w:rPr>
              <w:t>1</w:t>
            </w:r>
          </w:p>
        </w:tc>
        <w:tc>
          <w:tcPr>
            <w:tcW w:type="dxa" w:w="1176"/>
            <w:vAlign w:val="center"/>
          </w:tcPr>
          <w:p>
            <w:pPr>
              <w:spacing w:line="240" w:lineRule="auto"/>
              <w:ind w:firstLine="0"/>
            </w:pPr>
            <w:r>
              <w:rPr>
                <w:sz w:val="16"/>
              </w:rPr>
              <w:t>13</w:t>
            </w:r>
          </w:p>
        </w:tc>
        <w:tc>
          <w:tcPr>
            <w:tcW w:type="dxa" w:w="1176"/>
            <w:vAlign w:val="center"/>
          </w:tcPr>
          <w:p>
            <w:pPr>
              <w:spacing w:line="240" w:lineRule="auto"/>
              <w:ind w:firstLine="0"/>
            </w:pPr>
            <w:r>
              <w:rPr>
                <w:sz w:val="16"/>
              </w:rPr>
              <w:t>92,31</w:t>
            </w:r>
          </w:p>
        </w:tc>
        <w:tc>
          <w:tcPr>
            <w:tcW w:type="dxa" w:w="1176"/>
            <w:vAlign w:val="center"/>
          </w:tcPr>
          <w:p>
            <w:pPr>
              <w:spacing w:line="240" w:lineRule="auto"/>
              <w:ind w:firstLine="0"/>
            </w:pPr>
            <w:r>
              <w:rPr>
                <w:sz w:val="16"/>
              </w:rPr>
              <w:t>15</w:t>
            </w:r>
          </w:p>
        </w:tc>
        <w:tc>
          <w:tcPr>
            <w:tcW w:type="dxa" w:w="1176"/>
            <w:vAlign w:val="center"/>
          </w:tcPr>
          <w:p>
            <w:pPr>
              <w:spacing w:line="240" w:lineRule="auto"/>
              <w:ind w:firstLine="0"/>
            </w:pPr>
            <w:r>
              <w:rPr>
                <w:sz w:val="16"/>
              </w:rPr>
              <w:t>60</w:t>
            </w:r>
          </w:p>
        </w:tc>
        <w:tc>
          <w:tcPr>
            <w:tcW w:type="dxa" w:w="1176"/>
            <w:vAlign w:val="center"/>
          </w:tcPr>
          <w:p>
            <w:pPr>
              <w:spacing w:line="240" w:lineRule="auto"/>
              <w:ind w:firstLine="0"/>
            </w:pPr>
            <w:r>
              <w:rPr>
                <w:sz w:val="16"/>
              </w:rPr>
              <w:t>15</w:t>
            </w:r>
          </w:p>
        </w:tc>
        <w:tc>
          <w:tcPr>
            <w:tcW w:type="dxa" w:w="1176"/>
            <w:vAlign w:val="center"/>
          </w:tcPr>
          <w:p>
            <w:pPr>
              <w:spacing w:line="240" w:lineRule="auto"/>
              <w:ind w:firstLine="0"/>
            </w:pPr>
            <w:r>
              <w:rPr>
                <w:sz w:val="16"/>
              </w:rPr>
              <w:t>86,67</w:t>
            </w:r>
          </w:p>
        </w:tc>
      </w:tr>
    </w:tbl>
    <w:p>
      <w:pPr>
        <w:pStyle w:val="Fonte"/>
      </w:pPr>
      <w:r>
        <w:t>Fonte: Elaboração própria; N válido indicado por item.</w:t>
      </w:r>
    </w:p>
    <w:p>
      <w:pPr>
        <w:ind w:firstLine="0"/>
        <w:jc w:val="center"/>
      </w:pPr>
      <w:r>
        <w:rPr>
          <w:b/>
          <w:sz w:val="20"/>
        </w:rPr>
        <w:t>Figura 10 – Conceito Enade e percepção de dificuldade</w:t>
      </w:r>
    </w:p>
    <w:p>
      <w:pPr>
        <w:ind w:firstLine="0"/>
        <w:jc w:val="center"/>
      </w:pPr>
      <w:r>
        <w:drawing>
          <wp:inline xmlns:a="http://schemas.openxmlformats.org/drawingml/2006/main" xmlns:pic="http://schemas.openxmlformats.org/drawingml/2006/picture">
            <wp:extent cx="5580000" cy="2947363"/>
            <wp:docPr id="10" name="Picture 10"/>
            <wp:cNvGraphicFramePr>
              <a:graphicFrameLocks noChangeAspect="1"/>
            </wp:cNvGraphicFramePr>
            <a:graphic>
              <a:graphicData uri="http://schemas.openxmlformats.org/drawingml/2006/picture">
                <pic:pic>
                  <pic:nvPicPr>
                    <pic:cNvPr id="0" name="validada_07_conceito_dificuldade.png"/>
                    <pic:cNvPicPr/>
                  </pic:nvPicPr>
                  <pic:blipFill>
                    <a:blip r:embed="rId20"/>
                    <a:stretch>
                      <a:fillRect/>
                    </a:stretch>
                  </pic:blipFill>
                  <pic:spPr>
                    <a:xfrm>
                      <a:off x="0" y="0"/>
                      <a:ext cx="5580000" cy="2947363"/>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compara a composição agregada de dificuldade entre ofertas com conceitos distintos.</w:t>
      </w:r>
    </w:p>
    <w:p>
      <w:r>
        <w:t>Limitação: Com apenas cinco ofertas da UFPA, não se estima correlação interna robusta.</w:t>
      </w:r>
    </w:p>
    <w:p>
      <w:pPr>
        <w:ind w:firstLine="0"/>
        <w:jc w:val="center"/>
      </w:pPr>
      <w:r>
        <w:rPr>
          <w:b/>
          <w:sz w:val="20"/>
        </w:rPr>
        <w:t>Figura 11 – Recomendação do curso</w:t>
      </w:r>
    </w:p>
    <w:p>
      <w:pPr>
        <w:ind w:firstLine="0"/>
        <w:jc w:val="center"/>
      </w:pPr>
      <w:r>
        <w:drawing>
          <wp:inline xmlns:a="http://schemas.openxmlformats.org/drawingml/2006/main" xmlns:pic="http://schemas.openxmlformats.org/drawingml/2006/picture">
            <wp:extent cx="5580000" cy="3284540"/>
            <wp:docPr id="11" name="Picture 11"/>
            <wp:cNvGraphicFramePr>
              <a:graphicFrameLocks noChangeAspect="1"/>
            </wp:cNvGraphicFramePr>
            <a:graphic>
              <a:graphicData uri="http://schemas.openxmlformats.org/drawingml/2006/picture">
                <pic:pic>
                  <pic:nvPicPr>
                    <pic:cNvPr id="0" name="09_recomendacao_curso.png"/>
                    <pic:cNvPicPr/>
                  </pic:nvPicPr>
                  <pic:blipFill>
                    <a:blip r:embed="rId21"/>
                    <a:stretch>
                      <a:fillRect/>
                    </a:stretch>
                  </pic:blipFill>
                  <pic:spPr>
                    <a:xfrm>
                      <a:off x="0" y="0"/>
                      <a:ext cx="5580000" cy="328454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recomendação varia entre as ofertas e complementa os indicadores de desempenho.</w:t>
      </w:r>
    </w:p>
    <w:p>
      <w:r>
        <w:t>Limitação: Não constitui avaliação total da qualidade do curso.</w:t>
      </w:r>
    </w:p>
    <w:p>
      <w:pPr>
        <w:ind w:firstLine="0"/>
        <w:jc w:val="center"/>
      </w:pPr>
      <w:r>
        <w:rPr>
          <w:b/>
          <w:sz w:val="20"/>
        </w:rPr>
        <w:t>Figura 12 – Recomendação da instituição</w:t>
      </w:r>
    </w:p>
    <w:p>
      <w:pPr>
        <w:ind w:firstLine="0"/>
        <w:jc w:val="center"/>
      </w:pPr>
      <w:r>
        <w:drawing>
          <wp:inline xmlns:a="http://schemas.openxmlformats.org/drawingml/2006/main" xmlns:pic="http://schemas.openxmlformats.org/drawingml/2006/picture">
            <wp:extent cx="5580000" cy="3284540"/>
            <wp:docPr id="12" name="Picture 12"/>
            <wp:cNvGraphicFramePr>
              <a:graphicFrameLocks noChangeAspect="1"/>
            </wp:cNvGraphicFramePr>
            <a:graphic>
              <a:graphicData uri="http://schemas.openxmlformats.org/drawingml/2006/picture">
                <pic:pic>
                  <pic:nvPicPr>
                    <pic:cNvPr id="0" name="10_recomendacao_instituicao.png"/>
                    <pic:cNvPicPr/>
                  </pic:nvPicPr>
                  <pic:blipFill>
                    <a:blip r:embed="rId22"/>
                    <a:stretch>
                      <a:fillRect/>
                    </a:stretch>
                  </pic:blipFill>
                  <pic:spPr>
                    <a:xfrm>
                      <a:off x="0" y="0"/>
                      <a:ext cx="5580000" cy="3284540"/>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O indicador contextualiza a relação dos concluintes com a instituição.</w:t>
      </w:r>
    </w:p>
    <w:p>
      <w:r>
        <w:t>Limitação: A escala deve ser interpretada conforme o rótulo oficial do questionário.</w:t>
      </w:r>
    </w:p>
    <w:p>
      <w:pPr>
        <w:pStyle w:val="Heading2"/>
      </w:pPr>
      <w:r>
        <w:t>5.6 Benchmark comparável</w:t>
      </w:r>
    </w:p>
    <w:p>
      <w:r>
        <w:t>Os benchmarks amplos oferecem posição territorial; os comparáveis restringem modalidade, categoria, organização acadêmica e porte. A sensibilidade mostra que a magnitude do contraste depende do critério, embora a direção possa permanecer estável. Conjuntos com poucos cursos comparáveis são apresentados como evidência descritiva.</w:t>
      </w:r>
    </w:p>
    <w:p>
      <w:pPr>
        <w:ind w:firstLine="0"/>
      </w:pPr>
      <w:r>
        <w:rPr>
          <w:b/>
          <w:sz w:val="20"/>
        </w:rPr>
        <w:t>Tabela 7 – Comparação territorial validada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Referência</w:t>
            </w:r>
          </w:p>
        </w:tc>
        <w:tc>
          <w:tcPr>
            <w:tcW w:type="dxa" w:w="1344"/>
            <w:vAlign w:val="center"/>
          </w:tcPr>
          <w:p>
            <w:pPr>
              <w:jc w:val="center"/>
            </w:pPr>
            <w:r>
              <w:rPr>
                <w:b/>
                <w:sz w:val="16"/>
              </w:rPr>
              <w:t>N cursos</w:t>
            </w:r>
          </w:p>
        </w:tc>
        <w:tc>
          <w:tcPr>
            <w:tcW w:type="dxa" w:w="1344"/>
            <w:vAlign w:val="center"/>
          </w:tcPr>
          <w:p>
            <w:pPr>
              <w:jc w:val="center"/>
            </w:pPr>
            <w:r>
              <w:rPr>
                <w:b/>
                <w:sz w:val="16"/>
              </w:rPr>
              <w:t>Média dos cursos</w:t>
            </w:r>
          </w:p>
        </w:tc>
        <w:tc>
          <w:tcPr>
            <w:tcW w:type="dxa" w:w="1344"/>
            <w:vAlign w:val="center"/>
          </w:tcPr>
          <w:p>
            <w:pPr>
              <w:jc w:val="center"/>
            </w:pPr>
            <w:r>
              <w:rPr>
                <w:b/>
                <w:sz w:val="16"/>
              </w:rPr>
              <w:t>Mediana dos cursos</w:t>
            </w:r>
          </w:p>
        </w:tc>
        <w:tc>
          <w:tcPr>
            <w:tcW w:type="dxa" w:w="1344"/>
            <w:vAlign w:val="center"/>
          </w:tcPr>
          <w:p>
            <w:pPr>
              <w:jc w:val="center"/>
            </w:pPr>
            <w:r>
              <w:rPr>
                <w:b/>
                <w:sz w:val="16"/>
              </w:rPr>
              <w:t>Média ponderada</w:t>
            </w:r>
          </w:p>
        </w:tc>
        <w:tc>
          <w:tcPr>
            <w:tcW w:type="dxa" w:w="1344"/>
            <w:vAlign w:val="center"/>
          </w:tcPr>
          <w:p>
            <w:pPr>
              <w:jc w:val="center"/>
            </w:pPr>
            <w:r>
              <w:rPr>
                <w:b/>
                <w:sz w:val="16"/>
              </w:rPr>
              <w:t>P25</w:t>
            </w:r>
          </w:p>
        </w:tc>
        <w:tc>
          <w:tcPr>
            <w:tcW w:type="dxa" w:w="1344"/>
            <w:vAlign w:val="center"/>
          </w:tcPr>
          <w:p>
            <w:pPr>
              <w:jc w:val="center"/>
            </w:pPr>
            <w:r>
              <w:rPr>
                <w:b/>
                <w:sz w:val="16"/>
              </w:rPr>
              <w:t>P75</w:t>
            </w:r>
          </w:p>
        </w:tc>
      </w:tr>
      <w:tr>
        <w:tc>
          <w:tcPr>
            <w:tcW w:type="dxa" w:w="1344"/>
            <w:vAlign w:val="center"/>
          </w:tcPr>
          <w:p>
            <w:pPr>
              <w:spacing w:line="240" w:lineRule="auto"/>
              <w:ind w:firstLine="0"/>
            </w:pPr>
            <w:r>
              <w:rPr>
                <w:sz w:val="16"/>
              </w:rPr>
              <w:t>UFPA agregada</w:t>
            </w:r>
          </w:p>
        </w:tc>
        <w:tc>
          <w:tcPr>
            <w:tcW w:type="dxa" w:w="1344"/>
            <w:vAlign w:val="center"/>
          </w:tcPr>
          <w:p>
            <w:pPr>
              <w:spacing w:line="240" w:lineRule="auto"/>
              <w:ind w:firstLine="0"/>
            </w:pPr>
            <w:r>
              <w:rPr>
                <w:sz w:val="16"/>
              </w:rPr>
              <w:t>5</w:t>
            </w:r>
          </w:p>
        </w:tc>
        <w:tc>
          <w:tcPr>
            <w:tcW w:type="dxa" w:w="1344"/>
            <w:vAlign w:val="center"/>
          </w:tcPr>
          <w:p>
            <w:pPr>
              <w:spacing w:line="240" w:lineRule="auto"/>
              <w:ind w:firstLine="0"/>
            </w:pPr>
            <w:r>
              <w:rPr>
                <w:sz w:val="16"/>
              </w:rPr>
              <w:t>41,72</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42,15</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42,47</w:t>
            </w:r>
          </w:p>
        </w:tc>
      </w:tr>
      <w:tr>
        <w:tc>
          <w:tcPr>
            <w:tcW w:type="dxa" w:w="1344"/>
            <w:vAlign w:val="center"/>
          </w:tcPr>
          <w:p>
            <w:pPr>
              <w:spacing w:line="240" w:lineRule="auto"/>
              <w:ind w:firstLine="0"/>
            </w:pPr>
            <w:r>
              <w:rPr>
                <w:sz w:val="16"/>
              </w:rPr>
              <w:t>Outras IES do Pará</w:t>
            </w:r>
          </w:p>
        </w:tc>
        <w:tc>
          <w:tcPr>
            <w:tcW w:type="dxa" w:w="1344"/>
            <w:vAlign w:val="center"/>
          </w:tcPr>
          <w:p>
            <w:pPr>
              <w:spacing w:line="240" w:lineRule="auto"/>
              <w:ind w:firstLine="0"/>
            </w:pPr>
            <w:r>
              <w:rPr>
                <w:sz w:val="16"/>
              </w:rPr>
              <w:t>3</w:t>
            </w:r>
          </w:p>
        </w:tc>
        <w:tc>
          <w:tcPr>
            <w:tcW w:type="dxa" w:w="1344"/>
            <w:vAlign w:val="center"/>
          </w:tcPr>
          <w:p>
            <w:pPr>
              <w:spacing w:line="240" w:lineRule="auto"/>
              <w:ind w:firstLine="0"/>
            </w:pPr>
            <w:r>
              <w:rPr>
                <w:sz w:val="16"/>
              </w:rPr>
              <w:t>41,52</w:t>
            </w:r>
          </w:p>
        </w:tc>
        <w:tc>
          <w:tcPr>
            <w:tcW w:type="dxa" w:w="1344"/>
            <w:vAlign w:val="center"/>
          </w:tcPr>
          <w:p>
            <w:pPr>
              <w:spacing w:line="240" w:lineRule="auto"/>
              <w:ind w:firstLine="0"/>
            </w:pPr>
            <w:r>
              <w:rPr>
                <w:sz w:val="16"/>
              </w:rPr>
              <w:t>41,42</w:t>
            </w:r>
          </w:p>
        </w:tc>
        <w:tc>
          <w:tcPr>
            <w:tcW w:type="dxa" w:w="1344"/>
            <w:vAlign w:val="center"/>
          </w:tcPr>
          <w:p>
            <w:pPr>
              <w:spacing w:line="240" w:lineRule="auto"/>
              <w:ind w:firstLine="0"/>
            </w:pPr>
            <w:r>
              <w:rPr>
                <w:sz w:val="16"/>
              </w:rPr>
              <w:t>41,52</w:t>
            </w:r>
          </w:p>
        </w:tc>
        <w:tc>
          <w:tcPr>
            <w:tcW w:type="dxa" w:w="1344"/>
            <w:vAlign w:val="center"/>
          </w:tcPr>
          <w:p>
            <w:pPr>
              <w:spacing w:line="240" w:lineRule="auto"/>
              <w:ind w:firstLine="0"/>
            </w:pPr>
            <w:r>
              <w:rPr>
                <w:sz w:val="16"/>
              </w:rPr>
              <w:t>40,26</w:t>
            </w:r>
          </w:p>
        </w:tc>
        <w:tc>
          <w:tcPr>
            <w:tcW w:type="dxa" w:w="1344"/>
            <w:vAlign w:val="center"/>
          </w:tcPr>
          <w:p>
            <w:pPr>
              <w:spacing w:line="240" w:lineRule="auto"/>
              <w:ind w:firstLine="0"/>
            </w:pPr>
            <w:r>
              <w:rPr>
                <w:sz w:val="16"/>
              </w:rPr>
              <w:t>42,73</w:t>
            </w:r>
          </w:p>
        </w:tc>
      </w:tr>
      <w:tr>
        <w:tc>
          <w:tcPr>
            <w:tcW w:type="dxa" w:w="1344"/>
            <w:vAlign w:val="center"/>
          </w:tcPr>
          <w:p>
            <w:pPr>
              <w:spacing w:line="240" w:lineRule="auto"/>
              <w:ind w:firstLine="0"/>
            </w:pPr>
            <w:r>
              <w:rPr>
                <w:sz w:val="16"/>
              </w:rPr>
              <w:t>Região Norte completa</w:t>
            </w:r>
          </w:p>
        </w:tc>
        <w:tc>
          <w:tcPr>
            <w:tcW w:type="dxa" w:w="1344"/>
            <w:vAlign w:val="center"/>
          </w:tcPr>
          <w:p>
            <w:pPr>
              <w:spacing w:line="240" w:lineRule="auto"/>
              <w:ind w:firstLine="0"/>
            </w:pPr>
            <w:r>
              <w:rPr>
                <w:sz w:val="16"/>
              </w:rPr>
              <w:t>25</w:t>
            </w:r>
          </w:p>
        </w:tc>
        <w:tc>
          <w:tcPr>
            <w:tcW w:type="dxa" w:w="1344"/>
            <w:vAlign w:val="center"/>
          </w:tcPr>
          <w:p>
            <w:pPr>
              <w:spacing w:line="240" w:lineRule="auto"/>
              <w:ind w:firstLine="0"/>
            </w:pPr>
            <w:r>
              <w:rPr>
                <w:sz w:val="16"/>
              </w:rPr>
              <w:t>43,97</w:t>
            </w:r>
          </w:p>
        </w:tc>
        <w:tc>
          <w:tcPr>
            <w:tcW w:type="dxa" w:w="1344"/>
            <w:vAlign w:val="center"/>
          </w:tcPr>
          <w:p>
            <w:pPr>
              <w:spacing w:line="240" w:lineRule="auto"/>
              <w:ind w:firstLine="0"/>
            </w:pPr>
            <w:r>
              <w:rPr>
                <w:sz w:val="16"/>
              </w:rPr>
              <w:t>44,05</w:t>
            </w:r>
          </w:p>
        </w:tc>
        <w:tc>
          <w:tcPr>
            <w:tcW w:type="dxa" w:w="1344"/>
            <w:vAlign w:val="center"/>
          </w:tcPr>
          <w:p>
            <w:pPr>
              <w:spacing w:line="240" w:lineRule="auto"/>
              <w:ind w:firstLine="0"/>
            </w:pPr>
            <w:r>
              <w:rPr>
                <w:sz w:val="16"/>
              </w:rPr>
              <w:t>42,96</w:t>
            </w:r>
          </w:p>
        </w:tc>
        <w:tc>
          <w:tcPr>
            <w:tcW w:type="dxa" w:w="1344"/>
            <w:vAlign w:val="center"/>
          </w:tcPr>
          <w:p>
            <w:pPr>
              <w:spacing w:line="240" w:lineRule="auto"/>
              <w:ind w:firstLine="0"/>
            </w:pPr>
            <w:r>
              <w:rPr>
                <w:sz w:val="16"/>
              </w:rPr>
              <w:t>39,10</w:t>
            </w:r>
          </w:p>
        </w:tc>
        <w:tc>
          <w:tcPr>
            <w:tcW w:type="dxa" w:w="1344"/>
            <w:vAlign w:val="center"/>
          </w:tcPr>
          <w:p>
            <w:pPr>
              <w:spacing w:line="240" w:lineRule="auto"/>
              <w:ind w:firstLine="0"/>
            </w:pPr>
            <w:r>
              <w:rPr>
                <w:sz w:val="16"/>
              </w:rPr>
              <w:t>49,11</w:t>
            </w:r>
          </w:p>
        </w:tc>
      </w:tr>
      <w:tr>
        <w:tc>
          <w:tcPr>
            <w:tcW w:type="dxa" w:w="1344"/>
            <w:vAlign w:val="center"/>
          </w:tcPr>
          <w:p>
            <w:pPr>
              <w:spacing w:line="240" w:lineRule="auto"/>
              <w:ind w:firstLine="0"/>
            </w:pPr>
            <w:r>
              <w:rPr>
                <w:sz w:val="16"/>
              </w:rPr>
              <w:t>Brasil completo</w:t>
            </w:r>
          </w:p>
        </w:tc>
        <w:tc>
          <w:tcPr>
            <w:tcW w:type="dxa" w:w="1344"/>
            <w:vAlign w:val="center"/>
          </w:tcPr>
          <w:p>
            <w:pPr>
              <w:spacing w:line="240" w:lineRule="auto"/>
              <w:ind w:firstLine="0"/>
            </w:pPr>
            <w:r>
              <w:rPr>
                <w:sz w:val="16"/>
              </w:rPr>
              <w:t>237</w:t>
            </w:r>
          </w:p>
        </w:tc>
        <w:tc>
          <w:tcPr>
            <w:tcW w:type="dxa" w:w="1344"/>
            <w:vAlign w:val="center"/>
          </w:tcPr>
          <w:p>
            <w:pPr>
              <w:spacing w:line="240" w:lineRule="auto"/>
              <w:ind w:firstLine="0"/>
            </w:pPr>
            <w:r>
              <w:rPr>
                <w:sz w:val="16"/>
              </w:rPr>
              <w:t>52,96</w:t>
            </w:r>
          </w:p>
        </w:tc>
        <w:tc>
          <w:tcPr>
            <w:tcW w:type="dxa" w:w="1344"/>
            <w:vAlign w:val="center"/>
          </w:tcPr>
          <w:p>
            <w:pPr>
              <w:spacing w:line="240" w:lineRule="auto"/>
              <w:ind w:firstLine="0"/>
            </w:pPr>
            <w:r>
              <w:rPr>
                <w:sz w:val="16"/>
              </w:rPr>
              <w:t>53,04</w:t>
            </w:r>
          </w:p>
        </w:tc>
        <w:tc>
          <w:tcPr>
            <w:tcW w:type="dxa" w:w="1344"/>
            <w:vAlign w:val="center"/>
          </w:tcPr>
          <w:p>
            <w:pPr>
              <w:spacing w:line="240" w:lineRule="auto"/>
              <w:ind w:firstLine="0"/>
            </w:pPr>
            <w:r>
              <w:rPr>
                <w:sz w:val="16"/>
              </w:rPr>
              <w:t>52,45</w:t>
            </w:r>
          </w:p>
        </w:tc>
        <w:tc>
          <w:tcPr>
            <w:tcW w:type="dxa" w:w="1344"/>
            <w:vAlign w:val="center"/>
          </w:tcPr>
          <w:p>
            <w:pPr>
              <w:spacing w:line="240" w:lineRule="auto"/>
              <w:ind w:firstLine="0"/>
            </w:pPr>
            <w:r>
              <w:rPr>
                <w:sz w:val="16"/>
              </w:rPr>
              <w:t>46,15</w:t>
            </w:r>
          </w:p>
        </w:tc>
        <w:tc>
          <w:tcPr>
            <w:tcW w:type="dxa" w:w="1344"/>
            <w:vAlign w:val="center"/>
          </w:tcPr>
          <w:p>
            <w:pPr>
              <w:spacing w:line="240" w:lineRule="auto"/>
              <w:ind w:firstLine="0"/>
            </w:pPr>
            <w:r>
              <w:rPr>
                <w:sz w:val="16"/>
              </w:rPr>
              <w:t>59,48</w:t>
            </w:r>
          </w:p>
        </w:tc>
      </w:tr>
    </w:tbl>
    <w:p>
      <w:pPr>
        <w:pStyle w:val="Fonte"/>
      </w:pPr>
      <w:r>
        <w:t>Fonte: Elaboração própria; médias no nível do curso, com versão ponderada por participantes.</w:t>
      </w:r>
    </w:p>
    <w:p>
      <w:pPr>
        <w:ind w:firstLine="0"/>
      </w:pPr>
      <w:r>
        <w:rPr>
          <w:b/>
          <w:sz w:val="20"/>
        </w:rPr>
        <w:t>Tabela 8 – Sensibilidade dos benchmarks comparáveis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Oferta</w:t>
            </w:r>
          </w:p>
        </w:tc>
        <w:tc>
          <w:tcPr>
            <w:tcW w:type="dxa" w:w="1344"/>
            <w:vAlign w:val="center"/>
          </w:tcPr>
          <w:p>
            <w:pPr>
              <w:jc w:val="center"/>
            </w:pPr>
            <w:r>
              <w:rPr>
                <w:b/>
                <w:sz w:val="16"/>
              </w:rPr>
              <w:t>Critério</w:t>
            </w:r>
          </w:p>
        </w:tc>
        <w:tc>
          <w:tcPr>
            <w:tcW w:type="dxa" w:w="1344"/>
            <w:vAlign w:val="center"/>
          </w:tcPr>
          <w:p>
            <w:pPr>
              <w:jc w:val="center"/>
            </w:pPr>
            <w:r>
              <w:rPr>
                <w:b/>
                <w:sz w:val="16"/>
              </w:rPr>
              <w:t>N comparáveis</w:t>
            </w:r>
          </w:p>
        </w:tc>
        <w:tc>
          <w:tcPr>
            <w:tcW w:type="dxa" w:w="1344"/>
            <w:vAlign w:val="center"/>
          </w:tcPr>
          <w:p>
            <w:pPr>
              <w:jc w:val="center"/>
            </w:pPr>
            <w:r>
              <w:rPr>
                <w:b/>
                <w:sz w:val="16"/>
              </w:rPr>
              <w:t>NT_GER oferta</w:t>
            </w:r>
          </w:p>
        </w:tc>
        <w:tc>
          <w:tcPr>
            <w:tcW w:type="dxa" w:w="1344"/>
            <w:vAlign w:val="center"/>
          </w:tcPr>
          <w:p>
            <w:pPr>
              <w:jc w:val="center"/>
            </w:pPr>
            <w:r>
              <w:rPr>
                <w:b/>
                <w:sz w:val="16"/>
              </w:rPr>
              <w:t>Média comparáveis</w:t>
            </w:r>
          </w:p>
        </w:tc>
        <w:tc>
          <w:tcPr>
            <w:tcW w:type="dxa" w:w="1344"/>
            <w:vAlign w:val="center"/>
          </w:tcPr>
          <w:p>
            <w:pPr>
              <w:jc w:val="center"/>
            </w:pPr>
            <w:r>
              <w:rPr>
                <w:b/>
                <w:sz w:val="16"/>
              </w:rPr>
              <w:t>Diferença</w:t>
            </w:r>
          </w:p>
        </w:tc>
        <w:tc>
          <w:tcPr>
            <w:tcW w:type="dxa" w:w="1344"/>
            <w:vAlign w:val="center"/>
          </w:tcPr>
          <w:p>
            <w:pPr>
              <w:jc w:val="center"/>
            </w:pPr>
            <w:r>
              <w:rPr>
                <w:b/>
                <w:sz w:val="16"/>
              </w:rPr>
              <w:t>Percentil no conjunto</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4</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57,33</w:t>
            </w:r>
          </w:p>
        </w:tc>
        <w:tc>
          <w:tcPr>
            <w:tcW w:type="dxa" w:w="1344"/>
            <w:vAlign w:val="center"/>
          </w:tcPr>
          <w:p>
            <w:pPr>
              <w:spacing w:line="240" w:lineRule="auto"/>
              <w:ind w:firstLine="0"/>
            </w:pPr>
            <w:r>
              <w:rPr>
                <w:sz w:val="16"/>
              </w:rPr>
              <w:t>-18,88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19</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56,14</w:t>
            </w:r>
          </w:p>
        </w:tc>
        <w:tc>
          <w:tcPr>
            <w:tcW w:type="dxa" w:w="1344"/>
            <w:vAlign w:val="center"/>
          </w:tcPr>
          <w:p>
            <w:pPr>
              <w:spacing w:line="240" w:lineRule="auto"/>
              <w:ind w:firstLine="0"/>
            </w:pPr>
            <w:r>
              <w:rPr>
                <w:sz w:val="16"/>
              </w:rPr>
              <w:t>-17,69</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10</w:t>
            </w:r>
          </w:p>
        </w:tc>
        <w:tc>
          <w:tcPr>
            <w:tcW w:type="dxa" w:w="1344"/>
            <w:vAlign w:val="center"/>
          </w:tcPr>
          <w:p>
            <w:pPr>
              <w:spacing w:line="240" w:lineRule="auto"/>
              <w:ind w:firstLine="0"/>
            </w:pPr>
            <w:r>
              <w:rPr>
                <w:sz w:val="16"/>
              </w:rPr>
              <w:t>38,45</w:t>
            </w:r>
          </w:p>
        </w:tc>
        <w:tc>
          <w:tcPr>
            <w:tcW w:type="dxa" w:w="1344"/>
            <w:vAlign w:val="center"/>
          </w:tcPr>
          <w:p>
            <w:pPr>
              <w:spacing w:line="240" w:lineRule="auto"/>
              <w:ind w:firstLine="0"/>
            </w:pPr>
            <w:r>
              <w:rPr>
                <w:sz w:val="16"/>
              </w:rPr>
              <w:t>54,36</w:t>
            </w:r>
          </w:p>
        </w:tc>
        <w:tc>
          <w:tcPr>
            <w:tcW w:type="dxa" w:w="1344"/>
            <w:vAlign w:val="center"/>
          </w:tcPr>
          <w:p>
            <w:pPr>
              <w:spacing w:line="240" w:lineRule="auto"/>
              <w:ind w:firstLine="0"/>
            </w:pPr>
            <w:r>
              <w:rPr>
                <w:sz w:val="16"/>
              </w:rPr>
              <w:t>-15,91</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0</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w:t>
            </w:r>
          </w:p>
        </w:tc>
        <w:tc>
          <w:tcPr>
            <w:tcW w:type="dxa" w:w="1344"/>
            <w:vAlign w:val="center"/>
          </w:tcPr>
          <w:p>
            <w:pPr>
              <w:spacing w:line="240" w:lineRule="auto"/>
              <w:ind w:firstLine="0"/>
            </w:pPr>
            <w:r>
              <w:rPr>
                <w:sz w:val="16"/>
              </w:rPr>
              <w:t>-</w:t>
            </w:r>
          </w:p>
        </w:tc>
        <w:tc>
          <w:tcPr>
            <w:tcW w:type="dxa" w:w="1344"/>
            <w:vAlign w:val="center"/>
          </w:tcPr>
          <w:p>
            <w:pPr>
              <w:spacing w:line="240" w:lineRule="auto"/>
              <w:ind w:firstLine="0"/>
            </w:pPr>
            <w:r>
              <w:rPr>
                <w:sz w:val="16"/>
              </w:rPr>
              <w:t>-</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4</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43,44</w:t>
            </w:r>
          </w:p>
        </w:tc>
        <w:tc>
          <w:tcPr>
            <w:tcW w:type="dxa" w:w="1344"/>
            <w:vAlign w:val="center"/>
          </w:tcPr>
          <w:p>
            <w:pPr>
              <w:spacing w:line="240" w:lineRule="auto"/>
              <w:ind w:firstLine="0"/>
            </w:pPr>
            <w:r>
              <w:rPr>
                <w:sz w:val="16"/>
              </w:rPr>
              <w:t>-12,53</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30,91</w:t>
            </w:r>
          </w:p>
        </w:tc>
        <w:tc>
          <w:tcPr>
            <w:tcW w:type="dxa" w:w="1344"/>
            <w:vAlign w:val="center"/>
          </w:tcPr>
          <w:p>
            <w:pPr>
              <w:spacing w:line="240" w:lineRule="auto"/>
              <w:ind w:firstLine="0"/>
            </w:pPr>
            <w:r>
              <w:rPr>
                <w:sz w:val="16"/>
              </w:rPr>
              <w:t>32,89</w:t>
            </w:r>
          </w:p>
        </w:tc>
        <w:tc>
          <w:tcPr>
            <w:tcW w:type="dxa" w:w="1344"/>
            <w:vAlign w:val="center"/>
          </w:tcPr>
          <w:p>
            <w:pPr>
              <w:spacing w:line="240" w:lineRule="auto"/>
              <w:ind w:firstLine="0"/>
            </w:pPr>
            <w:r>
              <w:rPr>
                <w:sz w:val="16"/>
              </w:rPr>
              <w:t>-1,98</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21</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59,09</w:t>
            </w:r>
          </w:p>
        </w:tc>
        <w:tc>
          <w:tcPr>
            <w:tcW w:type="dxa" w:w="1344"/>
            <w:vAlign w:val="center"/>
          </w:tcPr>
          <w:p>
            <w:pPr>
              <w:spacing w:line="240" w:lineRule="auto"/>
              <w:ind w:firstLine="0"/>
            </w:pPr>
            <w:r>
              <w:rPr>
                <w:sz w:val="16"/>
              </w:rPr>
              <w:t>-16,76</w:t>
            </w:r>
          </w:p>
        </w:tc>
        <w:tc>
          <w:tcPr>
            <w:tcW w:type="dxa" w:w="1344"/>
            <w:vAlign w:val="center"/>
          </w:tcPr>
          <w:p>
            <w:pPr>
              <w:spacing w:line="240" w:lineRule="auto"/>
              <w:ind w:firstLine="0"/>
            </w:pPr>
            <w:r>
              <w:rPr>
                <w:sz w:val="16"/>
              </w:rPr>
              <w:t>0</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35</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56,89</w:t>
            </w:r>
          </w:p>
        </w:tc>
        <w:tc>
          <w:tcPr>
            <w:tcW w:type="dxa" w:w="1344"/>
            <w:vAlign w:val="center"/>
          </w:tcPr>
          <w:p>
            <w:pPr>
              <w:spacing w:line="240" w:lineRule="auto"/>
              <w:ind w:firstLine="0"/>
            </w:pPr>
            <w:r>
              <w:rPr>
                <w:sz w:val="16"/>
              </w:rPr>
              <w:t>-14,56</w:t>
            </w:r>
          </w:p>
        </w:tc>
        <w:tc>
          <w:tcPr>
            <w:tcW w:type="dxa" w:w="1344"/>
            <w:vAlign w:val="center"/>
          </w:tcPr>
          <w:p>
            <w:pPr>
              <w:spacing w:line="240" w:lineRule="auto"/>
              <w:ind w:firstLine="0"/>
            </w:pPr>
            <w:r>
              <w:rPr>
                <w:sz w:val="16"/>
              </w:rPr>
              <w:t>5,71</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36</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57,07</w:t>
            </w:r>
          </w:p>
        </w:tc>
        <w:tc>
          <w:tcPr>
            <w:tcW w:type="dxa" w:w="1344"/>
            <w:vAlign w:val="center"/>
          </w:tcPr>
          <w:p>
            <w:pPr>
              <w:spacing w:line="240" w:lineRule="auto"/>
              <w:ind w:firstLine="0"/>
            </w:pPr>
            <w:r>
              <w:rPr>
                <w:sz w:val="16"/>
              </w:rPr>
              <w:t>-14,74</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19</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56,14</w:t>
            </w:r>
          </w:p>
        </w:tc>
        <w:tc>
          <w:tcPr>
            <w:tcW w:type="dxa" w:w="1344"/>
            <w:vAlign w:val="center"/>
          </w:tcPr>
          <w:p>
            <w:pPr>
              <w:spacing w:line="240" w:lineRule="auto"/>
              <w:ind w:firstLine="0"/>
            </w:pPr>
            <w:r>
              <w:rPr>
                <w:sz w:val="16"/>
              </w:rPr>
              <w:t>-13,80</w:t>
            </w:r>
          </w:p>
        </w:tc>
        <w:tc>
          <w:tcPr>
            <w:tcW w:type="dxa" w:w="1344"/>
            <w:vAlign w:val="center"/>
          </w:tcPr>
          <w:p>
            <w:pPr>
              <w:spacing w:line="240" w:lineRule="auto"/>
              <w:ind w:firstLine="0"/>
            </w:pPr>
            <w:r>
              <w:rPr>
                <w:sz w:val="16"/>
              </w:rPr>
              <w:t>5,26</w:t>
            </w:r>
          </w:p>
        </w:tc>
      </w:tr>
      <w:tr>
        <w:tc>
          <w:tcPr>
            <w:tcW w:type="dxa" w:w="1344"/>
            <w:vAlign w:val="center"/>
          </w:tcPr>
          <w:p>
            <w:pPr>
              <w:spacing w:line="240" w:lineRule="auto"/>
              <w:ind w:firstLine="0"/>
            </w:pPr>
            <w:r>
              <w:rPr>
                <w:sz w:val="16"/>
              </w:rPr>
              <w:t>Ananindeua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36</w:t>
            </w:r>
          </w:p>
        </w:tc>
        <w:tc>
          <w:tcPr>
            <w:tcW w:type="dxa" w:w="1344"/>
            <w:vAlign w:val="center"/>
          </w:tcPr>
          <w:p>
            <w:pPr>
              <w:spacing w:line="240" w:lineRule="auto"/>
              <w:ind w:firstLine="0"/>
            </w:pPr>
            <w:r>
              <w:rPr>
                <w:sz w:val="16"/>
              </w:rPr>
              <w:t>42,33</w:t>
            </w:r>
          </w:p>
        </w:tc>
        <w:tc>
          <w:tcPr>
            <w:tcW w:type="dxa" w:w="1344"/>
            <w:vAlign w:val="center"/>
          </w:tcPr>
          <w:p>
            <w:pPr>
              <w:spacing w:line="240" w:lineRule="auto"/>
              <w:ind w:firstLine="0"/>
            </w:pPr>
            <w:r>
              <w:rPr>
                <w:sz w:val="16"/>
              </w:rPr>
              <w:t>57,07</w:t>
            </w:r>
          </w:p>
        </w:tc>
        <w:tc>
          <w:tcPr>
            <w:tcW w:type="dxa" w:w="1344"/>
            <w:vAlign w:val="center"/>
          </w:tcPr>
          <w:p>
            <w:pPr>
              <w:spacing w:line="240" w:lineRule="auto"/>
              <w:ind w:firstLine="0"/>
            </w:pPr>
            <w:r>
              <w:rPr>
                <w:sz w:val="16"/>
              </w:rPr>
              <w:t>-14,74</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porte_25pct</w:t>
            </w:r>
          </w:p>
        </w:tc>
        <w:tc>
          <w:tcPr>
            <w:tcW w:type="dxa" w:w="1344"/>
            <w:vAlign w:val="center"/>
          </w:tcPr>
          <w:p>
            <w:pPr>
              <w:spacing w:line="240" w:lineRule="auto"/>
              <w:ind w:firstLine="0"/>
            </w:pPr>
            <w:r>
              <w:rPr>
                <w:sz w:val="16"/>
              </w:rPr>
              <w:t>18</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58,49</w:t>
            </w:r>
          </w:p>
        </w:tc>
        <w:tc>
          <w:tcPr>
            <w:tcW w:type="dxa" w:w="1344"/>
            <w:vAlign w:val="center"/>
          </w:tcPr>
          <w:p>
            <w:pPr>
              <w:spacing w:line="240" w:lineRule="auto"/>
              <w:ind w:firstLine="0"/>
            </w:pPr>
            <w:r>
              <w:rPr>
                <w:sz w:val="16"/>
              </w:rPr>
              <w:t>-16,02</w:t>
            </w:r>
          </w:p>
        </w:tc>
        <w:tc>
          <w:tcPr>
            <w:tcW w:type="dxa" w:w="1344"/>
            <w:vAlign w:val="center"/>
          </w:tcPr>
          <w:p>
            <w:pPr>
              <w:spacing w:line="240" w:lineRule="auto"/>
              <w:ind w:firstLine="0"/>
            </w:pPr>
            <w:r>
              <w:rPr>
                <w:sz w:val="16"/>
              </w:rPr>
              <w:t>5,56</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porte_50pct</w:t>
            </w:r>
          </w:p>
        </w:tc>
        <w:tc>
          <w:tcPr>
            <w:tcW w:type="dxa" w:w="1344"/>
            <w:vAlign w:val="center"/>
          </w:tcPr>
          <w:p>
            <w:pPr>
              <w:spacing w:line="240" w:lineRule="auto"/>
              <w:ind w:firstLine="0"/>
            </w:pPr>
            <w:r>
              <w:rPr>
                <w:sz w:val="16"/>
              </w:rPr>
              <w:t>41</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57,79</w:t>
            </w:r>
          </w:p>
        </w:tc>
        <w:tc>
          <w:tcPr>
            <w:tcW w:type="dxa" w:w="1344"/>
            <w:vAlign w:val="center"/>
          </w:tcPr>
          <w:p>
            <w:pPr>
              <w:spacing w:line="240" w:lineRule="auto"/>
              <w:ind w:firstLine="0"/>
            </w:pPr>
            <w:r>
              <w:rPr>
                <w:sz w:val="16"/>
              </w:rPr>
              <w:t>-15,31</w:t>
            </w:r>
          </w:p>
        </w:tc>
        <w:tc>
          <w:tcPr>
            <w:tcW w:type="dxa" w:w="1344"/>
            <w:vAlign w:val="center"/>
          </w:tcPr>
          <w:p>
            <w:pPr>
              <w:spacing w:line="240" w:lineRule="auto"/>
              <w:ind w:firstLine="0"/>
            </w:pPr>
            <w:r>
              <w:rPr>
                <w:sz w:val="16"/>
              </w:rPr>
              <w:t>2,44</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porte_2x</w:t>
            </w:r>
          </w:p>
        </w:tc>
        <w:tc>
          <w:tcPr>
            <w:tcW w:type="dxa" w:w="1344"/>
            <w:vAlign w:val="center"/>
          </w:tcPr>
          <w:p>
            <w:pPr>
              <w:spacing w:line="240" w:lineRule="auto"/>
              <w:ind w:firstLine="0"/>
            </w:pPr>
            <w:r>
              <w:rPr>
                <w:sz w:val="16"/>
              </w:rPr>
              <w:t>45</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57,14</w:t>
            </w:r>
          </w:p>
        </w:tc>
        <w:tc>
          <w:tcPr>
            <w:tcW w:type="dxa" w:w="1344"/>
            <w:vAlign w:val="center"/>
          </w:tcPr>
          <w:p>
            <w:pPr>
              <w:spacing w:line="240" w:lineRule="auto"/>
              <w:ind w:firstLine="0"/>
            </w:pPr>
            <w:r>
              <w:rPr>
                <w:sz w:val="16"/>
              </w:rPr>
              <w:t>-14,67</w:t>
            </w:r>
          </w:p>
        </w:tc>
        <w:tc>
          <w:tcPr>
            <w:tcW w:type="dxa" w:w="1344"/>
            <w:vAlign w:val="center"/>
          </w:tcPr>
          <w:p>
            <w:pPr>
              <w:spacing w:line="240" w:lineRule="auto"/>
              <w:ind w:firstLine="0"/>
            </w:pPr>
            <w:r>
              <w:rPr>
                <w:sz w:val="16"/>
              </w:rPr>
              <w:t>4,44</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mesmo_quartil_porte</w:t>
            </w:r>
          </w:p>
        </w:tc>
        <w:tc>
          <w:tcPr>
            <w:tcW w:type="dxa" w:w="1344"/>
            <w:vAlign w:val="center"/>
          </w:tcPr>
          <w:p>
            <w:pPr>
              <w:spacing w:line="240" w:lineRule="auto"/>
              <w:ind w:firstLine="0"/>
            </w:pPr>
            <w:r>
              <w:rPr>
                <w:sz w:val="16"/>
              </w:rPr>
              <w:t>17</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58,73</w:t>
            </w:r>
          </w:p>
        </w:tc>
        <w:tc>
          <w:tcPr>
            <w:tcW w:type="dxa" w:w="1344"/>
            <w:vAlign w:val="center"/>
          </w:tcPr>
          <w:p>
            <w:pPr>
              <w:spacing w:line="240" w:lineRule="auto"/>
              <w:ind w:firstLine="0"/>
            </w:pPr>
            <w:r>
              <w:rPr>
                <w:sz w:val="16"/>
              </w:rPr>
              <w:t>-16,26</w:t>
            </w:r>
          </w:p>
        </w:tc>
        <w:tc>
          <w:tcPr>
            <w:tcW w:type="dxa" w:w="1344"/>
            <w:vAlign w:val="center"/>
          </w:tcPr>
          <w:p>
            <w:pPr>
              <w:spacing w:line="240" w:lineRule="auto"/>
              <w:ind w:firstLine="0"/>
            </w:pPr>
            <w:r>
              <w:rPr>
                <w:sz w:val="16"/>
              </w:rPr>
              <w:t>5,88</w:t>
            </w:r>
          </w:p>
        </w:tc>
      </w:tr>
      <w:tr>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universidades_federais</w:t>
            </w:r>
          </w:p>
        </w:tc>
        <w:tc>
          <w:tcPr>
            <w:tcW w:type="dxa" w:w="1344"/>
            <w:vAlign w:val="center"/>
          </w:tcPr>
          <w:p>
            <w:pPr>
              <w:spacing w:line="240" w:lineRule="auto"/>
              <w:ind w:firstLine="0"/>
            </w:pPr>
            <w:r>
              <w:rPr>
                <w:sz w:val="16"/>
              </w:rPr>
              <w:t>45</w:t>
            </w:r>
          </w:p>
        </w:tc>
        <w:tc>
          <w:tcPr>
            <w:tcW w:type="dxa" w:w="1344"/>
            <w:vAlign w:val="center"/>
          </w:tcPr>
          <w:p>
            <w:pPr>
              <w:spacing w:line="240" w:lineRule="auto"/>
              <w:ind w:firstLine="0"/>
            </w:pPr>
            <w:r>
              <w:rPr>
                <w:sz w:val="16"/>
              </w:rPr>
              <w:t>42,47</w:t>
            </w:r>
          </w:p>
        </w:tc>
        <w:tc>
          <w:tcPr>
            <w:tcW w:type="dxa" w:w="1344"/>
            <w:vAlign w:val="center"/>
          </w:tcPr>
          <w:p>
            <w:pPr>
              <w:spacing w:line="240" w:lineRule="auto"/>
              <w:ind w:firstLine="0"/>
            </w:pPr>
            <w:r>
              <w:rPr>
                <w:sz w:val="16"/>
              </w:rPr>
              <w:t>57,14</w:t>
            </w:r>
          </w:p>
        </w:tc>
        <w:tc>
          <w:tcPr>
            <w:tcW w:type="dxa" w:w="1344"/>
            <w:vAlign w:val="center"/>
          </w:tcPr>
          <w:p>
            <w:pPr>
              <w:spacing w:line="240" w:lineRule="auto"/>
              <w:ind w:firstLine="0"/>
            </w:pPr>
            <w:r>
              <w:rPr>
                <w:sz w:val="16"/>
              </w:rPr>
              <w:t>-14,67</w:t>
            </w:r>
          </w:p>
        </w:tc>
        <w:tc>
          <w:tcPr>
            <w:tcW w:type="dxa" w:w="1344"/>
            <w:vAlign w:val="center"/>
          </w:tcPr>
          <w:p>
            <w:pPr>
              <w:spacing w:line="240" w:lineRule="auto"/>
              <w:ind w:firstLine="0"/>
            </w:pPr>
            <w:r>
              <w:rPr>
                <w:sz w:val="16"/>
              </w:rPr>
              <w:t>4,44</w:t>
            </w:r>
          </w:p>
        </w:tc>
      </w:tr>
    </w:tbl>
    <w:p>
      <w:pPr>
        <w:pStyle w:val="Fonte"/>
      </w:pPr>
      <w:r>
        <w:t>Fonte: Elaboração própria; cada oferta da UFPA avaliada em quatro critérios.</w:t>
      </w:r>
    </w:p>
    <w:p>
      <w:pPr>
        <w:ind w:firstLine="0"/>
        <w:jc w:val="center"/>
      </w:pPr>
      <w:r>
        <w:rPr>
          <w:b/>
          <w:sz w:val="20"/>
        </w:rPr>
        <w:t>Figura 13 – Contraste com benchmark comparável</w:t>
      </w:r>
    </w:p>
    <w:p>
      <w:pPr>
        <w:ind w:firstLine="0"/>
        <w:jc w:val="center"/>
      </w:pPr>
      <w:r>
        <w:drawing>
          <wp:inline xmlns:a="http://schemas.openxmlformats.org/drawingml/2006/main" xmlns:pic="http://schemas.openxmlformats.org/drawingml/2006/picture">
            <wp:extent cx="5580000" cy="3180079"/>
            <wp:docPr id="13" name="Picture 13"/>
            <wp:cNvGraphicFramePr>
              <a:graphicFrameLocks noChangeAspect="1"/>
            </wp:cNvGraphicFramePr>
            <a:graphic>
              <a:graphicData uri="http://schemas.openxmlformats.org/drawingml/2006/picture">
                <pic:pic>
                  <pic:nvPicPr>
                    <pic:cNvPr id="0" name="12_benchmark_comparavel.png"/>
                    <pic:cNvPicPr/>
                  </pic:nvPicPr>
                  <pic:blipFill>
                    <a:blip r:embed="rId23"/>
                    <a:stretch>
                      <a:fillRect/>
                    </a:stretch>
                  </pic:blipFill>
                  <pic:spPr>
                    <a:xfrm>
                      <a:off x="0" y="0"/>
                      <a:ext cx="5580000" cy="3180079"/>
                    </a:xfrm>
                    <a:prstGeom prst="rect"/>
                  </pic:spPr>
                </pic:pic>
              </a:graphicData>
            </a:graphic>
          </wp:inline>
        </w:drawing>
      </w:r>
    </w:p>
    <w:p>
      <w:pPr>
        <w:pStyle w:val="Fonte"/>
        <w:jc w:val="left"/>
      </w:pPr>
      <w:r>
        <w:t>Fonte: Elaboração própria com base nos microdados do Enade das Licenciaturas 2025 e na planilha de Conceito Enade.</w:t>
      </w:r>
    </w:p>
    <w:p>
      <w:r>
        <w:t>Descrição e interpretação: A figura compara cada oferta com cursos estruturalmente semelhantes.</w:t>
      </w:r>
    </w:p>
    <w:p>
      <w:r>
        <w:t>Limitação: O resultado depende da disponibilidade de comparáveis e de características observadas.</w:t>
      </w:r>
    </w:p>
    <w:p>
      <w:pPr>
        <w:pStyle w:val="Heading2"/>
      </w:pPr>
      <w:r>
        <w:t>5.7 Associações ecológicas</w:t>
      </w:r>
    </w:p>
    <w:p>
      <w:r>
        <w:t>A associação ecológica de maior magnitude entre as combinações examinadas relacionou nt_ger_mean e renda_ate_3sm_pct (ρ=-0,39; N=237), classificada descritivamente como moderada e negativa. O coeficiente descreve cursos, não estudantes, pode ser sensível a outliers e não deve ser interpretado como efeito causal.</w:t>
      </w:r>
    </w:p>
    <w:p>
      <w:pPr>
        <w:ind w:firstLine="0"/>
      </w:pPr>
      <w:r>
        <w:rPr>
          <w:b/>
          <w:sz w:val="20"/>
        </w:rPr>
        <w:t>Tabela 9 – Associações ecológicas selecionadas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Desfecho</w:t>
            </w:r>
          </w:p>
        </w:tc>
        <w:tc>
          <w:tcPr>
            <w:tcW w:type="dxa" w:w="1567"/>
            <w:vAlign w:val="center"/>
          </w:tcPr>
          <w:p>
            <w:pPr>
              <w:jc w:val="center"/>
            </w:pPr>
            <w:r>
              <w:rPr>
                <w:b/>
                <w:sz w:val="16"/>
              </w:rPr>
              <w:t>Indicador agregado</w:t>
            </w:r>
          </w:p>
        </w:tc>
        <w:tc>
          <w:tcPr>
            <w:tcW w:type="dxa" w:w="1567"/>
            <w:vAlign w:val="center"/>
          </w:tcPr>
          <w:p>
            <w:pPr>
              <w:jc w:val="center"/>
            </w:pPr>
            <w:r>
              <w:rPr>
                <w:b/>
                <w:sz w:val="16"/>
              </w:rPr>
              <w:t>N cursos</w:t>
            </w:r>
          </w:p>
        </w:tc>
        <w:tc>
          <w:tcPr>
            <w:tcW w:type="dxa" w:w="1567"/>
            <w:vAlign w:val="center"/>
          </w:tcPr>
          <w:p>
            <w:pPr>
              <w:jc w:val="center"/>
            </w:pPr>
            <w:r>
              <w:rPr>
                <w:b/>
                <w:sz w:val="16"/>
              </w:rPr>
              <w:t>Spearman ρ</w:t>
            </w:r>
          </w:p>
        </w:tc>
        <w:tc>
          <w:tcPr>
            <w:tcW w:type="dxa" w:w="1567"/>
            <w:vAlign w:val="center"/>
          </w:tcPr>
          <w:p>
            <w:pPr>
              <w:jc w:val="center"/>
            </w:pPr>
            <w:r>
              <w:rPr>
                <w:b/>
                <w:sz w:val="16"/>
              </w:rPr>
              <w:t>p exploratório</w:t>
            </w:r>
          </w:p>
        </w:tc>
        <w:tc>
          <w:tcPr>
            <w:tcW w:type="dxa" w:w="1567"/>
            <w:vAlign w:val="center"/>
          </w:tcPr>
          <w:p>
            <w:pPr>
              <w:jc w:val="center"/>
            </w:pPr>
            <w:r>
              <w:rPr>
                <w:b/>
                <w:sz w:val="16"/>
              </w:rPr>
              <w:t>Interpretação</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renda_ate_3sm_pct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primeira_geracao_pct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-0,20</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qe_i68_nota_9_10_pct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-0,20</w:t>
            </w:r>
          </w:p>
        </w:tc>
        <w:tc>
          <w:tcPr>
            <w:tcW w:type="dxa" w:w="1567"/>
            <w:vAlign w:val="center"/>
          </w:tcPr>
          <w:p>
            <w:pPr>
              <w:spacing w:line="240" w:lineRule="auto"/>
              <w:ind w:firstLine="0"/>
            </w:pPr>
            <w:r>
              <w:rPr>
                <w:sz w:val="16"/>
              </w:rPr>
              <w:t>0,00</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235</w:t>
            </w:r>
          </w:p>
        </w:tc>
        <w:tc>
          <w:tcPr>
            <w:tcW w:type="dxa" w:w="1567"/>
            <w:vAlign w:val="center"/>
          </w:tcPr>
          <w:p>
            <w:pPr>
              <w:spacing w:line="240" w:lineRule="auto"/>
              <w:ind w:firstLine="0"/>
            </w:pPr>
            <w:r>
              <w:rPr>
                <w:sz w:val="16"/>
              </w:rPr>
              <w:t>-0,07</w:t>
            </w:r>
          </w:p>
        </w:tc>
        <w:tc>
          <w:tcPr>
            <w:tcW w:type="dxa" w:w="1567"/>
            <w:vAlign w:val="center"/>
          </w:tcPr>
          <w:p>
            <w:pPr>
              <w:spacing w:line="240" w:lineRule="auto"/>
              <w:ind w:firstLine="0"/>
            </w:pPr>
            <w:r>
              <w:rPr>
                <w:sz w:val="16"/>
              </w:rPr>
              <w:t>0,26</w:t>
            </w:r>
          </w:p>
        </w:tc>
        <w:tc>
          <w:tcPr>
            <w:tcW w:type="dxa" w:w="1567"/>
            <w:vAlign w:val="center"/>
          </w:tcPr>
          <w:p>
            <w:pPr>
              <w:spacing w:line="240" w:lineRule="auto"/>
              <w:ind w:firstLine="0"/>
            </w:pPr>
            <w:r>
              <w:rPr>
                <w:sz w:val="16"/>
              </w:rPr>
              <w:t>-</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auxilio_permanencia_pct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0,34</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taxa_presenca_microdados</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0,36</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nt_ger_mean</w:t>
            </w:r>
          </w:p>
        </w:tc>
        <w:tc>
          <w:tcPr>
            <w:tcW w:type="dxa" w:w="1567"/>
            <w:vAlign w:val="center"/>
          </w:tcPr>
          <w:p>
            <w:pPr>
              <w:spacing w:line="240" w:lineRule="auto"/>
              <w:ind w:firstLine="0"/>
            </w:pPr>
            <w:r>
              <w:rPr>
                <w:sz w:val="16"/>
              </w:rPr>
              <w:t>acao_afirmativa_pct</w:t>
            </w:r>
          </w:p>
        </w:tc>
        <w:tc>
          <w:tcPr>
            <w:tcW w:type="dxa" w:w="1567"/>
            <w:vAlign w:val="center"/>
          </w:tcPr>
          <w:p>
            <w:pPr>
              <w:spacing w:line="240" w:lineRule="auto"/>
              <w:ind w:firstLine="0"/>
            </w:pPr>
            <w:r>
              <w:rPr>
                <w:sz w:val="16"/>
              </w:rPr>
              <w:t>237</w:t>
            </w:r>
          </w:p>
        </w:tc>
        <w:tc>
          <w:tcPr>
            <w:tcW w:type="dxa" w:w="1567"/>
            <w:vAlign w:val="center"/>
          </w:tcPr>
          <w:p>
            <w:pPr>
              <w:spacing w:line="240" w:lineRule="auto"/>
              <w:ind w:firstLine="0"/>
            </w:pPr>
            <w:r>
              <w:rPr>
                <w:sz w:val="16"/>
              </w:rPr>
              <w:t>0,06</w:t>
            </w:r>
          </w:p>
        </w:tc>
        <w:tc>
          <w:tcPr>
            <w:tcW w:type="dxa" w:w="1567"/>
            <w:vAlign w:val="center"/>
          </w:tcPr>
          <w:p>
            <w:pPr>
              <w:spacing w:line="240" w:lineRule="auto"/>
              <w:ind w:firstLine="0"/>
            </w:pPr>
            <w:r>
              <w:rPr>
                <w:sz w:val="16"/>
              </w:rPr>
              <w:t>0,39</w:t>
            </w:r>
          </w:p>
        </w:tc>
        <w:tc>
          <w:tcPr>
            <w:tcW w:type="dxa" w:w="1567"/>
            <w:vAlign w:val="center"/>
          </w:tcPr>
          <w:p>
            <w:pPr>
              <w:spacing w:line="240" w:lineRule="auto"/>
              <w:ind w:firstLine="0"/>
            </w:pPr>
            <w:r>
              <w:rPr>
                <w:sz w:val="16"/>
              </w:rPr>
              <w:t>Associação ecológica; não representa relação individual</w:t>
            </w:r>
          </w:p>
        </w:tc>
      </w:tr>
      <w:tr>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w:t>
            </w:r>
          </w:p>
        </w:tc>
        <w:tc>
          <w:tcPr>
            <w:tcW w:type="dxa" w:w="1567"/>
            <w:vAlign w:val="center"/>
          </w:tcPr>
          <w:p>
            <w:pPr>
              <w:spacing w:line="240" w:lineRule="auto"/>
              <w:ind w:firstLine="0"/>
            </w:pPr>
            <w:r>
              <w:rPr>
                <w:sz w:val="16"/>
              </w:rPr>
              <w:t>235</w:t>
            </w:r>
          </w:p>
        </w:tc>
        <w:tc>
          <w:tcPr>
            <w:tcW w:type="dxa" w:w="1567"/>
            <w:vAlign w:val="center"/>
          </w:tcPr>
          <w:p>
            <w:pPr>
              <w:spacing w:line="240" w:lineRule="auto"/>
              <w:ind w:firstLine="0"/>
            </w:pPr>
            <w:r>
              <w:rPr>
                <w:sz w:val="16"/>
              </w:rPr>
              <w:t>-0,05</w:t>
            </w:r>
          </w:p>
        </w:tc>
        <w:tc>
          <w:tcPr>
            <w:tcW w:type="dxa" w:w="1567"/>
            <w:vAlign w:val="center"/>
          </w:tcPr>
          <w:p>
            <w:pPr>
              <w:spacing w:line="240" w:lineRule="auto"/>
              <w:ind w:firstLine="0"/>
            </w:pPr>
            <w:r>
              <w:rPr>
                <w:sz w:val="16"/>
              </w:rPr>
              <w:t>0,47</w:t>
            </w:r>
          </w:p>
        </w:tc>
        <w:tc>
          <w:tcPr>
            <w:tcW w:type="dxa" w:w="1567"/>
            <w:vAlign w:val="center"/>
          </w:tcPr>
          <w:p>
            <w:pPr>
              <w:spacing w:line="240" w:lineRule="auto"/>
              <w:ind w:firstLine="0"/>
            </w:pPr>
            <w:r>
              <w:rPr>
                <w:sz w:val="16"/>
              </w:rPr>
              <w:t>-</w:t>
            </w:r>
          </w:p>
        </w:tc>
      </w:tr>
    </w:tbl>
    <w:p>
      <w:pPr>
        <w:pStyle w:val="Fonte"/>
      </w:pPr>
      <w:r>
        <w:t>Fonte: Elaboração própria; Spearman no nível do curso; p-valores exploratórios.</w:t>
      </w:r>
    </w:p>
    <w:p>
      <w:pPr>
        <w:pStyle w:val="Heading1"/>
      </w:pPr>
      <w:r>
        <w:t>6 DISCUSSÃO</w:t>
      </w:r>
    </w:p>
    <w:p>
      <w:r>
        <w:t>O contraste interno mostra que Belém Presencial, de conceito superior, apresenta desempenho agregado mais elevado que as quatro ofertas conceito 1. Entretanto, as ofertas conceito 1 não constituem um bloco homogêneo: participação, modalidade, porte, composição socioeconômica, recomendação e indicadores formativos variam entre elas.</w:t>
      </w:r>
    </w:p>
    <w:p>
      <w:r>
        <w:t>Os benchmarks comparáveis reduzem parte das diferenças estruturais, mas não eliminam confundimento. A modalidade EaD, a localização no interior ou o baixo N não foram assumidos previamente como explicações. Eles foram tratados como dimensões a verificar empiricamente, e os resultados devem orientar diagnóstico institucional complementar.</w:t>
      </w:r>
    </w:p>
    <w:p>
      <w:r>
        <w:t>A leitura conjunta sugere priorizar análise por oferta. O desempenho deve ser acompanhado de participação e cobertura; o perfil socioeconômico deve ser interpretado como composição; o processo formativo e a recomendação devem manter seus rótulos e limites. A principal hipótese é que múltiplos mecanismos institucionais e contextuais se combinam, hipótese que exige evidências documentais e qualitativas.</w:t>
      </w:r>
    </w:p>
    <w:p>
      <w:pPr>
        <w:pStyle w:val="Heading1"/>
      </w:pPr>
      <w:r>
        <w:t>7 CONCLUSÃO</w:t>
      </w:r>
    </w:p>
    <w:p>
      <w:r>
        <w:t>As ofertas de Física da UFPA com Conceito Enade 1 diferenciam-se da oferta interna com conceito superior principalmente pelo desempenho agregado e pela posição em benchmarks amplos e comparáveis. Também apresentam heterogeneidade de participação, composição discente, processo formativo e recomendação. Não foi identificado um único fator capaz de explicar o padrão.</w:t>
      </w:r>
    </w:p>
    <w:p>
      <w:r>
        <w:t>Os resultados justificam monitoramento institucional por CO_CURSO, com atenção ao N válido, à modalidade, ao porte e às condições acadêmicas. Relações entre indicadores socioeconômicos e nota permanecem ecológicas. A oferta de Tucuruí deve continuar no cadastro institucional como situação não localizada ou sem conceito, sem ser tratada como conceito 1.</w:t>
      </w:r>
    </w:p>
    <w:p>
      <w:pPr>
        <w:pStyle w:val="Heading2"/>
      </w:pPr>
      <w:r>
        <w:t>7.1 Aprofundamentos sugeridos</w:t>
      </w:r>
    </w:p>
    <w:p>
      <w:pPr>
        <w:pStyle w:val="Heading3"/>
      </w:pPr>
      <w:r>
        <w:t>Série histórica</w:t>
      </w:r>
    </w:p>
    <w:p>
      <w:r>
        <w:t>Pergunta: os contrastes persistem em edições anteriores? Variáveis: conceito, participação e notas padronizadas por edição. Método: painel descritivo por CO_CURSO quando a correspondência institucional for validada. Limitação: mudanças de instrumento e cadastro.</w:t>
      </w:r>
    </w:p>
    <w:p>
      <w:pPr>
        <w:pStyle w:val="Heading3"/>
      </w:pPr>
      <w:r>
        <w:t>Pareamento ampliado</w:t>
      </w:r>
    </w:p>
    <w:p>
      <w:r>
        <w:t>Pergunta: quais diferenças permanecem entre cursos estruturalmente semelhantes? Variáveis: modalidade, categoria, organização acadêmica, porte e território. Método: escore de propensão ou distância de Mahalanobis no nível do curso. Limitação: confundimento não observado.</w:t>
      </w:r>
    </w:p>
    <w:p>
      <w:pPr>
        <w:pStyle w:val="Heading3"/>
      </w:pPr>
      <w:r>
        <w:t>Diagnóstico qualitativo</w:t>
      </w:r>
    </w:p>
    <w:p>
      <w:r>
        <w:t>Pergunta: quais processos institucionais podem explicar os padrões agregados? Fontes: PPC, relatórios de autoavaliação, entrevistas e grupos focais. Método: estudo de casos múltiplos. Limitação: generalização analítica, não estatística.</w:t>
      </w:r>
    </w:p>
    <w:p>
      <w:pPr>
        <w:pStyle w:val="Heading3"/>
      </w:pPr>
      <w:r>
        <w:t>Itens do processo formativo</w:t>
      </w:r>
    </w:p>
    <w:p>
      <w:r>
        <w:t>Pergunta: quais itens específicos concentram as maiores diferenças? Variáveis: QE_I20–QE_I66. Método: análise por item, consistência interna e invariância quando o N permitir. Limitação: respostas autorreferidas e cobertura variável.</w:t>
      </w:r>
    </w:p>
    <w:p>
      <w:pPr>
        <w:pStyle w:val="Heading3"/>
      </w:pPr>
      <w:r>
        <w:t>Comparação entre licenciaturas</w:t>
      </w:r>
    </w:p>
    <w:p>
      <w:r>
        <w:t>Pergunta: há padrões comuns às ofertas conceito 1 da UFPA? Variáveis: indicadores padronizados dentro de CO_GRUPO. Método: percentis e escores z por área. Limitação: não comparar notas brutas entre áreas.</w:t>
      </w:r>
    </w:p>
    <w:p>
      <w:pPr>
        <w:pStyle w:val="Heading1"/>
      </w:pPr>
      <w:r>
        <w:t>REFERÊNCIAS</w:t>
      </w:r>
    </w:p>
    <w:p>
      <w:pPr>
        <w:spacing w:line="240" w:lineRule="auto" w:after="0"/>
        <w:ind w:firstLine="0"/>
      </w:pPr>
      <w:r>
        <w:t>BRASIL. Lei nº 10.861, de 14 de abril de 2004. Institui o Sistema Nacional de Avaliação da Educação Superior - SINAES. Brasília, DF: Presidência da República, 2004.</w:t>
      </w:r>
    </w:p>
    <w:p>
      <w:pPr>
        <w:spacing w:line="240" w:lineRule="auto" w:after="0"/>
        <w:ind w:firstLine="0"/>
      </w:pPr>
      <w:r>
        <w:t>CLIFF, N. Ordinal methods for behavioral data analysis. Mahwah: Lawrence Erlbaum Associates, 1996.</w:t>
      </w:r>
    </w:p>
    <w:p>
      <w:pPr>
        <w:spacing w:line="240" w:lineRule="auto" w:after="0"/>
        <w:ind w:firstLine="0"/>
      </w:pPr>
      <w:r>
        <w:t>COHEN, J. Statistical power analysis for the behavioral sciences. 2. ed. Hillsdale: Lawrence Erlbaum Associates, 1988.</w:t>
      </w:r>
    </w:p>
    <w:p>
      <w:pPr>
        <w:spacing w:line="240" w:lineRule="auto" w:after="0"/>
        <w:ind w:firstLine="0"/>
      </w:pPr>
      <w:r>
        <w:t>INSTITUTO BRASILEIRO DE GEOGRAFIA E ESTATÍSTICA (IBGE). Normas de apresentação tabular. 3. ed. Rio de Janeiro: IBGE, 1993.</w:t>
      </w:r>
    </w:p>
    <w:p>
      <w:pPr>
        <w:spacing w:line="240" w:lineRule="auto" w:after="0"/>
        <w:ind w:firstLine="0"/>
      </w:pPr>
      <w:r>
        <w:t>INSTITUTO NACIONAL DE ESTUDOS E PESQUISAS EDUCACIONAIS ANÍSIO TEIXEIRA (INEP). Enade das Licenciaturas: microdados 2025. Brasília, DF: Inep, 2026.</w:t>
      </w:r>
    </w:p>
    <w:p>
      <w:pPr>
        <w:spacing w:line="240" w:lineRule="auto" w:after="0"/>
        <w:ind w:firstLine="0"/>
      </w:pPr>
      <w:r>
        <w:t>INSTITUTO NACIONAL DE ESTUDOS E PESQUISAS EDUCACIONAIS ANÍSIO TEIXEIRA (INEP). Manual do usuário: Enade das Licenciaturas 2025. Brasília, DF: Inep, 2026.</w:t>
      </w:r>
    </w:p>
    <w:p>
      <w:pPr>
        <w:spacing w:line="240" w:lineRule="auto" w:after="0"/>
        <w:ind w:firstLine="0"/>
      </w:pPr>
      <w:r>
        <w:t>INSTITUTO NACIONAL DE ESTUDOS E PESQUISAS EDUCACIONAIS ANÍSIO TEIXEIRA (INEP). Nota Técnica nº 8/2026/CEI/CGGI/DAES-INEP: metodologia do Conceito Enade para os cursos de licenciatura a partir da edição de 2025. Brasília, DF: Inep, 2026.</w:t>
      </w:r>
    </w:p>
    <w:p>
      <w:pPr>
        <w:spacing w:line="240" w:lineRule="auto" w:after="0"/>
        <w:ind w:firstLine="0"/>
      </w:pPr>
      <w:r>
        <w:t>INSTITUTO NACIONAL DE ESTUDOS E PESQUISAS EDUCACIONAIS ANÍSIO TEIXEIRA (INEP). Questionário do Estudante - Enade das Licenciaturas 2025. Brasília, DF: Inep, 2025.</w:t>
      </w:r>
    </w:p>
    <w:p>
      <w:pPr>
        <w:pStyle w:val="Heading1"/>
      </w:pPr>
      <w:r>
        <w:t>APÊNDICES</w:t>
      </w:r>
    </w:p>
    <w:p>
      <w:r>
        <w:t>Os apêndices em CSV contêm as tabelas derivadas utilizadas no relatório, preservando CO_CURSO quando aplicável. Eles são gerados automaticamente em relatorios/fisica/apendices.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Fonte: elaboração própria com dados do Inep (2025), quando não indicado em contrário.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jc w:val="left"/>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e">
    <w:name w:val="Fonte"/>
    <w:pPr>
      <w:spacing w:line="240" w:lineRule="auto" w:after="120"/>
      <w:ind w:firstLine="0"/>
    </w:pPr>
    <w:rPr>
      <w:rFonts w:ascii="Arial" w:hAnsi="Arial"/>
      <w:sz w:val="20"/>
    </w:rPr>
  </w:style>
  <w:style w:type="paragraph" w:customStyle="1" w:styleId="Resumo">
    <w:name w:val="Resumo"/>
    <w:pPr>
      <w:spacing w:line="240" w:lineRule="auto"/>
      <w:ind w:firstLine="0"/>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