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after="120" w:before="240"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Machine Learning-Based Insider Threat Detection System</w:t>
      </w:r>
    </w:p>
    <w:p w:rsidR="00000000" w:rsidDel="00000000" w:rsidP="00000000" w:rsidRDefault="00000000" w:rsidRPr="00000000" w14:paraId="00000004">
      <w:pPr>
        <w:spacing w:after="120" w:before="120" w:line="48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Capstone Project - MSIT 5910</w:t>
      </w:r>
    </w:p>
    <w:p w:rsidR="00000000" w:rsidDel="00000000" w:rsidP="00000000" w:rsidRDefault="00000000" w:rsidRPr="00000000" w14:paraId="00000005">
      <w:pPr>
        <w:spacing w:after="240" w:before="12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Assignment 3- Document 1: System Architecture Blueprint, Module Design, and Version Control</w:t>
      </w:r>
    </w:p>
    <w:p w:rsidR="00000000" w:rsidDel="00000000" w:rsidP="00000000" w:rsidRDefault="00000000" w:rsidRPr="00000000" w14:paraId="00000006">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after="8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08">
      <w:pPr>
        <w:spacing w:after="80" w:before="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Savannah Ward-S532018</w:t>
      </w:r>
    </w:p>
    <w:p w:rsidR="00000000" w:rsidDel="00000000" w:rsidP="00000000" w:rsidRDefault="00000000" w:rsidRPr="00000000" w14:paraId="00000009">
      <w:pPr>
        <w:spacing w:after="80" w:before="8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80" w:before="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partial fulfilment of the requirements for the degree of</w:t>
      </w:r>
    </w:p>
    <w:p w:rsidR="00000000" w:rsidDel="00000000" w:rsidP="00000000" w:rsidRDefault="00000000" w:rsidRPr="00000000" w14:paraId="0000000B">
      <w:pPr>
        <w:spacing w:after="80" w:before="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of Science in Information Technology</w:t>
      </w:r>
    </w:p>
    <w:p w:rsidR="00000000" w:rsidDel="00000000" w:rsidP="00000000" w:rsidRDefault="00000000" w:rsidRPr="00000000" w14:paraId="0000000C">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after="80" w:before="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by: Dr. </w:t>
      </w:r>
      <w:r w:rsidDel="00000000" w:rsidR="00000000" w:rsidRPr="00000000">
        <w:rPr>
          <w:rFonts w:ascii="Times New Roman" w:cs="Times New Roman" w:eastAsia="Times New Roman" w:hAnsi="Times New Roman"/>
          <w:color w:val="202122"/>
          <w:sz w:val="24"/>
          <w:szCs w:val="24"/>
          <w:highlight w:val="white"/>
          <w:rtl w:val="0"/>
        </w:rPr>
        <w:t xml:space="preserve">Shabia Shabir</w:t>
      </w:r>
      <w:r w:rsidDel="00000000" w:rsidR="00000000" w:rsidRPr="00000000">
        <w:rPr>
          <w:rtl w:val="0"/>
        </w:rPr>
      </w:r>
    </w:p>
    <w:p w:rsidR="00000000" w:rsidDel="00000000" w:rsidP="00000000" w:rsidRDefault="00000000" w:rsidRPr="00000000" w14:paraId="0000000E">
      <w:pPr>
        <w:spacing w:after="80" w:before="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CS &amp; MSIT</w:t>
      </w:r>
    </w:p>
    <w:p w:rsidR="00000000" w:rsidDel="00000000" w:rsidP="00000000" w:rsidRDefault="00000000" w:rsidRPr="00000000" w14:paraId="0000000F">
      <w:pPr>
        <w:spacing w:after="80" w:before="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the People, Pasadena, CA 91101, United States</w:t>
      </w:r>
    </w:p>
    <w:p w:rsidR="00000000" w:rsidDel="00000000" w:rsidP="00000000" w:rsidRDefault="00000000" w:rsidRPr="00000000" w14:paraId="00000010">
      <w:pPr>
        <w:spacing w:after="80" w:before="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4, April, 2026</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2">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3hwfm0s3n463" w:id="0"/>
      <w:bookmarkEnd w:id="0"/>
      <w:r w:rsidDel="00000000" w:rsidR="00000000" w:rsidRPr="00000000">
        <w:rPr>
          <w:rtl w:val="0"/>
        </w:rPr>
      </w:r>
    </w:p>
    <w:p w:rsidR="00000000" w:rsidDel="00000000" w:rsidP="00000000" w:rsidRDefault="00000000" w:rsidRPr="00000000" w14:paraId="00000013">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irpobbi3qxpo" w:id="1"/>
      <w:bookmarkEnd w:id="1"/>
      <w:r w:rsidDel="00000000" w:rsidR="00000000" w:rsidRPr="00000000">
        <w:rPr>
          <w:rtl w:val="0"/>
        </w:rPr>
      </w:r>
    </w:p>
    <w:p w:rsidR="00000000" w:rsidDel="00000000" w:rsidP="00000000" w:rsidRDefault="00000000" w:rsidRPr="00000000" w14:paraId="00000014">
      <w:pPr>
        <w:pStyle w:val="Heading1"/>
        <w:keepNext w:val="0"/>
        <w:keepLines w:val="0"/>
        <w:spacing w:after="240" w:before="480" w:lineRule="auto"/>
        <w:rPr>
          <w:rFonts w:ascii="Times New Roman" w:cs="Times New Roman" w:eastAsia="Times New Roman" w:hAnsi="Times New Roman"/>
          <w:b w:val="1"/>
          <w:bCs w:val="1"/>
          <w:sz w:val="26"/>
          <w:szCs w:val="26"/>
        </w:rPr>
      </w:pPr>
      <w:bookmarkStart w:colFirst="0" w:colLast="0" w:name="_bieawu2qhtlu" w:id="2"/>
      <w:bookmarkEnd w:id="2"/>
      <w:r w:rsidDel="00000000" w:rsidR="00000000" w:rsidRPr="00000000">
        <w:rPr>
          <w:rFonts w:ascii="Times New Roman" w:cs="Times New Roman" w:eastAsia="Times New Roman" w:hAnsi="Times New Roman"/>
          <w:b w:val="1"/>
          <w:bCs w:val="1"/>
          <w:sz w:val="28"/>
          <w:szCs w:val="28"/>
          <w:rtl w:val="0"/>
        </w:rPr>
        <w:t xml:space="preserve">System Architecture Blueprint and Module Design</w:t>
      </w:r>
      <w:r w:rsidDel="00000000" w:rsidR="00000000" w:rsidRPr="00000000">
        <w:rPr>
          <w:rtl w:val="0"/>
        </w:rPr>
      </w:r>
    </w:p>
    <w:p w:rsidR="00000000" w:rsidDel="00000000" w:rsidP="00000000" w:rsidRDefault="00000000" w:rsidRPr="00000000" w14:paraId="00000015">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Learning-Based Insider Threat Detection System is structured in a five-stage modular pipeline that ingests multi-source behavioral log data, processes and engineers features, applies an unsupervised anomaly detection model, and delivers interpretable risk classifications to cybersecurity analysts. The system was designed around the principle of loose coupling between modules, a fundamental concept in systems engineering that ensures individual components can be tested, extended, or replaced without disrupting the broader pipeline (Summers, 2020). Walker (2022) identifies the pipeline architectural pattern as particularly well suited to data-intensive systems where each processing stage has clearly defined inputs and outputs, making it an appropriate choice for a multi-stage behavioral analytics system of this kind. Homoliak et al. (2020) further reinforce this design rationale, noting that modular architectures in security systems enable independent validation of each component and reduce the risk of cascading failures across the detection pipeline. The architecture diagram provided separately (Figure 5 in the Technical Report) illustrates the complete data flow from raw log ingestion through to risk-classified output.</w:t>
      </w:r>
    </w:p>
    <w:p w:rsidR="00000000" w:rsidDel="00000000" w:rsidP="00000000" w:rsidRDefault="00000000" w:rsidRPr="00000000" w14:paraId="00000016">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yt03n9lxo0tj" w:id="3"/>
      <w:bookmarkEnd w:id="3"/>
      <w:r w:rsidDel="00000000" w:rsidR="00000000" w:rsidRPr="00000000">
        <w:rPr>
          <w:rFonts w:ascii="Times New Roman" w:cs="Times New Roman" w:eastAsia="Times New Roman" w:hAnsi="Times New Roman"/>
          <w:b w:val="1"/>
          <w:bCs w:val="1"/>
          <w:sz w:val="26"/>
          <w:szCs w:val="26"/>
          <w:rtl w:val="0"/>
        </w:rPr>
        <w:t xml:space="preserve">Module-Wise Breakdown with Functional Specifications</w:t>
      </w:r>
    </w:p>
    <w:p w:rsidR="00000000" w:rsidDel="00000000" w:rsidP="00000000" w:rsidRDefault="00000000" w:rsidRPr="00000000" w14:paraId="00000018">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815"/>
        <w:gridCol w:w="1815"/>
        <w:gridCol w:w="2130"/>
        <w:gridCol w:w="1860"/>
        <w:tblGridChange w:id="0">
          <w:tblGrid>
            <w:gridCol w:w="1740"/>
            <w:gridCol w:w="1815"/>
            <w:gridCol w:w="1815"/>
            <w:gridCol w:w="2130"/>
            <w:gridCol w:w="1860"/>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19">
            <w:pPr>
              <w:ind w:left="-4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Module</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1A">
            <w:pPr>
              <w:ind w:left="-4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Input</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1B">
            <w:pPr>
              <w:ind w:left="-4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Output</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1C">
            <w:pPr>
              <w:ind w:left="-4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Methodology</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1D">
            <w:pPr>
              <w:ind w:left="-4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Key Libraries</w:t>
            </w:r>
          </w:p>
        </w:tc>
      </w:tr>
      <w:tr>
        <w:trPr>
          <w:cantSplit w:val="0"/>
          <w:trHeight w:val="1455"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1E">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1F">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CERT 4.2 log files (logon, file, email, USB)</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0">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Consolidated Pandas DataFrame (user ID + timestamp key)</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1">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Multi-source merge on common user ID and timestamp</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2">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OS</w:t>
            </w:r>
          </w:p>
        </w:tc>
      </w:tr>
      <w:tr>
        <w:trPr>
          <w:cantSplit w:val="0"/>
          <w:trHeight w:val="1455"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3">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4">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consolidated DataFrame</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5">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normalized, label-encoded dataset</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6">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imputation, ISO 8601 timestamp standardization, z-score normalization, label encoding</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7">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NumPy, Scikit-learn</w:t>
            </w:r>
          </w:p>
        </w:tc>
      </w:tr>
      <w:tr>
        <w:trPr>
          <w:cantSplit w:val="0"/>
          <w:trHeight w:val="171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8">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9">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preprocessed dataset</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A">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17-feature behavioral matrix (500 users × 17 features)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B">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User-level aggregation across 90-day observation window producing behavioral indicators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C">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NumPy</w:t>
            </w:r>
          </w:p>
        </w:tc>
      </w:tr>
      <w:tr>
        <w:trPr>
          <w:cantSplit w:val="0"/>
          <w:trHeight w:val="171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D">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 Detection</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E">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Behavioral feature matrix</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2F">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anomaly scores normalized to 0–100 scale</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30">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Isolation Forest (200 estimators, contamination = 0.05); score inversion and min-max normalization</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31">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w:t>
            </w:r>
          </w:p>
        </w:tc>
      </w:tr>
      <w:tr>
        <w:trPr>
          <w:cantSplit w:val="0"/>
          <w:trHeight w:val="171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32">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Scoring &amp; Visualization</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33">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Normalized anomaly scores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34">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Risk-classified user report; four visualization outputs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35">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Threshold classification (Low &lt;40, Medium 40–70, High &gt;70); bar charts, heatmap, boxplot, scatter plot</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36">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Matplotlib, Seaborn</w:t>
            </w:r>
          </w:p>
        </w:tc>
      </w:tr>
    </w:tbl>
    <w:p w:rsidR="00000000" w:rsidDel="00000000" w:rsidP="00000000" w:rsidRDefault="00000000" w:rsidRPr="00000000" w14:paraId="00000037">
      <w:pPr>
        <w:spacing w:after="1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1: Module-Wise Functional Specifications</w:t>
      </w:r>
    </w:p>
    <w:p w:rsidR="00000000" w:rsidDel="00000000" w:rsidP="00000000" w:rsidRDefault="00000000" w:rsidRPr="00000000" w14:paraId="00000038">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jmf5aimbwxo0" w:id="4"/>
      <w:bookmarkEnd w:id="4"/>
      <w:r w:rsidDel="00000000" w:rsidR="00000000" w:rsidRPr="00000000">
        <w:rPr>
          <w:rFonts w:ascii="Times New Roman" w:cs="Times New Roman" w:eastAsia="Times New Roman" w:hAnsi="Times New Roman"/>
          <w:b w:val="1"/>
          <w:bCs w:val="1"/>
          <w:sz w:val="26"/>
          <w:szCs w:val="26"/>
          <w:rtl w:val="0"/>
        </w:rPr>
        <w:t xml:space="preserve">Functional Requirements </w:t>
      </w:r>
    </w:p>
    <w:p w:rsidR="00000000" w:rsidDel="00000000" w:rsidP="00000000" w:rsidRDefault="00000000" w:rsidRPr="00000000" w14:paraId="0000003A">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Letaw (2024) defines functional requirements as specifications that describe what a system must do the behaviors, actions, and outputs it must produce under defined conditions. The following functional requirements were derived through analysis of the insider threat detection problem and structured to ensure each pipeline module has a clear, testable behavioral specification:</w:t>
      </w:r>
    </w:p>
    <w:p w:rsidR="00000000" w:rsidDel="00000000" w:rsidP="00000000" w:rsidRDefault="00000000" w:rsidRPr="00000000" w14:paraId="0000003B">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35"/>
        <w:gridCol w:w="4395"/>
        <w:gridCol w:w="3915"/>
        <w:tblGridChange w:id="0">
          <w:tblGrid>
            <w:gridCol w:w="1035"/>
            <w:gridCol w:w="4395"/>
            <w:gridCol w:w="391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3D">
            <w:pPr>
              <w:ind w:left="-4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ID</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3E">
            <w:pPr>
              <w:ind w:left="-4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Requirement</w:t>
            </w:r>
          </w:p>
        </w:tc>
        <w:tc>
          <w:tcPr>
            <w:tcBorders>
              <w:top w:color="000000" w:space="0" w:sz="8" w:val="single"/>
              <w:bottom w:color="000000" w:space="0" w:sz="8" w:val="single"/>
              <w:right w:color="000000" w:space="0" w:sz="8" w:val="single"/>
            </w:tcBorders>
            <w:shd w:fill="000000" w:val="clear"/>
            <w:tcMar>
              <w:top w:w="100.0" w:type="dxa"/>
              <w:left w:w="140.0" w:type="dxa"/>
              <w:bottom w:w="100.0" w:type="dxa"/>
              <w:right w:w="140.0" w:type="dxa"/>
            </w:tcMar>
            <w:vAlign w:val="top"/>
          </w:tcPr>
          <w:p w:rsidR="00000000" w:rsidDel="00000000" w:rsidP="00000000" w:rsidRDefault="00000000" w:rsidRPr="00000000" w14:paraId="0000003F">
            <w:pPr>
              <w:ind w:left="-4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Associated Module</w:t>
            </w:r>
          </w:p>
        </w:tc>
      </w:tr>
      <w:tr>
        <w:trPr>
          <w:cantSplit w:val="0"/>
          <w:trHeight w:val="945"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40">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41">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collect and consolidate user activity logs from multiple data sources (logon, file, email, USB).</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42">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w:t>
            </w:r>
          </w:p>
        </w:tc>
      </w:tr>
      <w:tr>
        <w:trPr>
          <w:cantSplit w:val="0"/>
          <w:trHeight w:val="1200"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43">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FR2</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44">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clean and standardize raw log data including handling missing values, normalizing timestamps, and encoding categorical fields.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45">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w:t>
            </w:r>
          </w:p>
        </w:tc>
      </w:tr>
      <w:tr>
        <w:trPr>
          <w:cantSplit w:val="0"/>
          <w:trHeight w:val="945"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46">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FR3</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47">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extract 17 user-level behavioral features from preprocessed log data.</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48">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w:t>
            </w:r>
          </w:p>
        </w:tc>
      </w:tr>
      <w:tr>
        <w:trPr>
          <w:cantSplit w:val="0"/>
          <w:trHeight w:val="945"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49">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FR4</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4A">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apply an unsupervised machine learning model to produce a continuous anomaly score for each user.</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4B">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 Detection</w:t>
            </w:r>
          </w:p>
        </w:tc>
      </w:tr>
      <w:tr>
        <w:trPr>
          <w:cantSplit w:val="0"/>
          <w:trHeight w:val="945"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4C">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FR5</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4D">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convert anomaly scores into interpretable risk classifications (Low, Medium, High) using defined thresholds.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4E">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Scoring</w:t>
            </w:r>
          </w:p>
        </w:tc>
      </w:tr>
      <w:tr>
        <w:trPr>
          <w:cantSplit w:val="0"/>
          <w:trHeight w:val="945" w:hRule="atLeast"/>
          <w:tblHeader w:val="0"/>
        </w:trPr>
        <w:tc>
          <w:tcPr>
            <w:tcBorders>
              <w:left w:color="cccccc" w:space="0" w:sz="8" w:val="single"/>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4F">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FR6</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50">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produce visualization outputs displaying anomaly trends, feature correlations, and user risk rankings.</w:t>
            </w:r>
          </w:p>
        </w:tc>
        <w:tc>
          <w:tcPr>
            <w:tcBorders>
              <w:bottom w:color="cccccc" w:space="0" w:sz="8" w:val="single"/>
              <w:right w:color="cccccc"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051">
            <w:pPr>
              <w:ind w:left="-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Visualization</w:t>
            </w:r>
          </w:p>
        </w:tc>
      </w:tr>
    </w:tbl>
    <w:p w:rsidR="00000000" w:rsidDel="00000000" w:rsidP="00000000" w:rsidRDefault="00000000" w:rsidRPr="00000000" w14:paraId="00000052">
      <w:pPr>
        <w:spacing w:after="16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2: Functional Requirements Summary</w:t>
      </w:r>
    </w:p>
    <w:p w:rsidR="00000000" w:rsidDel="00000000" w:rsidP="00000000" w:rsidRDefault="00000000" w:rsidRPr="00000000" w14:paraId="00000053">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n750uj8l1xbv" w:id="5"/>
      <w:bookmarkEnd w:id="5"/>
      <w:r w:rsidDel="00000000" w:rsidR="00000000" w:rsidRPr="00000000">
        <w:rPr>
          <w:rFonts w:ascii="Times New Roman" w:cs="Times New Roman" w:eastAsia="Times New Roman" w:hAnsi="Times New Roman"/>
          <w:b w:val="1"/>
          <w:bCs w:val="1"/>
          <w:sz w:val="26"/>
          <w:szCs w:val="26"/>
          <w:rtl w:val="0"/>
        </w:rPr>
        <w:t xml:space="preserve">Non-Functional Requirements </w:t>
      </w:r>
    </w:p>
    <w:p w:rsidR="00000000" w:rsidDel="00000000" w:rsidP="00000000" w:rsidRDefault="00000000" w:rsidRPr="00000000" w14:paraId="00000055">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define the quality attributes of a system, how well it performs its functions rather than what those functions are (Letaw, 2024). Summers (2020) emphasizes that performance and operational requirements must be defined alongside functional specifications to ensure that the system meets not only behavioral expectations but also operational constraints in real deployment environments. The following NFRs govern the quality attributes that shape this system's design decisions:</w:t>
      </w:r>
    </w:p>
    <w:p w:rsidR="00000000" w:rsidDel="00000000" w:rsidP="00000000" w:rsidRDefault="00000000" w:rsidRPr="00000000" w14:paraId="00000056">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w:t>
      </w:r>
      <w:r w:rsidDel="00000000" w:rsidR="00000000" w:rsidRPr="00000000">
        <w:rPr>
          <w:rFonts w:ascii="Times New Roman" w:cs="Times New Roman" w:eastAsia="Times New Roman" w:hAnsi="Times New Roman"/>
          <w:sz w:val="24"/>
          <w:szCs w:val="24"/>
          <w:rtl w:val="0"/>
        </w:rPr>
        <w:t xml:space="preserve">The pipeline must process the full CERT synthetic 4.2 dataset (approximately 600,000 events across 500 users) within a reasonable batch execution window. The Isolation Forest algorithm was selected in part due to its sub-linear average time complexity, which scales efficiently to large datasets without proportional degradation in throughput.</w:t>
      </w:r>
    </w:p>
    <w:p w:rsidR="00000000" w:rsidDel="00000000" w:rsidP="00000000" w:rsidRDefault="00000000" w:rsidRPr="00000000" w14:paraId="00000058">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 </w:t>
      </w:r>
      <w:r w:rsidDel="00000000" w:rsidR="00000000" w:rsidRPr="00000000">
        <w:rPr>
          <w:rFonts w:ascii="Times New Roman" w:cs="Times New Roman" w:eastAsia="Times New Roman" w:hAnsi="Times New Roman"/>
          <w:sz w:val="24"/>
          <w:szCs w:val="24"/>
          <w:rtl w:val="0"/>
        </w:rPr>
        <w:t xml:space="preserve">Risk outputs must be presented in a format that is interpretable by cybersecurity analysts who may not have a machine learning background. This requirement directly drove the decision to normalize raw Isolation Forest scores to a 0–100 scale and to apply categorical risk tiers (Low, Medium, High) rather than presenting raw anomaly values.</w:t>
      </w:r>
    </w:p>
    <w:p w:rsidR="00000000" w:rsidDel="00000000" w:rsidP="00000000" w:rsidRDefault="00000000" w:rsidRPr="00000000" w14:paraId="00000059">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Reliability: </w:t>
      </w:r>
      <w:r w:rsidDel="00000000" w:rsidR="00000000" w:rsidRPr="00000000">
        <w:rPr>
          <w:rFonts w:ascii="Times New Roman" w:cs="Times New Roman" w:eastAsia="Times New Roman" w:hAnsi="Times New Roman"/>
          <w:sz w:val="24"/>
          <w:szCs w:val="24"/>
          <w:rtl w:val="0"/>
        </w:rPr>
        <w:t xml:space="preserve">Each pipeline module must produce consistent, reproducible outputs when run on the same input data. This is achieved through a fixed random seed in the Isolation Forest model and deterministic feature aggregation logic.</w:t>
      </w:r>
    </w:p>
    <w:p w:rsidR="00000000" w:rsidDel="00000000" w:rsidP="00000000" w:rsidRDefault="00000000" w:rsidRPr="00000000" w14:paraId="0000005A">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 </w:t>
      </w:r>
      <w:r w:rsidDel="00000000" w:rsidR="00000000" w:rsidRPr="00000000">
        <w:rPr>
          <w:rFonts w:ascii="Times New Roman" w:cs="Times New Roman" w:eastAsia="Times New Roman" w:hAnsi="Times New Roman"/>
          <w:sz w:val="24"/>
          <w:szCs w:val="24"/>
          <w:rtl w:val="0"/>
        </w:rPr>
        <w:t xml:space="preserve">The modular architecture is designed to support future scaling to larger user populations or longer observation windows without redesigning core pipeline components. Summers (2020) notes that subsystem independence is a key enabler of scalability in systems engineering frameworks, a principle directly reflected in the loose-coupling design of this pipeline.</w:t>
      </w:r>
    </w:p>
    <w:p w:rsidR="00000000" w:rsidDel="00000000" w:rsidP="00000000" w:rsidRDefault="00000000" w:rsidRPr="00000000" w14:paraId="0000005B">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w:t>
      </w:r>
      <w:r w:rsidDel="00000000" w:rsidR="00000000" w:rsidRPr="00000000">
        <w:rPr>
          <w:rFonts w:ascii="Times New Roman" w:cs="Times New Roman" w:eastAsia="Times New Roman" w:hAnsi="Times New Roman"/>
          <w:sz w:val="24"/>
          <w:szCs w:val="24"/>
          <w:rtl w:val="0"/>
        </w:rPr>
        <w:t xml:space="preserve">The system is designed to operate on aggregated behavioral data rather than raw communication content, minimizing exposure of sensitive personal information. Access to risk-scoring outputs should be restricted to authorized cybersecurity personnel, and all output files are stored locally without external transmission.</w:t>
      </w:r>
    </w:p>
    <w:p w:rsidR="00000000" w:rsidDel="00000000" w:rsidP="00000000" w:rsidRDefault="00000000" w:rsidRPr="00000000" w14:paraId="0000005C">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Maintainability: </w:t>
      </w:r>
      <w:r w:rsidDel="00000000" w:rsidR="00000000" w:rsidRPr="00000000">
        <w:rPr>
          <w:rFonts w:ascii="Times New Roman" w:cs="Times New Roman" w:eastAsia="Times New Roman" w:hAnsi="Times New Roman"/>
          <w:sz w:val="24"/>
          <w:szCs w:val="24"/>
          <w:rtl w:val="0"/>
        </w:rPr>
        <w:t xml:space="preserve">The pipeline is organized into independent, single-responsibility modules. Walker (2022) highlights that modular pipeline architectures improve maintainability because components can be updated or replaced without cascading changes across the system. For example, swapping the anomaly detection engine from Isolation Forest to an autoencoder would require modifications only to that module and would not affect upstream preprocessing or downstream visualization logic.</w:t>
      </w:r>
    </w:p>
    <w:p w:rsidR="00000000" w:rsidDel="00000000" w:rsidP="00000000" w:rsidRDefault="00000000" w:rsidRPr="00000000" w14:paraId="0000005D">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pStyle w:val="Heading1"/>
        <w:keepNext w:val="0"/>
        <w:keepLines w:val="0"/>
        <w:spacing w:after="240" w:before="480" w:lineRule="auto"/>
        <w:rPr>
          <w:rFonts w:ascii="Times New Roman" w:cs="Times New Roman" w:eastAsia="Times New Roman" w:hAnsi="Times New Roman"/>
          <w:b w:val="1"/>
          <w:bCs w:val="1"/>
          <w:sz w:val="28"/>
          <w:szCs w:val="28"/>
        </w:rPr>
      </w:pPr>
      <w:bookmarkStart w:colFirst="0" w:colLast="0" w:name="_4ud0dwjm1da3" w:id="6"/>
      <w:bookmarkEnd w:id="6"/>
      <w:r w:rsidDel="00000000" w:rsidR="00000000" w:rsidRPr="00000000">
        <w:rPr>
          <w:rFonts w:ascii="Times New Roman" w:cs="Times New Roman" w:eastAsia="Times New Roman" w:hAnsi="Times New Roman"/>
          <w:b w:val="1"/>
          <w:bCs w:val="1"/>
          <w:sz w:val="28"/>
          <w:szCs w:val="28"/>
          <w:rtl w:val="0"/>
        </w:rPr>
        <w:t xml:space="preserve">Version Control and Collaboration</w:t>
      </w:r>
    </w:p>
    <w:p w:rsidR="00000000" w:rsidDel="00000000" w:rsidP="00000000" w:rsidRDefault="00000000" w:rsidRPr="00000000" w14:paraId="0000005F">
      <w:pPr>
        <w:pStyle w:val="Heading2"/>
        <w:keepNext w:val="0"/>
        <w:keepLines w:val="0"/>
        <w:spacing w:after="160" w:before="320" w:lineRule="auto"/>
        <w:rPr>
          <w:rFonts w:ascii="Times New Roman" w:cs="Times New Roman" w:eastAsia="Times New Roman" w:hAnsi="Times New Roman"/>
          <w:b w:val="1"/>
          <w:bCs w:val="1"/>
          <w:sz w:val="26"/>
          <w:szCs w:val="26"/>
        </w:rPr>
      </w:pPr>
      <w:bookmarkStart w:colFirst="0" w:colLast="0" w:name="_pbjxo1fel58o" w:id="7"/>
      <w:bookmarkEnd w:id="7"/>
      <w:r w:rsidDel="00000000" w:rsidR="00000000" w:rsidRPr="00000000">
        <w:rPr>
          <w:rFonts w:ascii="Times New Roman" w:cs="Times New Roman" w:eastAsia="Times New Roman" w:hAnsi="Times New Roman"/>
          <w:b w:val="1"/>
          <w:bCs w:val="1"/>
          <w:sz w:val="26"/>
          <w:szCs w:val="26"/>
          <w:rtl w:val="0"/>
        </w:rPr>
        <w:t xml:space="preserve">Repository Overview</w:t>
      </w:r>
    </w:p>
    <w:p w:rsidR="00000000" w:rsidDel="00000000" w:rsidP="00000000" w:rsidRDefault="00000000" w:rsidRPr="00000000" w14:paraId="00000060">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source code, documentation, and design files are managed using Git and hosted on GitHub at the following public repository:</w:t>
      </w:r>
    </w:p>
    <w:p w:rsidR="00000000" w:rsidDel="00000000" w:rsidP="00000000" w:rsidRDefault="00000000" w:rsidRPr="00000000" w14:paraId="00000061">
      <w:pPr>
        <w:spacing w:after="120" w:before="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https://github.com/Flipflop-ux/insider-threat-detection-system</w:t>
      </w:r>
    </w:p>
    <w:p w:rsidR="00000000" w:rsidDel="00000000" w:rsidP="00000000" w:rsidRDefault="00000000" w:rsidRPr="00000000" w14:paraId="00000062">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is organized into four top-level directories that separate concerns across the project lifecycle: src/ contains all Python source files and Jupyter notebooks for the five pipeline stages; docs/ holds project documentation and written reports; design/ stores the system architecture diagram in Draw.io format; and results/ contains all exported chart images and visualization outputs. Davies (2024) recommends organizing Git repositories around functional separation of concerns so that contributors can navigate project structure without requiring familiarity with the entire codebase, a principle reflected in this folder design.</w:t>
      </w:r>
    </w:p>
    <w:p w:rsidR="00000000" w:rsidDel="00000000" w:rsidP="00000000" w:rsidRDefault="00000000" w:rsidRPr="00000000" w14:paraId="00000063">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after="80" w:before="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Branching Strategy</w:t>
      </w:r>
    </w:p>
    <w:p w:rsidR="00000000" w:rsidDel="00000000" w:rsidP="00000000" w:rsidRDefault="00000000" w:rsidRPr="00000000" w14:paraId="00000065">
      <w:pPr>
        <w:spacing w:after="80" w:before="8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6">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employs a two-branch version control strategy designed to separate stable, submission-ready work from active development activity. Davies (2024) describes this pattern as a foundational practice in team-based Git workflows, noting that maintaining distinct branches for production-ready and in-development code prevents unstable changes from contaminating the primary project history.</w:t>
      </w:r>
    </w:p>
    <w:p w:rsidR="00000000" w:rsidDel="00000000" w:rsidP="00000000" w:rsidRDefault="00000000" w:rsidRPr="00000000" w14:paraId="00000067">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spacing w:after="80" w:before="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Branch: </w:t>
      </w:r>
      <w:r w:rsidDel="00000000" w:rsidR="00000000" w:rsidRPr="00000000">
        <w:rPr>
          <w:rFonts w:ascii="Times New Roman" w:cs="Times New Roman" w:eastAsia="Times New Roman" w:hAnsi="Times New Roman"/>
          <w:sz w:val="24"/>
          <w:szCs w:val="24"/>
          <w:rtl w:val="0"/>
        </w:rPr>
        <w:t xml:space="preserve">The main branch serves as the stable, production-ready branch of the project. It contains only code and documentation that has been reviewed and validated. All final submissions, including completed pipeline modules and report assets, are merged into main after development-branch testing is complete. Direct commits to main are reserved for final integration milestones.</w:t>
      </w:r>
    </w:p>
    <w:p w:rsidR="00000000" w:rsidDel="00000000" w:rsidP="00000000" w:rsidRDefault="00000000" w:rsidRPr="00000000" w14:paraId="00000069">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Branch: </w:t>
      </w:r>
      <w:r w:rsidDel="00000000" w:rsidR="00000000" w:rsidRPr="00000000">
        <w:rPr>
          <w:rFonts w:ascii="Times New Roman" w:cs="Times New Roman" w:eastAsia="Times New Roman" w:hAnsi="Times New Roman"/>
          <w:sz w:val="24"/>
          <w:szCs w:val="24"/>
          <w:rtl w:val="0"/>
        </w:rPr>
        <w:t xml:space="preserve">The development branch is the active working branch where all new features, experimental pipeline changes, and documentation drafts are developed. Work-in-progress code, intermediate outputs, and exploratory analysis are committed to development first. Once a milestone is stable and validated, the development branch is merged into main via a pull request, providing a clear record of what changed between versions.</w:t>
      </w:r>
    </w:p>
    <w:p w:rsidR="00000000" w:rsidDel="00000000" w:rsidP="00000000" w:rsidRDefault="00000000" w:rsidRPr="00000000" w14:paraId="0000006A">
      <w:pPr>
        <w:spacing w:after="80" w:before="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Commit Message Conventions</w:t>
      </w:r>
    </w:p>
    <w:p w:rsidR="00000000" w:rsidDel="00000000" w:rsidP="00000000" w:rsidRDefault="00000000" w:rsidRPr="00000000" w14:paraId="0000006B">
      <w:pPr>
        <w:spacing w:after="80" w:before="8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C">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 messages follow a consistent convention to ensure that the project history is readable and traceable. Every commit message includes a short summary of the change, for example, </w:t>
      </w:r>
      <w:r w:rsidDel="00000000" w:rsidR="00000000" w:rsidRPr="00000000">
        <w:rPr>
          <w:rFonts w:ascii="Times New Roman" w:cs="Times New Roman" w:eastAsia="Times New Roman" w:hAnsi="Times New Roman"/>
          <w:i w:val="1"/>
          <w:iCs w:val="1"/>
          <w:sz w:val="24"/>
          <w:szCs w:val="24"/>
          <w:rtl w:val="0"/>
        </w:rPr>
        <w:t xml:space="preserve">"Add feature engineering module for behavioral aggregation"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Davies (2024) explains that git log provides a structured view of commit history that functions as a development audit trail, and that descriptive commit messages are essential to making this audit trail interpretable to collaborators and reviewers. Chacon and Straub (2014) similarly emphasize that a well-maintained commit history is one of the most valuable tools available to a development team, enabling precise reconstruction of how and why the codebase reached its current state.</w:t>
      </w:r>
    </w:p>
    <w:p w:rsidR="00000000" w:rsidDel="00000000" w:rsidP="00000000" w:rsidRDefault="00000000" w:rsidRPr="00000000" w14:paraId="0000006D">
      <w:pPr>
        <w:spacing w:after="120" w:before="120" w:line="4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Version Control Ensures Traceability and Documentation Consistency</w:t>
      </w:r>
    </w:p>
    <w:p w:rsidR="00000000" w:rsidDel="00000000" w:rsidP="00000000" w:rsidRDefault="00000000" w:rsidRPr="00000000" w14:paraId="0000006E">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plays a central role in maintaining the integrity and traceability of this project across all three submission units. Every meaningful change to source code, documentation, or design files is captured as a discrete commit with a descriptive message, creating an auditable timeline of project evolution that links implementation decisions back to documented milestones. Davies (2024) describes Git's version comparison and history traversal capabilities as essential tools for reconstructing how a project reached its current state, which is particularly important in academic capstone submissions where demonstrating incremental, structured progress is a graded requirement.</w:t>
      </w:r>
    </w:p>
    <w:p w:rsidR="00000000" w:rsidDel="00000000" w:rsidP="00000000" w:rsidRDefault="00000000" w:rsidRPr="00000000" w14:paraId="0000006F">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two-branch strategy provides an additional layer of traceability by clearly distinguishing exploratory development from confirmed, stable work. When a feature is merged from development into main, the associated pull request documents what changed, why it changed, and when it was integrated.</w:t>
      </w:r>
    </w:p>
    <w:p w:rsidR="00000000" w:rsidDel="00000000" w:rsidP="00000000" w:rsidRDefault="00000000" w:rsidRPr="00000000" w14:paraId="00000070">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files stored in the </w:t>
      </w:r>
      <w:r w:rsidDel="00000000" w:rsidR="00000000" w:rsidRPr="00000000">
        <w:rPr>
          <w:rFonts w:ascii="Times New Roman" w:cs="Times New Roman" w:eastAsia="Times New Roman" w:hAnsi="Times New Roman"/>
          <w:sz w:val="24"/>
          <w:szCs w:val="24"/>
          <w:rtl w:val="0"/>
        </w:rPr>
        <w:t xml:space="preserve">docs/</w:t>
      </w:r>
      <w:r w:rsidDel="00000000" w:rsidR="00000000" w:rsidRPr="00000000">
        <w:rPr>
          <w:rFonts w:ascii="Times New Roman" w:cs="Times New Roman" w:eastAsia="Times New Roman" w:hAnsi="Times New Roman"/>
          <w:sz w:val="24"/>
          <w:szCs w:val="24"/>
          <w:rtl w:val="0"/>
        </w:rPr>
        <w:t xml:space="preserve"> folder are version-controlled alongside source code, ensuring that written reports and technical specifications remain synchronized with the codebase they describe. Summers (2020) emphasizes that documentation traceability, the ability to link system artifacts back to their originating requirements, is a hallmark of rigorous systems engineering practice. By storing documentation in the same repository as source code and updating both within the same commit workflow, this project maintains that traceability throughout its development lifecycle.</w:t>
      </w:r>
    </w:p>
    <w:p w:rsidR="00000000" w:rsidDel="00000000" w:rsidP="00000000" w:rsidRDefault="00000000" w:rsidRPr="00000000" w14:paraId="00000071">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 branching strategy, commit conventions, and co-located documentation provide a consistent, transparent, and reproducible record of the project's development,  fulfilling both the academic traceability requirements of this capstone and the professional standards of a real-world software engineering workflow.</w:t>
      </w:r>
    </w:p>
    <w:p w:rsidR="00000000" w:rsidDel="00000000" w:rsidP="00000000" w:rsidRDefault="00000000" w:rsidRPr="00000000" w14:paraId="00000072">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83">
      <w:pPr>
        <w:pStyle w:val="Heading1"/>
        <w:keepNext w:val="0"/>
        <w:keepLines w:val="0"/>
        <w:spacing w:after="240" w:before="480" w:lineRule="auto"/>
        <w:jc w:val="center"/>
        <w:rPr>
          <w:rFonts w:ascii="Times New Roman" w:cs="Times New Roman" w:eastAsia="Times New Roman" w:hAnsi="Times New Roman"/>
          <w:b w:val="1"/>
          <w:bCs w:val="1"/>
          <w:sz w:val="24"/>
          <w:szCs w:val="24"/>
        </w:rPr>
      </w:pPr>
      <w:bookmarkStart w:colFirst="0" w:colLast="0" w:name="_vitk061isvj9" w:id="8"/>
      <w:bookmarkEnd w:id="8"/>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84">
      <w:pPr>
        <w:spacing w:after="80" w:before="8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Chacon, S., &amp; Straub, B. (2014). </w:t>
      </w:r>
      <w:r w:rsidDel="00000000" w:rsidR="00000000" w:rsidRPr="00000000">
        <w:rPr>
          <w:rFonts w:ascii="Times New Roman" w:cs="Times New Roman" w:eastAsia="Times New Roman" w:hAnsi="Times New Roman"/>
          <w:i w:val="1"/>
          <w:iCs w:val="1"/>
          <w:sz w:val="24"/>
          <w:szCs w:val="24"/>
          <w:rtl w:val="0"/>
        </w:rPr>
        <w:t xml:space="preserve">Pro Git</w:t>
      </w:r>
      <w:r w:rsidDel="00000000" w:rsidR="00000000" w:rsidRPr="00000000">
        <w:rPr>
          <w:rFonts w:ascii="Times New Roman" w:cs="Times New Roman" w:eastAsia="Times New Roman" w:hAnsi="Times New Roman"/>
          <w:sz w:val="24"/>
          <w:szCs w:val="24"/>
          <w:rtl w:val="0"/>
        </w:rPr>
        <w:t xml:space="preserve"> (2nd ed.). Apress. https://git-scm.com/book/en/v2</w:t>
      </w:r>
    </w:p>
    <w:p w:rsidR="00000000" w:rsidDel="00000000" w:rsidP="00000000" w:rsidRDefault="00000000" w:rsidRPr="00000000" w14:paraId="00000085">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spacing w:after="80" w:before="8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Davies, S. (2024). </w:t>
      </w:r>
      <w:r w:rsidDel="00000000" w:rsidR="00000000" w:rsidRPr="00000000">
        <w:rPr>
          <w:rFonts w:ascii="Times New Roman" w:cs="Times New Roman" w:eastAsia="Times New Roman" w:hAnsi="Times New Roman"/>
          <w:i w:val="1"/>
          <w:iCs w:val="1"/>
          <w:sz w:val="24"/>
          <w:szCs w:val="24"/>
          <w:rtl w:val="0"/>
        </w:rPr>
        <w:t xml:space="preserve">Blueprints: Creating, describing, and implementing designs for larger-scale software projects</w:t>
      </w:r>
      <w:r w:rsidDel="00000000" w:rsidR="00000000" w:rsidRPr="00000000">
        <w:rPr>
          <w:rFonts w:ascii="Times New Roman" w:cs="Times New Roman" w:eastAsia="Times New Roman" w:hAnsi="Times New Roman"/>
          <w:sz w:val="24"/>
          <w:szCs w:val="24"/>
          <w:rtl w:val="0"/>
        </w:rPr>
        <w:t xml:space="preserve"> (Version 2.5). University of Mary Washington. https://open.umn.edu/opentextbooks/textbooks/blueprints-creating-describing-and-implementing-designs-for-larger-scale-software-projects-davis</w:t>
      </w:r>
    </w:p>
    <w:p w:rsidR="00000000" w:rsidDel="00000000" w:rsidP="00000000" w:rsidRDefault="00000000" w:rsidRPr="00000000" w14:paraId="00000087">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spacing w:after="80" w:before="8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Homoliak, I., Toffalini, F., Guarnizo, J., Elovici, Y., &amp; Ochoa, M. (2020). A security reference architecture for insider threat detection. </w:t>
      </w:r>
      <w:r w:rsidDel="00000000" w:rsidR="00000000" w:rsidRPr="00000000">
        <w:rPr>
          <w:rFonts w:ascii="Times New Roman" w:cs="Times New Roman" w:eastAsia="Times New Roman" w:hAnsi="Times New Roman"/>
          <w:i w:val="1"/>
          <w:iCs w:val="1"/>
          <w:sz w:val="24"/>
          <w:szCs w:val="24"/>
          <w:rtl w:val="0"/>
        </w:rPr>
        <w:t xml:space="preserve">Computers &amp; Security, 89</w:t>
      </w:r>
      <w:r w:rsidDel="00000000" w:rsidR="00000000" w:rsidRPr="00000000">
        <w:rPr>
          <w:rFonts w:ascii="Times New Roman" w:cs="Times New Roman" w:eastAsia="Times New Roman" w:hAnsi="Times New Roman"/>
          <w:sz w:val="24"/>
          <w:szCs w:val="24"/>
          <w:rtl w:val="0"/>
        </w:rPr>
        <w:t xml:space="preserve">, 101658. https://doi.org/10.1016/j.cose.2019.101658</w:t>
      </w:r>
    </w:p>
    <w:p w:rsidR="00000000" w:rsidDel="00000000" w:rsidP="00000000" w:rsidRDefault="00000000" w:rsidRPr="00000000" w14:paraId="00000089">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spacing w:after="80" w:before="8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Letaw, L. (2024). </w:t>
      </w:r>
      <w:r w:rsidDel="00000000" w:rsidR="00000000" w:rsidRPr="00000000">
        <w:rPr>
          <w:rFonts w:ascii="Times New Roman" w:cs="Times New Roman" w:eastAsia="Times New Roman" w:hAnsi="Times New Roman"/>
          <w:i w:val="1"/>
          <w:iCs w:val="1"/>
          <w:sz w:val="24"/>
          <w:szCs w:val="24"/>
          <w:rtl w:val="0"/>
        </w:rPr>
        <w:t xml:space="preserve">Handbook of software engineering methods</w:t>
      </w:r>
      <w:r w:rsidDel="00000000" w:rsidR="00000000" w:rsidRPr="00000000">
        <w:rPr>
          <w:rFonts w:ascii="Times New Roman" w:cs="Times New Roman" w:eastAsia="Times New Roman" w:hAnsi="Times New Roman"/>
          <w:sz w:val="24"/>
          <w:szCs w:val="24"/>
          <w:rtl w:val="0"/>
        </w:rPr>
        <w:t xml:space="preserve"> [Open textbook]. Oregon State University. https://open.oregonstate.education/setextbook/</w:t>
      </w:r>
    </w:p>
    <w:p w:rsidR="00000000" w:rsidDel="00000000" w:rsidP="00000000" w:rsidRDefault="00000000" w:rsidRPr="00000000" w14:paraId="0000008B">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spacing w:after="80" w:before="8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Summers, B. L. (2020). </w:t>
      </w:r>
      <w:r w:rsidDel="00000000" w:rsidR="00000000" w:rsidRPr="00000000">
        <w:rPr>
          <w:rFonts w:ascii="Times New Roman" w:cs="Times New Roman" w:eastAsia="Times New Roman" w:hAnsi="Times New Roman"/>
          <w:i w:val="1"/>
          <w:iCs w:val="1"/>
          <w:sz w:val="24"/>
          <w:szCs w:val="24"/>
          <w:rtl w:val="0"/>
        </w:rPr>
        <w:t xml:space="preserve">Effective methods for software engineering.</w:t>
      </w:r>
      <w:r w:rsidDel="00000000" w:rsidR="00000000" w:rsidRPr="00000000">
        <w:rPr>
          <w:rFonts w:ascii="Times New Roman" w:cs="Times New Roman" w:eastAsia="Times New Roman" w:hAnsi="Times New Roman"/>
          <w:sz w:val="24"/>
          <w:szCs w:val="24"/>
          <w:rtl w:val="0"/>
        </w:rPr>
        <w:t xml:space="preserve"> Auerbach Publishers.</w:t>
      </w:r>
    </w:p>
    <w:p w:rsidR="00000000" w:rsidDel="00000000" w:rsidP="00000000" w:rsidRDefault="00000000" w:rsidRPr="00000000" w14:paraId="0000008D">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spacing w:after="80" w:before="80"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Walker, V. (2022, March 16). 14 software architecture design patterns to know. </w:t>
      </w:r>
      <w:r w:rsidDel="00000000" w:rsidR="00000000" w:rsidRPr="00000000">
        <w:rPr>
          <w:rFonts w:ascii="Times New Roman" w:cs="Times New Roman" w:eastAsia="Times New Roman" w:hAnsi="Times New Roman"/>
          <w:i w:val="1"/>
          <w:iCs w:val="1"/>
          <w:sz w:val="24"/>
          <w:szCs w:val="24"/>
          <w:rtl w:val="0"/>
        </w:rPr>
        <w:t xml:space="preserve">Red Hat.</w:t>
      </w:r>
      <w:r w:rsidDel="00000000" w:rsidR="00000000" w:rsidRPr="00000000">
        <w:rPr>
          <w:rFonts w:ascii="Times New Roman" w:cs="Times New Roman" w:eastAsia="Times New Roman" w:hAnsi="Times New Roman"/>
          <w:sz w:val="24"/>
          <w:szCs w:val="24"/>
          <w:rtl w:val="0"/>
        </w:rPr>
        <w:t xml:space="preserve"> https://www.redhat.com/en/blog/14-software-architecture-patterns</w:t>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