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 (Most Recent Year)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707"/>
        <w:gridCol w:w="1193"/>
        <w:gridCol w:w="1022"/>
      </w:tblGrid>
      <w:tr>
        <w:trPr>
          <w:trHeight w:val="62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Signif.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 Assets (Mean)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2.704.204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18.458.902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-15.754.698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18.686.565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551.759.614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-533.073.049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-56,00%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-91,15%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36,77%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32,80%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887,61%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3.967,58%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-3.079,97%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385.328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Note: Total assets in EUR. Equity ratio = Equity / Total Assets. P-values from Welch’s t-test (means, SDs) and Wilcoxon rank-sum test (medians). Significance levels: * p&lt;0.1, ** p&lt;0.05, *** p&lt;0.01. N = number of firms per group. All p-values &lt;0.001 reported as &lt;0.001. Sample restricted to Berlin firms with total assets ≥ 1,000 EUR (6765 excluded).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2025-05-29T19:02:28Z</dcterms:modified>
  <cp:category/>
</cp:coreProperties>
</file>