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964"/>
        <w:gridCol w:w="1193"/>
      </w:tblGrid>
      <w:tr>
        <w:trPr>
          <w:trHeight w:val="57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2.602.573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18.147.925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-15.545.352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18.339.090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547.097.172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-528.758.082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-5.590,29%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-6.122,84%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532,56%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0,896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0,279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169.541,83%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1.658.901,08%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-1.489.359,26%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0,896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2.953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391.931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Welch's t-test (for means and SDs) and Wilcoxon rank-sum test (for medians). Significance levels: * p&lt;0.1, ** p&lt;0.05, *** p&lt;0.01. N refers to the number of firms in each group. All p-values &lt;0.001 are reported as &lt;0.001. Sample includes all Berlin-based firm-year observations with non-missing data for the respective variables.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2025-05-28T07:21:53Z</dcterms:modified>
  <cp:category/>
</cp:coreProperties>
</file>