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964"/>
        <w:gridCol w:w="1193"/>
      </w:tblGrid>
      <w:tr>
        <w:trPr>
          <w:trHeight w:val="57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2.602.573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18.147.925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-15.545.352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18.339.090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547.097.172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-528.758.082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-5.590,29%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-6.122,84%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532,56%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0,896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0,279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169.541,83%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1.658.901,08%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-1.489.359,26%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0,896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2.953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391.931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Welch's t-test (for means and SDs) and Wilcoxon rank-sum test (for medians). Significance levels: * p&lt;0.1, ** p&lt;0.05, *** p&lt;0.01. N refers to the number of firms in each group. All p-values &lt;0.001 are reported as &lt;0.001. Sample includes all Berlin-based firm-year observations with non-missing data for the respective variables.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2025-05-29T18:08:23Z</dcterms:modified>
  <cp:category/>
</cp:coreProperties>
</file>