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Comparison of Firms in Postal Code 10437 vs. Other Berlin Firms</w:t>
      </w:r>
    </w:p>
    <w:p>
      <w:pPr>
        <w:pStyle w:val="Titre2"/>
      </w:pPr>
      <w:r>
        <w:t xml:space="preserve">Total Assets and Equity Ratios (Most Recent Year)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6"/>
        <w:gridCol w:w="2282"/>
        <w:gridCol w:w="2195"/>
        <w:gridCol w:w="1707"/>
        <w:gridCol w:w="1193"/>
        <w:gridCol w:w="1022"/>
      </w:tblGrid>
      <w:tr>
        <w:trPr>
          <w:trHeight w:val="62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Postal Code 10437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 Berlin Firms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Difference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Signif.</w:t>
            </w:r>
          </w:p>
        </w:tc>
      </w:tr>
      <w:tr>
        <w:trPr>
          <w:trHeight w:val="618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Assets (Mean)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2.704.204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18.458.902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-15.754.698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</w:tr>
      <w:tr>
        <w:trPr>
          <w:trHeight w:val="62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Assets (SD)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18.686.565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551.759.614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-533.073.049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***</w:t>
            </w:r>
          </w:p>
        </w:tc>
      </w:tr>
      <w:tr>
        <w:trPr>
          <w:trHeight w:val="61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Equity Ratio (Mean)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-56,00%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-91,15%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35,15%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</w:t>
            </w:r>
          </w:p>
        </w:tc>
      </w:tr>
      <w:tr>
        <w:trPr>
          <w:trHeight w:val="61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Equity Ratio (Median)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36,77%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32,80%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3,96%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</w:t>
            </w:r>
          </w:p>
        </w:tc>
      </w:tr>
      <w:tr>
        <w:trPr>
          <w:trHeight w:val="62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Equity Ratio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887,61%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3.967,58%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-3.079,97%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**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 of Firms (N)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385.328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mbria" w:hAnsi="Cambria" w:eastAsia="Cambria" w:cs="Cambri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Note: Total assets in EUR. Equity ratio = Equity / Total Assets. P-values from Welch’s t-test (means, SDs) and Wilcoxon rank-sum test (medians). Significance levels: * p&lt;0.1, ** p&lt;0.05, *** p&lt;0.01. N = number of firms per group. All p-values &lt;0.001 reported as &lt;0.001. Sample restricted to Berlin firms with total assets ≥ 1,000 EUR (6765 excluded).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2025-05-29T18:40:39Z</dcterms:modified>
  <cp:category/>
</cp:coreProperties>
</file>