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BAA97" w14:textId="3241EC18" w:rsidR="00A808B2" w:rsidRPr="00A808B2" w:rsidRDefault="00A808B2" w:rsidP="00A808B2">
      <w:pPr>
        <w:spacing w:before="100" w:beforeAutospacing="1" w:after="100" w:afterAutospacing="1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en-US" w:eastAsia="fr-FR"/>
        </w:rPr>
      </w:pPr>
      <w:r w:rsidRPr="00BC06C0">
        <w:rPr>
          <w:rFonts w:eastAsia="Times New Roman" w:cstheme="minorHAnsi"/>
          <w:b/>
          <w:bCs/>
          <w:sz w:val="36"/>
          <w:szCs w:val="36"/>
          <w:lang w:val="en-US" w:eastAsia="fr-FR"/>
        </w:rPr>
        <w:t xml:space="preserve">SMA Cross-Over Strategy </w:t>
      </w:r>
      <w:r w:rsidR="00BC06C0">
        <w:rPr>
          <w:rFonts w:eastAsia="Times New Roman" w:cstheme="minorHAnsi"/>
          <w:b/>
          <w:bCs/>
          <w:sz w:val="36"/>
          <w:szCs w:val="36"/>
          <w:lang w:val="en-US" w:eastAsia="fr-FR"/>
        </w:rPr>
        <w:t xml:space="preserve">Results </w:t>
      </w:r>
      <w:r w:rsidRPr="00A808B2">
        <w:rPr>
          <w:rFonts w:eastAsia="Times New Roman" w:cstheme="minorHAnsi"/>
          <w:b/>
          <w:bCs/>
          <w:sz w:val="36"/>
          <w:szCs w:val="36"/>
          <w:lang w:val="en-US" w:eastAsia="fr-FR"/>
        </w:rPr>
        <w:t>Analysis</w:t>
      </w:r>
    </w:p>
    <w:p w14:paraId="7A5C3340" w14:textId="77777777" w:rsidR="00A808B2" w:rsidRPr="00A808B2" w:rsidRDefault="00A808B2" w:rsidP="00A808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val="en-US" w:eastAsia="fr-FR"/>
        </w:rPr>
      </w:pPr>
      <w:r w:rsidRPr="00A808B2">
        <w:rPr>
          <w:rFonts w:eastAsia="Times New Roman" w:cstheme="minorHAnsi"/>
          <w:b/>
          <w:bCs/>
          <w:sz w:val="27"/>
          <w:szCs w:val="27"/>
          <w:lang w:val="en-US" w:eastAsia="fr-FR"/>
        </w:rPr>
        <w:t>1. How the Strategy Works</w:t>
      </w:r>
    </w:p>
    <w:p w14:paraId="3E271AA2" w14:textId="77777777" w:rsidR="00A808B2" w:rsidRP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The Simple Moving Average (SMA) Crossover strategy is a basic trend-following system that uses two moving averages to identify potential changes in market direction. A fast SMA (short-term) reacts quickly to recent prices, while a slow SMA (long-term) smooths out noise and follows the broader trend.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When the fast SMA crosses above the slow SMA, it suggests that momentum is turning bullish and a buy signal is generated. When it crosses below, momentum weakens and the strategy either sells or exits the position.</w:t>
      </w:r>
    </w:p>
    <w:p w14:paraId="7D358068" w14:textId="2684EEA7" w:rsidR="00A808B2" w:rsidRPr="00BC06C0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This approach aims to capture sustained uptrends and avoid large drawdowns during downtrends, though it often enters late and exits late because moving averages are lagging indicators.</w:t>
      </w:r>
    </w:p>
    <w:p w14:paraId="54C45229" w14:textId="70E47548" w:rsidR="00A808B2" w:rsidRP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BC06C0">
        <w:rPr>
          <w:rFonts w:eastAsia="Times New Roman" w:cstheme="minorHAnsi"/>
          <w:noProof/>
          <w:sz w:val="24"/>
          <w:szCs w:val="24"/>
          <w:lang w:val="en-US" w:eastAsia="fr-FR"/>
        </w:rPr>
        <w:drawing>
          <wp:inline distT="0" distB="0" distL="0" distR="0" wp14:anchorId="07745062" wp14:editId="5F277C04">
            <wp:extent cx="6032500" cy="303087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03" cy="30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422B" w14:textId="59F4CBC6" w:rsidR="00BC06C0" w:rsidRPr="00BC06C0" w:rsidRDefault="00BC06C0" w:rsidP="00BC06C0">
      <w:pPr>
        <w:pStyle w:val="Lgende"/>
        <w:jc w:val="center"/>
        <w:rPr>
          <w:rFonts w:ascii="Segoe UI Emoji" w:eastAsia="Times New Roman" w:hAnsi="Segoe UI Emoji" w:cs="Segoe UI Emoji"/>
          <w:b/>
          <w:bCs/>
          <w:color w:val="auto"/>
          <w:sz w:val="28"/>
          <w:szCs w:val="28"/>
          <w:lang w:val="en-US" w:eastAsia="fr-FR"/>
        </w:rPr>
      </w:pPr>
      <w:r w:rsidRPr="00BC06C0">
        <w:rPr>
          <w:b/>
          <w:bCs/>
          <w:color w:val="auto"/>
          <w:sz w:val="20"/>
          <w:szCs w:val="20"/>
          <w:lang w:val="en-US"/>
        </w:rPr>
        <w:t xml:space="preserve">Figure </w: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begin"/>
      </w:r>
      <w:r w:rsidRPr="00BC06C0">
        <w:rPr>
          <w:b/>
          <w:bCs/>
          <w:color w:val="auto"/>
          <w:sz w:val="20"/>
          <w:szCs w:val="20"/>
          <w:lang w:val="en-US"/>
        </w:rPr>
        <w:instrText xml:space="preserve"> SEQ Figure \* ARABIC </w:instrTex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separate"/>
      </w:r>
      <w:r>
        <w:rPr>
          <w:b/>
          <w:bCs/>
          <w:noProof/>
          <w:color w:val="auto"/>
          <w:sz w:val="20"/>
          <w:szCs w:val="20"/>
          <w:lang w:val="en-US"/>
        </w:rPr>
        <w:t>1</w: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end"/>
      </w:r>
      <w:r w:rsidRPr="00BC06C0">
        <w:rPr>
          <w:b/>
          <w:bCs/>
          <w:color w:val="auto"/>
          <w:sz w:val="20"/>
          <w:szCs w:val="20"/>
          <w:lang w:val="en-US"/>
        </w:rPr>
        <w:t>: AAPL with 20-day &amp; 50-day SMAs</w:t>
      </w:r>
    </w:p>
    <w:p w14:paraId="31FFAF53" w14:textId="5ECDC1B9" w:rsidR="00A808B2" w:rsidRPr="00BC06C0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The chart above shows how the fast (20-day) and slow (50-day) averages track Apple’s price. The fast line hugs price more closely, while the slower one reacts with delay. Their</w:t>
      </w:r>
      <w:r w:rsidR="00BC06C0" w:rsidRPr="00BC06C0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>crossovers mark entry and exit points for trades.</w:t>
      </w:r>
    </w:p>
    <w:p w14:paraId="21C75F1C" w14:textId="7898735C" w:rsidR="00A808B2" w:rsidRPr="00BC06C0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</w:p>
    <w:p w14:paraId="0B8E877D" w14:textId="75F06BA6" w:rsidR="00A808B2" w:rsidRPr="00BC06C0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</w:p>
    <w:p w14:paraId="235EA3B6" w14:textId="77777777" w:rsidR="00A808B2" w:rsidRP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</w:p>
    <w:p w14:paraId="38F5D619" w14:textId="77777777" w:rsidR="00A808B2" w:rsidRPr="00A808B2" w:rsidRDefault="00A808B2" w:rsidP="00A808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val="en-US" w:eastAsia="fr-FR"/>
        </w:rPr>
      </w:pPr>
      <w:r w:rsidRPr="00A808B2">
        <w:rPr>
          <w:rFonts w:eastAsia="Times New Roman" w:cstheme="minorHAnsi"/>
          <w:b/>
          <w:bCs/>
          <w:sz w:val="27"/>
          <w:szCs w:val="27"/>
          <w:lang w:val="en-US" w:eastAsia="fr-FR"/>
        </w:rPr>
        <w:lastRenderedPageBreak/>
        <w:t>2. Detailed Explanation of Results</w:t>
      </w:r>
    </w:p>
    <w:p w14:paraId="2A73197F" w14:textId="00BB3FE2" w:rsidR="00A808B2" w:rsidRPr="00BC06C0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Both manual and framework implementations produced consistent results that highlight how this strategy behaves in a strong bullish market.</w:t>
      </w:r>
    </w:p>
    <w:p w14:paraId="24853791" w14:textId="231303B8" w:rsidR="00A808B2" w:rsidRP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BC06C0">
        <w:rPr>
          <w:rFonts w:eastAsia="Times New Roman" w:cstheme="minorHAnsi"/>
          <w:noProof/>
          <w:sz w:val="24"/>
          <w:szCs w:val="24"/>
          <w:lang w:val="en-US" w:eastAsia="fr-FR"/>
        </w:rPr>
        <w:drawing>
          <wp:inline distT="0" distB="0" distL="0" distR="0" wp14:anchorId="2B827A18" wp14:editId="00DC0399">
            <wp:extent cx="6122440" cy="2901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916" cy="290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35F6" w14:textId="27559E62" w:rsidR="00BC06C0" w:rsidRPr="00BC06C0" w:rsidRDefault="00BC06C0" w:rsidP="00BC06C0">
      <w:pPr>
        <w:pStyle w:val="Lgende"/>
        <w:jc w:val="center"/>
        <w:rPr>
          <w:b/>
          <w:bCs/>
          <w:color w:val="auto"/>
          <w:sz w:val="20"/>
          <w:szCs w:val="20"/>
          <w:lang w:val="en-US"/>
        </w:rPr>
      </w:pPr>
      <w:r w:rsidRPr="00BC06C0">
        <w:rPr>
          <w:b/>
          <w:bCs/>
          <w:color w:val="auto"/>
          <w:sz w:val="20"/>
          <w:szCs w:val="20"/>
          <w:lang w:val="en-US"/>
        </w:rPr>
        <w:t xml:space="preserve">Figure </w: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begin"/>
      </w:r>
      <w:r w:rsidRPr="00BC06C0">
        <w:rPr>
          <w:b/>
          <w:bCs/>
          <w:color w:val="auto"/>
          <w:sz w:val="20"/>
          <w:szCs w:val="20"/>
          <w:lang w:val="en-US"/>
        </w:rPr>
        <w:instrText xml:space="preserve"> SEQ Figure \* ARABIC </w:instrTex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separate"/>
      </w:r>
      <w:r>
        <w:rPr>
          <w:b/>
          <w:bCs/>
          <w:noProof/>
          <w:color w:val="auto"/>
          <w:sz w:val="20"/>
          <w:szCs w:val="20"/>
          <w:lang w:val="en-US"/>
        </w:rPr>
        <w:t>2</w: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end"/>
      </w:r>
      <w:r w:rsidRPr="00BC06C0">
        <w:rPr>
          <w:b/>
          <w:bCs/>
          <w:color w:val="auto"/>
          <w:sz w:val="20"/>
          <w:szCs w:val="20"/>
          <w:lang w:val="en-US"/>
        </w:rPr>
        <w:t>: Cumulative Performance: AAPL (</w:t>
      </w:r>
      <w:proofErr w:type="spellStart"/>
      <w:r w:rsidRPr="00BC06C0">
        <w:rPr>
          <w:b/>
          <w:bCs/>
          <w:color w:val="auto"/>
          <w:sz w:val="20"/>
          <w:szCs w:val="20"/>
          <w:lang w:val="en-US"/>
        </w:rPr>
        <w:t>Buy</w:t>
      </w:r>
      <w:proofErr w:type="spellEnd"/>
      <w:r w:rsidRPr="00BC06C0">
        <w:rPr>
          <w:b/>
          <w:bCs/>
          <w:color w:val="auto"/>
          <w:sz w:val="20"/>
          <w:szCs w:val="20"/>
          <w:lang w:val="en-US"/>
        </w:rPr>
        <w:t xml:space="preserve"> &amp; Hold vs SMA </w:t>
      </w:r>
      <w:proofErr w:type="spellStart"/>
      <w:r w:rsidRPr="00BC06C0">
        <w:rPr>
          <w:b/>
          <w:bCs/>
          <w:color w:val="auto"/>
          <w:sz w:val="20"/>
          <w:szCs w:val="20"/>
          <w:lang w:val="en-US"/>
        </w:rPr>
        <w:t>Strategy</w:t>
      </w:r>
      <w:proofErr w:type="spellEnd"/>
      <w:r w:rsidRPr="00BC06C0">
        <w:rPr>
          <w:b/>
          <w:bCs/>
          <w:color w:val="auto"/>
          <w:sz w:val="20"/>
          <w:szCs w:val="20"/>
          <w:lang w:val="en-US"/>
        </w:rPr>
        <w:t>)</w:t>
      </w:r>
    </w:p>
    <w:p w14:paraId="1933E88A" w14:textId="5C8F3370" w:rsidR="00A808B2" w:rsidRPr="00BC06C0" w:rsidRDefault="00A808B2" w:rsidP="00A808B2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In the manual version, the SMA crossover achieved modest gains but significantly underperformed the buy-and-hold benchmark. Apple’s price displayed a long-term upward trend with only temporary corrections. The strategy’s frequent exits during short-term pullbacks caused it to miss large portions of these rallies. Each small reversal produced a crossover, leading to false signals and periods spent out of the market. With trading costs included, total growth reached only around 8%, compared to more than 100% for buy-and-hold.</w:t>
      </w:r>
    </w:p>
    <w:p w14:paraId="19EA861F" w14:textId="590E5B56" w:rsidR="00A808B2" w:rsidRPr="00BC06C0" w:rsidRDefault="00A808B2" w:rsidP="00A808B2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BC06C0">
        <w:rPr>
          <w:rFonts w:eastAsia="Times New Roman" w:cstheme="minorHAnsi"/>
          <w:sz w:val="24"/>
          <w:szCs w:val="24"/>
          <w:lang w:val="en-US" w:eastAsia="fr-FR"/>
        </w:rPr>
        <w:t>I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>n the framework implementation (using backtesting.py), results improved.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The system returned roughly +45%, with a Sharpe ratio of 0.38 and a maximum drawdown of about -25%. The difference came from more precise execution, automatic compounding, and the absence of the two-day confirmation filter used in the manual approach.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Still, the overall picture remains the same the SMA crossover lagged behind the market’s full return because it repeatedly exited strong uptrends and re-entered only after confirmation, missing early phases of price recoveries.</w:t>
      </w:r>
    </w:p>
    <w:p w14:paraId="349F575D" w14:textId="5FE74C45" w:rsidR="00A808B2" w:rsidRPr="00BC06C0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</w:p>
    <w:p w14:paraId="5EF6F000" w14:textId="6BA41F72" w:rsidR="00A808B2" w:rsidRPr="00BC06C0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BC06C0">
        <w:rPr>
          <w:rFonts w:eastAsia="Times New Roman" w:cstheme="minorHAnsi"/>
          <w:noProof/>
          <w:sz w:val="24"/>
          <w:szCs w:val="24"/>
          <w:lang w:val="en-US" w:eastAsia="fr-FR"/>
        </w:rPr>
        <w:lastRenderedPageBreak/>
        <w:drawing>
          <wp:inline distT="0" distB="0" distL="0" distR="0" wp14:anchorId="7F886A65" wp14:editId="03158451">
            <wp:extent cx="5803900" cy="324722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535" cy="32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B9DC" w14:textId="407BE244" w:rsidR="00BC06C0" w:rsidRPr="00BC06C0" w:rsidRDefault="00BC06C0" w:rsidP="00BC06C0">
      <w:pPr>
        <w:pStyle w:val="Lgende"/>
        <w:jc w:val="center"/>
        <w:rPr>
          <w:b/>
          <w:bCs/>
          <w:color w:val="auto"/>
          <w:sz w:val="20"/>
          <w:szCs w:val="20"/>
          <w:lang w:val="en-US"/>
        </w:rPr>
      </w:pPr>
      <w:r w:rsidRPr="00BC06C0">
        <w:rPr>
          <w:b/>
          <w:bCs/>
          <w:color w:val="auto"/>
          <w:sz w:val="20"/>
          <w:szCs w:val="20"/>
          <w:lang w:val="en-US"/>
        </w:rPr>
        <w:t xml:space="preserve">Figure </w: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begin"/>
      </w:r>
      <w:r w:rsidRPr="00BC06C0">
        <w:rPr>
          <w:b/>
          <w:bCs/>
          <w:color w:val="auto"/>
          <w:sz w:val="20"/>
          <w:szCs w:val="20"/>
          <w:lang w:val="en-US"/>
        </w:rPr>
        <w:instrText xml:space="preserve"> SEQ Figure \* ARABIC </w:instrTex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separate"/>
      </w:r>
      <w:r w:rsidRPr="00BC06C0">
        <w:rPr>
          <w:b/>
          <w:bCs/>
          <w:color w:val="auto"/>
          <w:sz w:val="20"/>
          <w:szCs w:val="20"/>
          <w:lang w:val="en-US"/>
        </w:rPr>
        <w:t>3</w:t>
      </w:r>
      <w:r w:rsidRPr="00BC06C0">
        <w:rPr>
          <w:b/>
          <w:bCs/>
          <w:color w:val="auto"/>
          <w:sz w:val="20"/>
          <w:szCs w:val="20"/>
          <w:lang w:val="en-US"/>
        </w:rPr>
        <w:fldChar w:fldCharType="end"/>
      </w:r>
      <w:r w:rsidRPr="00BC06C0">
        <w:rPr>
          <w:b/>
          <w:bCs/>
          <w:color w:val="auto"/>
          <w:sz w:val="20"/>
          <w:szCs w:val="20"/>
          <w:lang w:val="en-US"/>
        </w:rPr>
        <w:t xml:space="preserve">: Framework </w:t>
      </w:r>
      <w:proofErr w:type="spellStart"/>
      <w:r w:rsidRPr="00BC06C0">
        <w:rPr>
          <w:b/>
          <w:bCs/>
          <w:color w:val="auto"/>
          <w:sz w:val="20"/>
          <w:szCs w:val="20"/>
          <w:lang w:val="en-US"/>
        </w:rPr>
        <w:t>backtest</w:t>
      </w:r>
      <w:proofErr w:type="spellEnd"/>
      <w:r w:rsidRPr="00BC06C0">
        <w:rPr>
          <w:b/>
          <w:bCs/>
          <w:color w:val="auto"/>
          <w:sz w:val="20"/>
          <w:szCs w:val="20"/>
          <w:lang w:val="en-US"/>
        </w:rPr>
        <w:t>: EMA 20/50 results</w:t>
      </w:r>
    </w:p>
    <w:p w14:paraId="18AB8B52" w14:textId="70B062AC" w:rsidR="00A808B2" w:rsidRPr="00A808B2" w:rsidRDefault="00A808B2" w:rsidP="00BC06C0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The framework plot shows the entry and exit trades (green and red markers) along with equity progression. The system captured some medium-term trends effectively but lost performance during sideways or gently rising periods when crossovers occurred too frequently. The exposure time was around 60%, meaning the strategy stayed out of the market almost 40% of the time</w:t>
      </w:r>
      <w:r w:rsidRPr="00BC06C0">
        <w:rPr>
          <w:rFonts w:eastAsia="Times New Roman" w:cstheme="minorHAnsi"/>
          <w:sz w:val="24"/>
          <w:szCs w:val="24"/>
          <w:lang w:val="en-US" w:eastAsia="fr-FR"/>
        </w:rPr>
        <w:t xml:space="preserve">, 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>one reason it trails a full-exposure buy-and-hold position.</w:t>
      </w:r>
    </w:p>
    <w:p w14:paraId="080C7AC5" w14:textId="77777777" w:rsidR="00A808B2" w:rsidRPr="00A808B2" w:rsidRDefault="00A808B2" w:rsidP="00A808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val="en-US" w:eastAsia="fr-FR"/>
        </w:rPr>
      </w:pPr>
      <w:r w:rsidRPr="00A808B2">
        <w:rPr>
          <w:rFonts w:eastAsia="Times New Roman" w:cstheme="minorHAnsi"/>
          <w:b/>
          <w:bCs/>
          <w:sz w:val="27"/>
          <w:szCs w:val="27"/>
          <w:lang w:val="en-US" w:eastAsia="fr-FR"/>
        </w:rPr>
        <w:t>3. Suitable Market Conditions</w:t>
      </w:r>
    </w:p>
    <w:p w14:paraId="61CE90F6" w14:textId="77777777" w:rsidR="00A808B2" w:rsidRP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The SMA crossover works best in </w:t>
      </w: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clearly trending or volatile markets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where long directional moves are common.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Examples include:</w:t>
      </w:r>
    </w:p>
    <w:p w14:paraId="4C9C0C73" w14:textId="77777777" w:rsidR="00A808B2" w:rsidRPr="00A808B2" w:rsidRDefault="00A808B2" w:rsidP="00A808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Commodities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like oil, gold, or agricultural futures.</w:t>
      </w:r>
    </w:p>
    <w:p w14:paraId="199684E0" w14:textId="77777777" w:rsidR="00A808B2" w:rsidRPr="00A808B2" w:rsidRDefault="00A808B2" w:rsidP="00A808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Foreign exchange markets (Forex)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>, where currencies trend for extended periods.</w:t>
      </w:r>
    </w:p>
    <w:p w14:paraId="3E744AD5" w14:textId="77777777" w:rsidR="00A808B2" w:rsidRPr="00A808B2" w:rsidRDefault="00A808B2" w:rsidP="00A808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Indices or ETFs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that experience long bull and bear cycles.</w:t>
      </w:r>
    </w:p>
    <w:p w14:paraId="3BB767CC" w14:textId="39C64FC1" w:rsid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In these environments, the crossover can ride strong momentum and avoid deep losses during reversals.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In contrast, in steady bull markets such as Apple’s long rally, the system underperforms because its lagging signals repeatedly push it out of profitable positions.</w:t>
      </w:r>
    </w:p>
    <w:p w14:paraId="07EE6EEA" w14:textId="6121CBA4" w:rsidR="00BC06C0" w:rsidRDefault="00BC06C0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</w:p>
    <w:p w14:paraId="688E3B1A" w14:textId="77777777" w:rsidR="00BC06C0" w:rsidRPr="00A808B2" w:rsidRDefault="00BC06C0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</w:p>
    <w:p w14:paraId="0615D887" w14:textId="77777777" w:rsidR="00A808B2" w:rsidRPr="00A808B2" w:rsidRDefault="00A808B2" w:rsidP="00A808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val="en-US" w:eastAsia="fr-FR"/>
        </w:rPr>
      </w:pPr>
      <w:r w:rsidRPr="00A808B2">
        <w:rPr>
          <w:rFonts w:eastAsia="Times New Roman" w:cstheme="minorHAnsi"/>
          <w:b/>
          <w:bCs/>
          <w:sz w:val="27"/>
          <w:szCs w:val="27"/>
          <w:lang w:val="en-US" w:eastAsia="fr-FR"/>
        </w:rPr>
        <w:lastRenderedPageBreak/>
        <w:t>4. Ways to Improve the Strategy</w:t>
      </w:r>
    </w:p>
    <w:p w14:paraId="0F20573D" w14:textId="77777777" w:rsidR="00A808B2" w:rsidRP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Several practical tweaks can improve performance and stability:</w:t>
      </w:r>
    </w:p>
    <w:p w14:paraId="66BF685E" w14:textId="77777777" w:rsidR="00A808B2" w:rsidRPr="00A808B2" w:rsidRDefault="00A808B2" w:rsidP="00A808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Adjust SMA Windows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– Using longer periods such as 50/200 days reduces false crossovers and aligns better with longer trends.</w:t>
      </w:r>
    </w:p>
    <w:p w14:paraId="5813DA9A" w14:textId="77777777" w:rsidR="00A808B2" w:rsidRPr="00A808B2" w:rsidRDefault="00A808B2" w:rsidP="00A808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Use EMA Instead of SMA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– Exponential averages respond faster to new data and may capture momentum earlier.</w:t>
      </w:r>
    </w:p>
    <w:p w14:paraId="0CB63AD6" w14:textId="77777777" w:rsidR="00A808B2" w:rsidRPr="00A808B2" w:rsidRDefault="00A808B2" w:rsidP="00A808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Add a Threshold (Filter)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– Require the fast SMA to exceed the slow SMA by a small percentage (e.g., 0.2%) before entering to avoid micro-crossovers.</w:t>
      </w:r>
    </w:p>
    <w:p w14:paraId="45FBE501" w14:textId="77777777" w:rsidR="00A808B2" w:rsidRPr="00A808B2" w:rsidRDefault="00A808B2" w:rsidP="00A808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Regime Filtering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– Activate the strategy only when the overall market trend (for example, using a 200-day SMA on the index) is upward.</w:t>
      </w:r>
    </w:p>
    <w:p w14:paraId="6B8D3938" w14:textId="77777777" w:rsidR="00A808B2" w:rsidRPr="00A808B2" w:rsidRDefault="00A808B2" w:rsidP="00A808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b/>
          <w:bCs/>
          <w:sz w:val="24"/>
          <w:szCs w:val="24"/>
          <w:lang w:val="en-US" w:eastAsia="fr-FR"/>
        </w:rPr>
        <w:t>Optimize Parameters Carefully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– </w:t>
      </w:r>
      <w:proofErr w:type="spellStart"/>
      <w:r w:rsidRPr="00A808B2">
        <w:rPr>
          <w:rFonts w:eastAsia="Times New Roman" w:cstheme="minorHAnsi"/>
          <w:sz w:val="24"/>
          <w:szCs w:val="24"/>
          <w:lang w:val="en-US" w:eastAsia="fr-FR"/>
        </w:rPr>
        <w:t>Backtest</w:t>
      </w:r>
      <w:proofErr w:type="spellEnd"/>
      <w:r w:rsidRPr="00A808B2">
        <w:rPr>
          <w:rFonts w:eastAsia="Times New Roman" w:cstheme="minorHAnsi"/>
          <w:sz w:val="24"/>
          <w:szCs w:val="24"/>
          <w:lang w:val="en-US" w:eastAsia="fr-FR"/>
        </w:rPr>
        <w:t xml:space="preserve"> several combinations while guarding against overfitting by using different time periods or assets.</w:t>
      </w:r>
    </w:p>
    <w:p w14:paraId="563DD514" w14:textId="0AFD4C6C" w:rsidR="00A808B2" w:rsidRPr="00A808B2" w:rsidRDefault="00A808B2" w:rsidP="00A808B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With such improvements, the crossover can become a more effective trend-following tool that balances responsiveness and stability.</w:t>
      </w:r>
    </w:p>
    <w:p w14:paraId="1D24372F" w14:textId="77777777" w:rsidR="00A808B2" w:rsidRPr="00A808B2" w:rsidRDefault="00A808B2" w:rsidP="00A808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val="en-US" w:eastAsia="fr-FR"/>
        </w:rPr>
      </w:pPr>
      <w:r w:rsidRPr="00A808B2">
        <w:rPr>
          <w:rFonts w:eastAsia="Times New Roman" w:cstheme="minorHAnsi"/>
          <w:b/>
          <w:bCs/>
          <w:sz w:val="27"/>
          <w:szCs w:val="27"/>
          <w:lang w:val="en-US" w:eastAsia="fr-FR"/>
        </w:rPr>
        <w:t>5. Summary</w:t>
      </w:r>
    </w:p>
    <w:p w14:paraId="1165D487" w14:textId="77777777" w:rsidR="00A808B2" w:rsidRPr="00A808B2" w:rsidRDefault="00A808B2" w:rsidP="00BC06C0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n-US" w:eastAsia="fr-FR"/>
        </w:rPr>
      </w:pPr>
      <w:r w:rsidRPr="00A808B2">
        <w:rPr>
          <w:rFonts w:eastAsia="Times New Roman" w:cstheme="minorHAnsi"/>
          <w:sz w:val="24"/>
          <w:szCs w:val="24"/>
          <w:lang w:val="en-US" w:eastAsia="fr-FR"/>
        </w:rPr>
        <w:t>Both manual and framework implementations led to consistent conclusions.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The SMA crossover strategy performed positively but underperformed buy-and-hold in a strong trending stock like Apple.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It remains useful in markets characterized by clear directional trends or frequent reversals, where its ability to follow momentum helps reduce drawdowns.</w:t>
      </w:r>
      <w:r w:rsidRPr="00A808B2">
        <w:rPr>
          <w:rFonts w:eastAsia="Times New Roman" w:cstheme="minorHAnsi"/>
          <w:sz w:val="24"/>
          <w:szCs w:val="24"/>
          <w:lang w:val="en-US" w:eastAsia="fr-FR"/>
        </w:rPr>
        <w:br/>
        <w:t>Future refinements such as longer windows, EMA smoothing, or additional filters can improve the balance between risk and return.</w:t>
      </w:r>
    </w:p>
    <w:p w14:paraId="78E81F70" w14:textId="77777777" w:rsidR="00566839" w:rsidRPr="00BC06C0" w:rsidRDefault="00566839" w:rsidP="00A808B2">
      <w:pPr>
        <w:rPr>
          <w:rFonts w:cstheme="minorHAnsi"/>
          <w:lang w:val="en-US"/>
        </w:rPr>
      </w:pPr>
    </w:p>
    <w:sectPr w:rsidR="00566839" w:rsidRPr="00BC06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F698B"/>
    <w:multiLevelType w:val="multilevel"/>
    <w:tmpl w:val="9EB2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A23D7B"/>
    <w:multiLevelType w:val="multilevel"/>
    <w:tmpl w:val="BBC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808B2"/>
    <w:rsid w:val="00566839"/>
    <w:rsid w:val="00A808B2"/>
    <w:rsid w:val="00BC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ADDE"/>
  <w15:chartTrackingRefBased/>
  <w15:docId w15:val="{4826EA4D-9E24-4EDA-9615-75C25903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80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80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808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808B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80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808B2"/>
    <w:rPr>
      <w:b/>
      <w:bCs/>
    </w:rPr>
  </w:style>
  <w:style w:type="character" w:styleId="Accentuation">
    <w:name w:val="Emphasis"/>
    <w:basedOn w:val="Policepardfaut"/>
    <w:uiPriority w:val="20"/>
    <w:qFormat/>
    <w:rsid w:val="00A808B2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808B2"/>
    <w:rPr>
      <w:rFonts w:ascii="Courier New" w:eastAsia="Times New Roman" w:hAnsi="Courier New" w:cs="Courier New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BC06C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5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E94E-DD9F-4D06-BB5F-13E802B48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755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Dimitri</dc:creator>
  <cp:keywords/>
  <dc:description/>
  <cp:lastModifiedBy>Florian Dimitri</cp:lastModifiedBy>
  <cp:revision>1</cp:revision>
  <dcterms:created xsi:type="dcterms:W3CDTF">2025-10-13T13:57:00Z</dcterms:created>
  <dcterms:modified xsi:type="dcterms:W3CDTF">2025-10-13T14:12:00Z</dcterms:modified>
</cp:coreProperties>
</file>