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r>
        <w:rPr>
          <w:b/>
          <w:sz w:val="40"/>
          <w:szCs w:val="40"/>
          <w:lang w:val="en-US"/>
        </w:rPr>
        <w:t>2</w:t>
      </w:r>
    </w:p>
    <w:p w:rsidR="00F513DC" w:rsidRDefault="00F513DC" w:rsidP="001F74FC">
      <w:pPr>
        <w:rPr>
          <w:lang w:val="en-US"/>
        </w:rPr>
      </w:pPr>
      <w:r w:rsidRPr="00CC4967">
        <w:rPr>
          <w:lang w:val="en-US"/>
        </w:rPr>
        <w:t xml:space="preserve">This chapter </w:t>
      </w:r>
    </w:p>
    <w:p w:rsidR="00F513DC" w:rsidRDefault="00F513DC" w:rsidP="001F74FC">
      <w:pPr>
        <w:rPr>
          <w:lang w:val="en-US"/>
        </w:rPr>
      </w:pP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Sentiment analysis</w:t>
      </w:r>
      <w:r>
        <w:rPr>
          <w:u w:val="single"/>
          <w:lang w:val="en-US"/>
        </w:rPr>
        <w:t xml:space="preserve"> (also Opinion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Machine learning</w:t>
      </w:r>
    </w:p>
    <w:p w:rsidR="00F513DC" w:rsidRDefault="00F513DC" w:rsidP="001F74FC">
      <w:pPr>
        <w:rPr>
          <w:lang w:val="en-US"/>
        </w:rPr>
      </w:pPr>
      <w:r>
        <w:rPr>
          <w:lang w:val="en-US"/>
        </w:rPr>
        <w:t>supervised/unsupervised/…</w:t>
      </w:r>
    </w:p>
    <w:p w:rsidR="00F513DC" w:rsidRDefault="00F513DC" w:rsidP="001F74FC">
      <w:pPr>
        <w:rPr>
          <w:lang w:val="en-US"/>
        </w:rPr>
      </w:pPr>
      <w:r>
        <w:rPr>
          <w:lang w:val="en-US"/>
        </w:rPr>
        <w:t>regression/classification</w:t>
      </w:r>
    </w:p>
    <w:p w:rsidR="00F513DC" w:rsidRDefault="00F513DC" w:rsidP="001F74FC">
      <w:pPr>
        <w:rPr>
          <w:lang w:val="en-US"/>
        </w:rPr>
      </w:pPr>
    </w:p>
    <w:p w:rsidR="00F513DC" w:rsidRDefault="00F513DC" w:rsidP="001F74FC">
      <w:pPr>
        <w:rPr>
          <w:lang w:val="en-US"/>
        </w:rPr>
      </w:pPr>
    </w:p>
    <w:p w:rsidR="009B2660" w:rsidRDefault="009B2660">
      <w:pPr>
        <w:rPr>
          <w:u w:val="single"/>
          <w:lang w:val="en-US"/>
        </w:rPr>
      </w:pPr>
      <w:r>
        <w:rPr>
          <w:u w:val="single"/>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 (=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 ${1,</w:t>
      </w:r>
      <w:proofErr w:type="gramStart"/>
      <w:r w:rsidR="006A0DAD">
        <w:rPr>
          <w:lang w:val="en-US"/>
        </w:rPr>
        <w:t>2,\</w:t>
      </w:r>
      <w:proofErr w:type="spellStart"/>
      <w:proofErr w:type="gramEnd"/>
      <w:r w:rsidR="006A0DAD">
        <w:rPr>
          <w:lang w:val="en-US"/>
        </w:rPr>
        <w:t>dots,k</w:t>
      </w:r>
      <w:proofErr w:type="spellEnd"/>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571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lastRenderedPageBreak/>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one_against_all_or_one</w:t>
      </w:r>
      <w:proofErr w:type="spellEnd"/>
      <w:r w:rsidR="00E73392">
        <w:rPr>
          <w:lang w:val="en-US"/>
        </w:rPr>
        <w:t xml:space="preserve">} on the left.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one_against_all_or_one</w:t>
      </w:r>
      <w:proofErr w:type="spellEnd"/>
      <w:r w:rsidR="00F23485">
        <w:rPr>
          <w:lang w:val="en-US"/>
        </w:rPr>
        <w:t>} on the right)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 xml:space="preserve">Each class is assigned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 xml:space="preserve">world problems, in which the classes </w:t>
      </w:r>
      <w:r w:rsidR="00A743F5" w:rsidRPr="00A743F5">
        <w:rPr>
          <w:lang w:val="en-US"/>
        </w:rPr>
        <w:t xml:space="preserve">the class values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nly with the extension that the predicted values still have to be 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Section</w:t>
      </w:r>
      <w:r w:rsidR="005C4925" w:rsidRPr="001749AA">
        <w:rPr>
          <w:lang w:val="en-US"/>
        </w:rPr>
        <w:t>~</w:t>
      </w:r>
      <w:r w:rsidR="005C4925">
        <w:rPr>
          <w:lang w:val="en-US"/>
        </w:rPr>
        <w:t>1</w:t>
      </w:r>
      <w:r w:rsidR="005C4925" w:rsidRPr="001749AA">
        <w:rPr>
          <w:lang w:val="en-US"/>
        </w:rPr>
        <w:t>]{</w:t>
      </w:r>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Chapter</w:t>
      </w:r>
      <w:r w:rsidR="005C4925" w:rsidRPr="001749AA">
        <w:rPr>
          <w:lang w:val="en-US"/>
        </w:rPr>
        <w:t>~</w:t>
      </w:r>
      <w:r w:rsidR="005C4925">
        <w:rPr>
          <w:lang w:val="en-US"/>
        </w:rPr>
        <w:t>13</w:t>
      </w:r>
      <w:r w:rsidR="005C4925" w:rsidRPr="001749AA">
        <w:rPr>
          <w:lang w:val="en-US"/>
        </w:rPr>
        <w:t>]{</w:t>
      </w:r>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w:t>
      </w:r>
      <w:r w:rsidR="00D57462" w:rsidRPr="00D57462">
        <w:rPr>
          <w:lang w:val="en-US"/>
        </w:rPr>
        <w:t xml:space="preserve">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r w:rsidR="0065628C">
        <w:rPr>
          <w:lang w:val="en-US"/>
        </w:rPr>
        <w:t>(</w:t>
      </w:r>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bookmarkStart w:id="0" w:name="_GoBack"/>
      <w:bookmarkEnd w:id="0"/>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proofErr w:type="gramStart"/>
      <w:r w:rsidR="00EE68F0" w:rsidRPr="001749AA">
        <w:rPr>
          <w:lang w:val="en-US"/>
        </w:rPr>
        <w:t>autocite</w:t>
      </w:r>
      <w:proofErr w:type="spellEnd"/>
      <w:r w:rsidR="00EE68F0" w:rsidRPr="001749AA">
        <w:rPr>
          <w:lang w:val="en-US"/>
        </w:rPr>
        <w:t>[</w:t>
      </w:r>
      <w:proofErr w:type="gramEnd"/>
      <w:r w:rsidR="00EE68F0">
        <w:rPr>
          <w:lang w:val="en-US"/>
        </w:rPr>
        <w:t>Chapter</w:t>
      </w:r>
      <w:r w:rsidR="00EE68F0" w:rsidRPr="001749AA">
        <w:rPr>
          <w:lang w:val="en-US"/>
        </w:rPr>
        <w:t>~</w:t>
      </w:r>
      <w:r w:rsidR="00EE68F0">
        <w:rPr>
          <w:lang w:val="en-US"/>
        </w:rPr>
        <w:t>13</w:t>
      </w:r>
      <w:r w:rsidR="00EE68F0" w:rsidRPr="001749AA">
        <w:rPr>
          <w:lang w:val="en-US"/>
        </w:rPr>
        <w:t>]{</w:t>
      </w:r>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lastRenderedPageBreak/>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if the class attribute 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1B2E"/>
    <w:rsid w:val="00060706"/>
    <w:rsid w:val="00061F1C"/>
    <w:rsid w:val="00066934"/>
    <w:rsid w:val="00085BDF"/>
    <w:rsid w:val="00092597"/>
    <w:rsid w:val="000A3949"/>
    <w:rsid w:val="000C6970"/>
    <w:rsid w:val="000D1C35"/>
    <w:rsid w:val="000F264E"/>
    <w:rsid w:val="000F2DDA"/>
    <w:rsid w:val="000F41A8"/>
    <w:rsid w:val="000F440A"/>
    <w:rsid w:val="001009F7"/>
    <w:rsid w:val="00104FE4"/>
    <w:rsid w:val="00107D77"/>
    <w:rsid w:val="00127D80"/>
    <w:rsid w:val="0013150D"/>
    <w:rsid w:val="00140942"/>
    <w:rsid w:val="001412C7"/>
    <w:rsid w:val="00151500"/>
    <w:rsid w:val="00165403"/>
    <w:rsid w:val="001749AA"/>
    <w:rsid w:val="001C2AC9"/>
    <w:rsid w:val="001C469D"/>
    <w:rsid w:val="001E1F93"/>
    <w:rsid w:val="001E29E0"/>
    <w:rsid w:val="001E4BAD"/>
    <w:rsid w:val="001E4E42"/>
    <w:rsid w:val="001F74FC"/>
    <w:rsid w:val="00215884"/>
    <w:rsid w:val="00221799"/>
    <w:rsid w:val="0024397D"/>
    <w:rsid w:val="002442D3"/>
    <w:rsid w:val="00244565"/>
    <w:rsid w:val="0025160B"/>
    <w:rsid w:val="00263448"/>
    <w:rsid w:val="00263B7A"/>
    <w:rsid w:val="0026507D"/>
    <w:rsid w:val="002D4187"/>
    <w:rsid w:val="002D4E00"/>
    <w:rsid w:val="003057F6"/>
    <w:rsid w:val="00307597"/>
    <w:rsid w:val="00310EB1"/>
    <w:rsid w:val="00332BC4"/>
    <w:rsid w:val="00343A88"/>
    <w:rsid w:val="003517D6"/>
    <w:rsid w:val="00364D33"/>
    <w:rsid w:val="00365F5A"/>
    <w:rsid w:val="00366F6E"/>
    <w:rsid w:val="00380267"/>
    <w:rsid w:val="003828DE"/>
    <w:rsid w:val="003B5E6B"/>
    <w:rsid w:val="003E1AB7"/>
    <w:rsid w:val="003E5857"/>
    <w:rsid w:val="00413707"/>
    <w:rsid w:val="00415480"/>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46425"/>
    <w:rsid w:val="00556609"/>
    <w:rsid w:val="00591C33"/>
    <w:rsid w:val="005C06BD"/>
    <w:rsid w:val="005C2EEA"/>
    <w:rsid w:val="005C4925"/>
    <w:rsid w:val="005D1106"/>
    <w:rsid w:val="005D45F1"/>
    <w:rsid w:val="005E0EDF"/>
    <w:rsid w:val="0060781C"/>
    <w:rsid w:val="00623714"/>
    <w:rsid w:val="0065628C"/>
    <w:rsid w:val="00663B0B"/>
    <w:rsid w:val="00677184"/>
    <w:rsid w:val="006777FF"/>
    <w:rsid w:val="006853EE"/>
    <w:rsid w:val="00691740"/>
    <w:rsid w:val="00691C5B"/>
    <w:rsid w:val="006A0DAD"/>
    <w:rsid w:val="006A2837"/>
    <w:rsid w:val="006A6A4A"/>
    <w:rsid w:val="006B1CE6"/>
    <w:rsid w:val="006C602F"/>
    <w:rsid w:val="006D283B"/>
    <w:rsid w:val="007434F6"/>
    <w:rsid w:val="00764AAE"/>
    <w:rsid w:val="007722C6"/>
    <w:rsid w:val="007731B0"/>
    <w:rsid w:val="0078544C"/>
    <w:rsid w:val="0078706A"/>
    <w:rsid w:val="00792382"/>
    <w:rsid w:val="00794CC8"/>
    <w:rsid w:val="007A49A2"/>
    <w:rsid w:val="007B6A9A"/>
    <w:rsid w:val="007C0050"/>
    <w:rsid w:val="007D3817"/>
    <w:rsid w:val="007D3A18"/>
    <w:rsid w:val="007D514F"/>
    <w:rsid w:val="007E1FA6"/>
    <w:rsid w:val="007F25BD"/>
    <w:rsid w:val="00807013"/>
    <w:rsid w:val="00813371"/>
    <w:rsid w:val="00831A40"/>
    <w:rsid w:val="00852617"/>
    <w:rsid w:val="00852C5D"/>
    <w:rsid w:val="00856194"/>
    <w:rsid w:val="00870F30"/>
    <w:rsid w:val="00891801"/>
    <w:rsid w:val="008A1F5C"/>
    <w:rsid w:val="008A70C1"/>
    <w:rsid w:val="008B0E6F"/>
    <w:rsid w:val="008B5262"/>
    <w:rsid w:val="008C7814"/>
    <w:rsid w:val="008E0ABE"/>
    <w:rsid w:val="008F12D9"/>
    <w:rsid w:val="008F175A"/>
    <w:rsid w:val="00907689"/>
    <w:rsid w:val="00910358"/>
    <w:rsid w:val="00930ECE"/>
    <w:rsid w:val="009439C3"/>
    <w:rsid w:val="00962D77"/>
    <w:rsid w:val="00963405"/>
    <w:rsid w:val="00983324"/>
    <w:rsid w:val="009B2660"/>
    <w:rsid w:val="009B5B1F"/>
    <w:rsid w:val="009F4D9A"/>
    <w:rsid w:val="00A10C1B"/>
    <w:rsid w:val="00A32C13"/>
    <w:rsid w:val="00A34143"/>
    <w:rsid w:val="00A403F5"/>
    <w:rsid w:val="00A6789B"/>
    <w:rsid w:val="00A723FD"/>
    <w:rsid w:val="00A743F5"/>
    <w:rsid w:val="00A9753B"/>
    <w:rsid w:val="00AB342C"/>
    <w:rsid w:val="00AB5CD2"/>
    <w:rsid w:val="00AB7AD0"/>
    <w:rsid w:val="00AC4707"/>
    <w:rsid w:val="00AC5E7A"/>
    <w:rsid w:val="00AD4477"/>
    <w:rsid w:val="00AE061C"/>
    <w:rsid w:val="00B51026"/>
    <w:rsid w:val="00B54213"/>
    <w:rsid w:val="00B63F0A"/>
    <w:rsid w:val="00B73152"/>
    <w:rsid w:val="00B73348"/>
    <w:rsid w:val="00B733A6"/>
    <w:rsid w:val="00B9170F"/>
    <w:rsid w:val="00BA3708"/>
    <w:rsid w:val="00BB166E"/>
    <w:rsid w:val="00BB3EA9"/>
    <w:rsid w:val="00BB66ED"/>
    <w:rsid w:val="00BD012F"/>
    <w:rsid w:val="00BD4F7C"/>
    <w:rsid w:val="00BE020E"/>
    <w:rsid w:val="00BE0811"/>
    <w:rsid w:val="00C10870"/>
    <w:rsid w:val="00C1758F"/>
    <w:rsid w:val="00C27240"/>
    <w:rsid w:val="00C33C95"/>
    <w:rsid w:val="00C535A7"/>
    <w:rsid w:val="00C670DD"/>
    <w:rsid w:val="00C7416C"/>
    <w:rsid w:val="00C83810"/>
    <w:rsid w:val="00C911F2"/>
    <w:rsid w:val="00C97223"/>
    <w:rsid w:val="00CA5A9A"/>
    <w:rsid w:val="00CB0A0D"/>
    <w:rsid w:val="00CC3D13"/>
    <w:rsid w:val="00CF1C69"/>
    <w:rsid w:val="00CF4200"/>
    <w:rsid w:val="00CF713D"/>
    <w:rsid w:val="00D25885"/>
    <w:rsid w:val="00D353E3"/>
    <w:rsid w:val="00D530F8"/>
    <w:rsid w:val="00D57462"/>
    <w:rsid w:val="00D80B92"/>
    <w:rsid w:val="00D8783B"/>
    <w:rsid w:val="00D960FD"/>
    <w:rsid w:val="00DA78FC"/>
    <w:rsid w:val="00DB605E"/>
    <w:rsid w:val="00DB63C0"/>
    <w:rsid w:val="00DC19B6"/>
    <w:rsid w:val="00DC45FB"/>
    <w:rsid w:val="00DD26E9"/>
    <w:rsid w:val="00DE697E"/>
    <w:rsid w:val="00DE7C0A"/>
    <w:rsid w:val="00E23BE1"/>
    <w:rsid w:val="00E360B4"/>
    <w:rsid w:val="00E46613"/>
    <w:rsid w:val="00E54062"/>
    <w:rsid w:val="00E73392"/>
    <w:rsid w:val="00E93490"/>
    <w:rsid w:val="00EA10EF"/>
    <w:rsid w:val="00EA1D00"/>
    <w:rsid w:val="00EA3EBB"/>
    <w:rsid w:val="00EB1C1D"/>
    <w:rsid w:val="00EB26FF"/>
    <w:rsid w:val="00ED3516"/>
    <w:rsid w:val="00EE44BB"/>
    <w:rsid w:val="00EE68C3"/>
    <w:rsid w:val="00EE68F0"/>
    <w:rsid w:val="00F05FCC"/>
    <w:rsid w:val="00F06E2E"/>
    <w:rsid w:val="00F13B3E"/>
    <w:rsid w:val="00F23485"/>
    <w:rsid w:val="00F27105"/>
    <w:rsid w:val="00F3063E"/>
    <w:rsid w:val="00F513DC"/>
    <w:rsid w:val="00F63AD8"/>
    <w:rsid w:val="00F74CF6"/>
    <w:rsid w:val="00F82789"/>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B836"/>
  <w15:chartTrackingRefBased/>
  <w15:docId w15:val="{EF3DE33D-46E8-406C-A505-7CCA314F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 Classification</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 Classification</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 Classification</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 Classification</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 Classification</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 Classification</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 Classification</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 Classification</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 Classification</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 Classification</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3A436-E20A-496D-890A-0C6ACF69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3402</Words>
  <Characters>21437</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94</cp:revision>
  <dcterms:created xsi:type="dcterms:W3CDTF">2019-04-11T23:43:00Z</dcterms:created>
  <dcterms:modified xsi:type="dcterms:W3CDTF">2019-04-21T00:20:00Z</dcterms:modified>
</cp:coreProperties>
</file>