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{sec:</w:t>
      </w:r>
      <w:r w:rsidR="00F604D8" w:rsidRPr="00F604D8">
        <w:rPr>
          <w:lang w:val="en-US"/>
        </w:rPr>
        <w:t>experimental_setup</w:t>
      </w:r>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~\ref{fig:</w:t>
      </w:r>
      <w:bookmarkStart w:id="0" w:name="_GoBack"/>
      <w:bookmarkEnd w:id="0"/>
      <w:r w:rsidR="001E7E33" w:rsidRPr="001E7E33">
        <w:rPr>
          <w:lang w:val="en-US"/>
        </w:rPr>
        <w:t>text_mining_pipeline</w:t>
      </w:r>
      <w:r w:rsidR="001E7E33">
        <w:rPr>
          <w:lang w:val="en-US"/>
        </w:rPr>
        <w:t>}</w:t>
      </w:r>
      <w:r w:rsidRPr="00875778">
        <w:rPr>
          <w:lang w:val="en-US"/>
        </w:rPr>
        <w:t xml:space="preserve"> shows a possible process model based on approaches of </w:t>
      </w:r>
      <w:r w:rsidRPr="00191FFF">
        <w:rPr>
          <w:lang w:val="en-US"/>
        </w:rPr>
        <w:t>\citeauthor{</w:t>
      </w:r>
      <w:r>
        <w:rPr>
          <w:lang w:val="en-US"/>
        </w:rPr>
        <w:t>Schieber2014</w:t>
      </w:r>
      <w:r w:rsidRPr="00191FFF">
        <w:rPr>
          <w:lang w:val="en-US"/>
        </w:rPr>
        <w:t>}</w:t>
      </w:r>
      <w:r>
        <w:rPr>
          <w:lang w:val="en-US"/>
        </w:rPr>
        <w:t xml:space="preserve"> </w:t>
      </w:r>
      <w:r w:rsidRPr="00191FFF">
        <w:rPr>
          <w:lang w:val="en-US"/>
        </w:rPr>
        <w:t>\</w:t>
      </w:r>
      <w:r>
        <w:rPr>
          <w:lang w:val="en-US"/>
        </w:rPr>
        <w:t>auto</w:t>
      </w:r>
      <w:r w:rsidRPr="00191FFF">
        <w:rPr>
          <w:lang w:val="en-US"/>
        </w:rPr>
        <w:t>cite{</w:t>
      </w:r>
      <w:r>
        <w:rPr>
          <w:lang w:val="en-US"/>
        </w:rPr>
        <w:t>Schieber2014</w:t>
      </w:r>
      <w:r w:rsidRPr="00191FFF">
        <w:rPr>
          <w:lang w:val="en-US"/>
        </w:rPr>
        <w:t>}</w:t>
      </w:r>
      <w:r w:rsidRPr="00875778">
        <w:rPr>
          <w:lang w:val="en-US"/>
        </w:rPr>
        <w:t xml:space="preserve"> and </w:t>
      </w:r>
      <w:r w:rsidRPr="00191FFF">
        <w:rPr>
          <w:lang w:val="en-US"/>
        </w:rPr>
        <w:t>\citeauthor{</w:t>
      </w:r>
      <w:r>
        <w:rPr>
          <w:lang w:val="en-US"/>
        </w:rPr>
        <w:t>Kwartler2017</w:t>
      </w:r>
      <w:r w:rsidRPr="00191FFF">
        <w:rPr>
          <w:lang w:val="en-US"/>
        </w:rPr>
        <w:t>}</w:t>
      </w:r>
      <w:r>
        <w:rPr>
          <w:lang w:val="en-US"/>
        </w:rPr>
        <w:t xml:space="preserve"> </w:t>
      </w:r>
      <w:r w:rsidRPr="00191FFF">
        <w:rPr>
          <w:lang w:val="en-US"/>
        </w:rPr>
        <w:t>\</w:t>
      </w:r>
      <w:r>
        <w:rPr>
          <w:lang w:val="en-US"/>
        </w:rPr>
        <w:t>auto</w:t>
      </w:r>
      <w:r w:rsidRPr="00191FFF">
        <w:rPr>
          <w:lang w:val="en-US"/>
        </w:rPr>
        <w:t>cite{</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\citeauthor{</w:t>
      </w:r>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r w:rsidR="005948CB">
        <w:rPr>
          <w:lang w:val="en-US"/>
        </w:rPr>
        <w:t>auto</w:t>
      </w:r>
      <w:r w:rsidR="005948CB" w:rsidRPr="00191FFF">
        <w:rPr>
          <w:lang w:val="en-US"/>
        </w:rPr>
        <w:t>cite</w:t>
      </w:r>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064FBE">
      <w:pPr>
        <w:rPr>
          <w:lang w:val="en-US"/>
        </w:rPr>
      </w:pPr>
      <w:r>
        <w:rPr>
          <w:lang w:val="en-US"/>
        </w:rPr>
        <w:lastRenderedPageBreak/>
        <w:t>As well as for the input we need to determine the type of output we want to receive. But not only the type, also the precision in the range of values is important for the difficulty of the task. In the case of product reviews already mentioned above 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there are instances that are more important than others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\autocite</w:t>
      </w:r>
      <w:r w:rsidR="00F15196" w:rsidRPr="00BA5388">
        <w:rPr>
          <w:color w:val="000000"/>
          <w:lang w:val="en-US"/>
        </w:rPr>
        <w:t>[</w:t>
      </w:r>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\ref{subsec:validation_and_evaluation}</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$d\in\mathbb{X}$</w:t>
      </w:r>
      <w:r w:rsidR="00B96B06">
        <w:rPr>
          <w:lang w:val="en-US"/>
        </w:rPr>
        <w:t xml:space="preserve">, where </w:t>
      </w:r>
      <w:r w:rsidR="00A85059" w:rsidRPr="00A85059">
        <w:rPr>
          <w:lang w:val="en-US"/>
        </w:rPr>
        <w:t>$\math</w:t>
      </w:r>
      <w:r w:rsidR="00A85059">
        <w:rPr>
          <w:lang w:val="en-US"/>
        </w:rPr>
        <w:t>bb</w:t>
      </w:r>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$\math</w:t>
      </w:r>
      <w:r w:rsidR="00A85059">
        <w:rPr>
          <w:lang w:val="en-US"/>
        </w:rPr>
        <w:t>bb</w:t>
      </w:r>
      <w:r w:rsidR="00A85059" w:rsidRPr="00A85059">
        <w:rPr>
          <w:lang w:val="en-US"/>
        </w:rPr>
        <w:t>{C}=\left\{c_{1},c_{2},\dots,c_{J}\right\}$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documents to classes</w:t>
      </w:r>
      <w:r w:rsidR="00B96B06">
        <w:rPr>
          <w:lang w:val="en-US"/>
        </w:rPr>
        <w:t xml:space="preserve">, i.e. </w:t>
      </w:r>
      <w:r w:rsidR="00A03917" w:rsidRPr="00A03917">
        <w:rPr>
          <w:lang w:val="en-US"/>
        </w:rPr>
        <w:t>$\gamma:\mathbb{X}\rightarrow\math</w:t>
      </w:r>
      <w:r w:rsidR="00A03917">
        <w:rPr>
          <w:lang w:val="en-US"/>
        </w:rPr>
        <w:t>bb</w:t>
      </w:r>
      <w:r w:rsidR="00A03917" w:rsidRPr="00A03917">
        <w:rPr>
          <w:lang w:val="en-US"/>
        </w:rPr>
        <w:t>{C}$</w:t>
      </w:r>
      <w:r w:rsidR="00B96B06">
        <w:rPr>
          <w:lang w:val="en-US"/>
        </w:rPr>
        <w:t xml:space="preserve"> </w:t>
      </w:r>
      <w:r w:rsidR="00B96B06" w:rsidRPr="00AB40F4">
        <w:rPr>
          <w:lang w:val="en-US"/>
        </w:rPr>
        <w:t>\autocite</w:t>
      </w:r>
      <w:r w:rsidR="00B96B06" w:rsidRPr="00BA5388">
        <w:rPr>
          <w:color w:val="000000"/>
          <w:lang w:val="en-US"/>
        </w:rPr>
        <w:t>[</w:t>
      </w:r>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 not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 in the form of natural language. Usually, it is hard to evaluate the information contained in this data, because they are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lastRenderedPageBreak/>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r w:rsidR="00703E07">
        <w:rPr>
          <w:lang w:val="en-US"/>
        </w:rPr>
        <w:t>lex</w:t>
      </w:r>
      <w:r w:rsidR="00B129D1">
        <w:rPr>
          <w:lang w:val="en-US"/>
        </w:rPr>
        <w:t>ing</w:t>
      </w:r>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stopwords, </w:t>
      </w:r>
      <w:r w:rsidR="00BF2EB3" w:rsidRPr="00BF2EB3">
        <w:rPr>
          <w:lang w:val="en-US"/>
        </w:rPr>
        <w:t>do not provide added value</w:t>
      </w:r>
      <w:r w:rsidR="00BF2EB3">
        <w:rPr>
          <w:lang w:val="en-US"/>
        </w:rPr>
        <w:t xml:space="preserve"> and can be removed from the token collection. There are lists of stopwords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\autocite{Kharde2016}.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w:t>
      </w:r>
      <w:r w:rsidR="00050D2F">
        <w:rPr>
          <w:lang w:val="en-US"/>
        </w:rPr>
        <w:lastRenderedPageBreak/>
        <w:t xml:space="preserve">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\footnote{\url{</w:t>
      </w:r>
      <w:hyperlink r:id="rId12" w:history="1">
        <w:r w:rsidR="000615A4" w:rsidRPr="00F46B4A">
          <w:rPr>
            <w:rStyle w:val="Hyperlink"/>
            <w:lang w:val="en-US"/>
          </w:rPr>
          <w:t>https://wordnet.princeton.edu/</w:t>
        </w:r>
      </w:hyperlink>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 xml:space="preserve">The idea is to reward rarely occurring tokens with a high </w:t>
      </w:r>
      <w:r w:rsidR="00B32655" w:rsidRPr="00B32655">
        <w:rPr>
          <w:lang w:val="en-US"/>
        </w:rPr>
        <w:lastRenderedPageBreak/>
        <w:t>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\autocite{</w:t>
      </w:r>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is of particular importance for classifiers that, unlike N</w:t>
      </w:r>
      <w:r w:rsidR="00720732">
        <w:rPr>
          <w:lang w:val="en-US"/>
        </w:rPr>
        <w:t>aive</w:t>
      </w:r>
      <w:r w:rsidR="00720732" w:rsidRPr="00720732">
        <w:rPr>
          <w:lang w:val="en-US"/>
        </w:rPr>
        <w:t>B</w:t>
      </w:r>
      <w:r w:rsidR="00720732">
        <w:rPr>
          <w:lang w:val="en-US"/>
        </w:rPr>
        <w:t>ayes</w:t>
      </w:r>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r w:rsidR="00720659">
        <w:rPr>
          <w:lang w:val="en-US"/>
        </w:rPr>
        <w:t>auto</w:t>
      </w:r>
      <w:r w:rsidR="00720659" w:rsidRPr="00191FFF">
        <w:rPr>
          <w:lang w:val="en-US"/>
        </w:rPr>
        <w:t>cite</w:t>
      </w:r>
      <w:r w:rsidR="00720659">
        <w:rPr>
          <w:lang w:val="en-US"/>
        </w:rPr>
        <w:t>[Chapter~13.5]</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r w:rsidR="00D07D6F">
        <w:rPr>
          <w:lang w:val="en-US"/>
        </w:rPr>
        <w:t>auto</w:t>
      </w:r>
      <w:r w:rsidR="00D07D6F" w:rsidRPr="00191FFF">
        <w:rPr>
          <w:lang w:val="en-US"/>
        </w:rPr>
        <w:t>cite</w:t>
      </w:r>
      <w:r w:rsidR="00D07D6F">
        <w:rPr>
          <w:lang w:val="en-US"/>
        </w:rPr>
        <w:t>[Chapter~2.1]</w:t>
      </w:r>
      <w:r w:rsidR="00D07D6F" w:rsidRPr="00191FFF">
        <w:rPr>
          <w:lang w:val="en-US"/>
        </w:rPr>
        <w:t>{</w:t>
      </w:r>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r w:rsidR="00720659">
        <w:rPr>
          <w:lang w:val="en-US"/>
        </w:rPr>
        <w:t>auto</w:t>
      </w:r>
      <w:r w:rsidR="00720659" w:rsidRPr="00191FFF">
        <w:rPr>
          <w:lang w:val="en-US"/>
        </w:rPr>
        <w:t>cite</w:t>
      </w:r>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\autocite{</w:t>
      </w:r>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{subsec:word_embeddings}</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w:t>
      </w:r>
      <w:r w:rsidR="00BB55FC">
        <w:rPr>
          <w:lang w:val="en-US"/>
        </w:rPr>
        <w:lastRenderedPageBreak/>
        <w:t>figure</w:t>
      </w:r>
      <w:r w:rsidR="00883682" w:rsidRPr="00883682">
        <w:rPr>
          <w:lang w:val="en-US"/>
        </w:rPr>
        <w:t>~</w:t>
      </w:r>
      <w:r w:rsidR="00883682" w:rsidRPr="00883682">
        <w:rPr>
          <w:bCs/>
          <w:lang w:val="en-US"/>
        </w:rPr>
        <w:t>\</w:t>
      </w:r>
      <w:r w:rsidR="00DF074C">
        <w:rPr>
          <w:bCs/>
          <w:lang w:val="en-US"/>
        </w:rPr>
        <w:t>ref</w:t>
      </w:r>
      <w:r w:rsidR="00883682" w:rsidRPr="00883682">
        <w:rPr>
          <w:bCs/>
          <w:lang w:val="en-US"/>
        </w:rPr>
        <w:t>{fig:learning_approaches_sentiment_analysis}</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\autocite{Kharde2016}.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classification function</w:t>
      </w:r>
      <w:r w:rsidR="003B2582">
        <w:rPr>
          <w:lang w:val="en-US"/>
        </w:rPr>
        <w:t>:</w:t>
      </w:r>
      <w:r w:rsidRPr="00B96B06">
        <w:rPr>
          <w:lang w:val="en-US"/>
        </w:rPr>
        <w:t xml:space="preserve"> </w:t>
      </w:r>
      <w:r w:rsidRPr="00A03917">
        <w:rPr>
          <w:lang w:val="en-US"/>
        </w:rPr>
        <w:t>$\gamma:\mathbb{X}\rightarrow\math</w:t>
      </w:r>
      <w:r>
        <w:rPr>
          <w:lang w:val="en-US"/>
        </w:rPr>
        <w:t>bb</w:t>
      </w:r>
      <w:r w:rsidRPr="00A03917">
        <w:rPr>
          <w:lang w:val="en-US"/>
        </w:rPr>
        <w:t>{C}$</w:t>
      </w:r>
      <w:r w:rsidR="00E87410">
        <w:rPr>
          <w:lang w:val="en-US"/>
        </w:rPr>
        <w:t>.</w:t>
      </w:r>
      <w:r>
        <w:rPr>
          <w:lang w:val="en-US"/>
        </w:rPr>
        <w:t xml:space="preserve">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\autocite{</w:t>
      </w:r>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lastRenderedPageBreak/>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\cdot</w:t>
      </w:r>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$\bar{A}</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\autocite{</w:t>
      </w:r>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lastRenderedPageBreak/>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ore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{subsec:multi_class_problems}</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\autocite{</w:t>
      </w:r>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\autocite{Kharde2016}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126ECE">
        <w:rPr>
          <w:lang w:val="en-US"/>
        </w:rPr>
        <w:t>\ref</w:t>
      </w:r>
      <w:r w:rsidR="00F47610" w:rsidRPr="00F47610">
        <w:rPr>
          <w:lang w:val="en-US"/>
        </w:rPr>
        <w:t>{subsec:definition_of_the_problem_and_goals}</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$\math</w:t>
      </w:r>
      <w:r w:rsidR="00DC72B1">
        <w:rPr>
          <w:lang w:val="en-US"/>
        </w:rPr>
        <w:t>bb</w:t>
      </w:r>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$\langle</w:t>
      </w:r>
      <w:r w:rsidR="0050528A">
        <w:rPr>
          <w:lang w:val="en-US"/>
        </w:rPr>
        <w:t xml:space="preserve"> </w:t>
      </w:r>
      <w:r w:rsidR="00DC72B1" w:rsidRPr="00042A65">
        <w:rPr>
          <w:lang w:val="en-US"/>
        </w:rPr>
        <w:t>d,c\rangle</w:t>
      </w:r>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$\langle</w:t>
      </w:r>
      <w:r w:rsidR="0050528A">
        <w:rPr>
          <w:lang w:val="en-US"/>
        </w:rPr>
        <w:t xml:space="preserve"> </w:t>
      </w:r>
      <w:r w:rsidR="00DC72B1" w:rsidRPr="00042A65">
        <w:rPr>
          <w:lang w:val="en-US"/>
        </w:rPr>
        <w:t>d,c\rangle\in\mathbb{X}\times\mathb</w:t>
      </w:r>
      <w:r w:rsidR="00DC72B1">
        <w:rPr>
          <w:lang w:val="en-US"/>
        </w:rPr>
        <w:t>b</w:t>
      </w:r>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\autocite</w:t>
      </w:r>
      <w:r w:rsidR="00DC72B1" w:rsidRPr="00BA5388">
        <w:rPr>
          <w:color w:val="000000"/>
          <w:lang w:val="en-US"/>
        </w:rPr>
        <w:t>[</w:t>
      </w:r>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\autocite</w:t>
      </w:r>
      <w:r w:rsidR="00BA5388" w:rsidRPr="00BA5388">
        <w:rPr>
          <w:color w:val="000000"/>
          <w:lang w:val="en-US"/>
        </w:rPr>
        <w:t>[</w:t>
      </w:r>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lastRenderedPageBreak/>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\binom{n}{k}</w:t>
      </w:r>
      <w:r w:rsidR="00A054B8">
        <w:rPr>
          <w:lang w:val="en-US"/>
        </w:rPr>
        <w:t>$</w:t>
      </w:r>
      <w:r w:rsidR="008B324F">
        <w:rPr>
          <w:lang w:val="en-US"/>
        </w:rPr>
        <w:t xml:space="preserve"> possiblities</w:t>
      </w:r>
      <w:r w:rsidR="000E6022">
        <w:rPr>
          <w:lang w:val="en-US"/>
        </w:rPr>
        <w:t>)</w:t>
      </w:r>
      <w:r w:rsidR="008B324F">
        <w:rPr>
          <w:lang w:val="en-US"/>
        </w:rPr>
        <w:t xml:space="preserve"> and the bootstrap method </w:t>
      </w:r>
      <w:r w:rsidR="00354493" w:rsidRPr="00AB40F4">
        <w:rPr>
          <w:lang w:val="en-US"/>
        </w:rPr>
        <w:t>\autocite</w:t>
      </w:r>
      <w:r w:rsidR="00354493" w:rsidRPr="00BA5388">
        <w:rPr>
          <w:color w:val="000000"/>
          <w:lang w:val="en-US"/>
        </w:rPr>
        <w:t>[</w:t>
      </w:r>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 xml:space="preserve">atrix $M$ is usually created, where a value $M_{ij}$ specifies how many instances of the class $i$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$i=j$)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 xml:space="preserve">\citeauthor{Witten2005} </w:t>
      </w:r>
      <w:r w:rsidR="00191FFF">
        <w:rPr>
          <w:lang w:val="en-US"/>
        </w:rPr>
        <w:t xml:space="preserve">use an expected value calculated by </w:t>
      </w:r>
      <w:r w:rsidR="00343D2F">
        <w:rPr>
          <w:lang w:val="en-US"/>
        </w:rPr>
        <w:t>a default classifier</w:t>
      </w:r>
      <w:r w:rsidR="00191FFF">
        <w:rPr>
          <w:lang w:val="en-US"/>
        </w:rPr>
        <w:t xml:space="preserve"> as shown on the right side of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(right side), while the original does for $88+40+12=140$ (left side).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w:t>
      </w:r>
      <w:r w:rsidR="009E2B8F">
        <w:rPr>
          <w:lang w:val="en-US"/>
        </w:rPr>
        <w:lastRenderedPageBreak/>
        <w:t xml:space="preserve">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Differences between cost-sensitive classification and 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{subsec:cost_sensitive_learning}</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 xml:space="preserve">recision_{i}=\frac{M_{i i}}{\sum_{j}M_{ji}} \quad \textrm{and} \quad </w:t>
      </w:r>
      <w:r w:rsidR="00141DE3">
        <w:rPr>
          <w:lang w:val="en-US"/>
        </w:rPr>
        <w:t>r</w:t>
      </w:r>
      <w:r w:rsidRPr="00E9582C">
        <w:rPr>
          <w:lang w:val="en-US"/>
        </w:rPr>
        <w:t>ecall_{i}=\frac{M_{i i}}{\sum_{j}M_{ij}}\]</w:t>
      </w:r>
    </w:p>
    <w:p w:rsidR="0098339F" w:rsidRDefault="006E271F" w:rsidP="00E9582C">
      <w:pPr>
        <w:rPr>
          <w:lang w:val="en-US"/>
        </w:rPr>
      </w:pPr>
      <w:r w:rsidRPr="006E271F">
        <w:rPr>
          <w:lang w:val="en-US"/>
        </w:rPr>
        <w:t>The precision thus describes how high the quota of correctly classified instances is among all instances classified as class $i$, while the recall describes the quota of correctly classified instances among all instances that actually belong to class $i$.</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 xml:space="preserve">recision=\frac{tp}{tp+fp} \quad \textrm{and} \quad </w:t>
      </w:r>
      <w:r w:rsidR="00141DE3">
        <w:rPr>
          <w:lang w:val="en-US"/>
        </w:rPr>
        <w:t>r</w:t>
      </w:r>
      <w:r w:rsidRPr="00E9582C">
        <w:rPr>
          <w:lang w:val="en-US"/>
        </w:rPr>
        <w:t>ecall=\frac{tp}{tp+fn}\]</w:t>
      </w:r>
    </w:p>
    <w:p w:rsidR="008503CA" w:rsidRDefault="00E9582C" w:rsidP="00E9582C">
      <w:pPr>
        <w:rPr>
          <w:lang w:val="en-US"/>
        </w:rPr>
      </w:pPr>
      <w:r w:rsidRPr="0098339F">
        <w:rPr>
          <w:lang w:val="en-US"/>
        </w:rPr>
        <w:t>where $tp$ is true positives, $fp$ false positives and $fn$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which is generally the better the closer it is to the optimal point (0|1)</w:t>
      </w:r>
      <w:r w:rsidR="003C129B">
        <w:rPr>
          <w:lang w:val="en-US"/>
        </w:rPr>
        <w:t xml:space="preserve"> indicating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and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\begin{itemize}[noitemsep]</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r>
        <w:rPr>
          <w:lang w:val="en-US"/>
        </w:rPr>
        <w:t>P</w:t>
      </w:r>
      <w:r w:rsidRPr="004C665F">
        <w:rPr>
          <w:lang w:val="en-US"/>
        </w:rPr>
        <w:t>}</w:t>
      </w:r>
      <w:r>
        <w:rPr>
          <w:lang w:val="en-US"/>
        </w:rPr>
        <w:t>$ units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}{N}</w:t>
      </w:r>
      <w:r>
        <w:rPr>
          <w:lang w:val="en-US"/>
        </w:rPr>
        <w:t>$ units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\autocite{</w:t>
      </w:r>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876" w:rsidRDefault="00524876" w:rsidP="00CF3CC8">
      <w:pPr>
        <w:spacing w:after="0" w:line="240" w:lineRule="auto"/>
      </w:pPr>
      <w:r>
        <w:separator/>
      </w:r>
    </w:p>
  </w:endnote>
  <w:endnote w:type="continuationSeparator" w:id="0">
    <w:p w:rsidR="00524876" w:rsidRDefault="00524876"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876" w:rsidRDefault="00524876" w:rsidP="00CF3CC8">
      <w:pPr>
        <w:spacing w:after="0" w:line="240" w:lineRule="auto"/>
      </w:pPr>
      <w:r>
        <w:separator/>
      </w:r>
    </w:p>
  </w:footnote>
  <w:footnote w:type="continuationSeparator" w:id="0">
    <w:p w:rsidR="00524876" w:rsidRDefault="00524876"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FBE"/>
    <w:rsid w:val="00075804"/>
    <w:rsid w:val="00076C39"/>
    <w:rsid w:val="000770B1"/>
    <w:rsid w:val="000817CC"/>
    <w:rsid w:val="00090CFE"/>
    <w:rsid w:val="00094D1D"/>
    <w:rsid w:val="0009683B"/>
    <w:rsid w:val="000B0E86"/>
    <w:rsid w:val="000B55AE"/>
    <w:rsid w:val="000B6E19"/>
    <w:rsid w:val="000C2769"/>
    <w:rsid w:val="000C520B"/>
    <w:rsid w:val="000C5681"/>
    <w:rsid w:val="000D1EBE"/>
    <w:rsid w:val="000D23FF"/>
    <w:rsid w:val="000E528A"/>
    <w:rsid w:val="000E6022"/>
    <w:rsid w:val="0010009B"/>
    <w:rsid w:val="00100DA2"/>
    <w:rsid w:val="00111018"/>
    <w:rsid w:val="00111AC6"/>
    <w:rsid w:val="00113DA9"/>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11165"/>
    <w:rsid w:val="00217A2B"/>
    <w:rsid w:val="002408ED"/>
    <w:rsid w:val="00251214"/>
    <w:rsid w:val="002622A5"/>
    <w:rsid w:val="002663C3"/>
    <w:rsid w:val="00271081"/>
    <w:rsid w:val="002716A4"/>
    <w:rsid w:val="00275039"/>
    <w:rsid w:val="00282233"/>
    <w:rsid w:val="002947D1"/>
    <w:rsid w:val="00295B16"/>
    <w:rsid w:val="002A0478"/>
    <w:rsid w:val="002A5E0F"/>
    <w:rsid w:val="002B04C2"/>
    <w:rsid w:val="002B3C6B"/>
    <w:rsid w:val="002B3F0D"/>
    <w:rsid w:val="002B50FF"/>
    <w:rsid w:val="002C1522"/>
    <w:rsid w:val="002C22B3"/>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7289"/>
    <w:rsid w:val="005561E7"/>
    <w:rsid w:val="00564982"/>
    <w:rsid w:val="005729F0"/>
    <w:rsid w:val="0057700B"/>
    <w:rsid w:val="00583DA2"/>
    <w:rsid w:val="00586933"/>
    <w:rsid w:val="005871A7"/>
    <w:rsid w:val="00592437"/>
    <w:rsid w:val="00593A45"/>
    <w:rsid w:val="005948CB"/>
    <w:rsid w:val="005B6EEE"/>
    <w:rsid w:val="005C7F7C"/>
    <w:rsid w:val="005D0168"/>
    <w:rsid w:val="005D01E8"/>
    <w:rsid w:val="005E20B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1472"/>
    <w:rsid w:val="007B4BA4"/>
    <w:rsid w:val="007C20C7"/>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6F0D"/>
    <w:rsid w:val="008E7EFD"/>
    <w:rsid w:val="008F401E"/>
    <w:rsid w:val="008F6DC2"/>
    <w:rsid w:val="009018F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6204"/>
    <w:rsid w:val="00AB40F4"/>
    <w:rsid w:val="00AC0761"/>
    <w:rsid w:val="00AC0A6C"/>
    <w:rsid w:val="00AC4B63"/>
    <w:rsid w:val="00AD35E1"/>
    <w:rsid w:val="00AD3A60"/>
    <w:rsid w:val="00AD3AFB"/>
    <w:rsid w:val="00AE3DBB"/>
    <w:rsid w:val="00AE61F1"/>
    <w:rsid w:val="00AE6A9B"/>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941"/>
    <w:rsid w:val="00C56051"/>
    <w:rsid w:val="00C563A6"/>
    <w:rsid w:val="00C62000"/>
    <w:rsid w:val="00C628C8"/>
    <w:rsid w:val="00C666B7"/>
    <w:rsid w:val="00C706B1"/>
    <w:rsid w:val="00C73001"/>
    <w:rsid w:val="00C82037"/>
    <w:rsid w:val="00C82389"/>
    <w:rsid w:val="00C851CA"/>
    <w:rsid w:val="00C87C27"/>
    <w:rsid w:val="00C95F74"/>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CAFD"/>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4949</Words>
  <Characters>31183</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145</cp:revision>
  <dcterms:created xsi:type="dcterms:W3CDTF">2019-01-30T09:49:00Z</dcterms:created>
  <dcterms:modified xsi:type="dcterms:W3CDTF">2019-04-12T01:58:00Z</dcterms:modified>
</cp:coreProperties>
</file>