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5B5B5B"/>
          <w:spacing w:val="80"/>
          <w:sz w:val="28"/>
          <w:szCs w:val="28"/>
        </w:rPr>
        <w:t xml:space="preserve">CHARTER DE PROJET</w:t>
      </w:r>
    </w:p>
    <w:p>
      <w:pPr>
        <w:spacing w:after="200"/>
        <w:jc w:val="center"/>
      </w:pPr>
      <w:r>
        <w:rPr>
          <w:b/>
          <w:bCs/>
          <w:color w:val="1F4E78"/>
          <w:sz w:val="44"/>
          <w:szCs w:val="44"/>
        </w:rPr>
        <w:t xml:space="preserve">Observatoire des flux pèlerins</w:t>
      </w:r>
    </w:p>
    <w:p>
      <w:pPr>
        <w:spacing w:after="1200"/>
        <w:jc w:val="center"/>
      </w:pPr>
      <w:r>
        <w:rPr>
          <w:b/>
          <w:bCs/>
          <w:color w:val="1F4E78"/>
          <w:sz w:val="32"/>
          <w:szCs w:val="32"/>
        </w:rPr>
        <w:t xml:space="preserve">sur les chemins de Compostelle en France</w:t>
      </w:r>
    </w:p>
    <w:p>
      <w:pPr>
        <w:spacing w:after="160"/>
        <w:jc w:val="center"/>
      </w:pPr>
      <w:r>
        <w:rPr>
          <w:i/>
          <w:iCs/>
          <w:color w:val="5B5B5B"/>
          <w:sz w:val="26"/>
          <w:szCs w:val="26"/>
        </w:rPr>
        <w:t xml:space="preserve">Cartographie, modélisation et prédiction multi-sources</w:t>
      </w:r>
    </w:p>
    <w:p>
      <w:pPr>
        <w:spacing w:after="1600"/>
        <w:jc w:val="center"/>
      </w:pPr>
      <w:r>
        <w:rPr>
          <w:color w:val="5B5B5B"/>
          <w:sz w:val="22"/>
          <w:szCs w:val="22"/>
        </w:rPr>
        <w:t xml:space="preserve">Période d'analyse : 2018 – 2024</w:t>
      </w:r>
    </w:p>
    <w:p>
      <w:pPr>
        <w:spacing w:after="100"/>
        <w:jc w:val="center"/>
      </w:pPr>
      <w:r>
        <w:rPr>
          <w:b/>
          <w:bCs/>
          <w:sz w:val="24"/>
          <w:szCs w:val="24"/>
        </w:rPr>
        <w:t xml:space="preserve">Florian</w:t>
      </w:r>
    </w:p>
    <w:p>
      <w:pPr>
        <w:spacing w:after="100"/>
        <w:jc w:val="center"/>
      </w:pPr>
      <w:r>
        <w:rPr>
          <w:i/>
          <w:iCs/>
          <w:color w:val="5B5B5B"/>
          <w:sz w:val="22"/>
          <w:szCs w:val="22"/>
        </w:rPr>
        <w:t xml:space="preserve">Version 1.0 — Avril 2026</w:t>
      </w:r>
    </w:p>
    <w:p>
      <w:pPr>
        <w:spacing w:after="100" w:before="800"/>
        <w:jc w:val="center"/>
      </w:pPr>
      <w:r>
        <w:rPr>
          <w:i/>
          <w:iCs/>
          <w:color w:val="5B5B5B"/>
          <w:sz w:val="20"/>
          <w:szCs w:val="20"/>
        </w:rPr>
        <w:t xml:space="preserve">Projet personnel de data science — Dossier de compétences</w:t>
      </w:r>
    </w:p>
    <w:p>
      <w:r>
        <w:br w:type="page"/>
      </w:r>
    </w:p>
    <w:p>
      <w:pPr>
        <w:pStyle w:val="Heading1"/>
        <w:spacing w:after="200" w:before="360"/>
      </w:pPr>
      <w:r>
        <w:rPr>
          <w:b/>
          <w:bCs/>
          <w:color w:val="1F4E78"/>
          <w:sz w:val="32"/>
          <w:szCs w:val="32"/>
        </w:rPr>
        <w:t xml:space="preserve">1. Résumé exécutif</w:t>
      </w:r>
    </w:p>
    <w:p>
      <w:pPr>
        <w:spacing w:after="120" w:before="0"/>
        <w:jc w:val="left"/>
      </w:pPr>
      <w:r>
        <w:rPr>
          <w:sz w:val="22"/>
          <w:szCs w:val="22"/>
        </w:rPr>
        <w:t xml:space="preserve">Ce document formalise le cadrage scientifique et opérationnel d'un projet d'analyse de la fréquentation des chemins de Saint-Jacques-de-Compostelle en France sur la période 2018-2024.</w:t>
      </w:r>
    </w:p>
    <w:p>
      <w:pPr>
        <w:spacing w:after="120" w:before="0"/>
        <w:jc w:val="left"/>
      </w:pPr>
      <w:r>
        <w:rPr>
          <w:sz w:val="22"/>
          <w:szCs w:val="22"/>
        </w:rPr>
        <w:t xml:space="preserve">Le projet initial visait à corriger un biais statistique supposé entre deux sources de comptage (Saint-Jean-Pied-de-Port côté France et Oficina del Peregrino côté Espagne). L'exploration approfondie des données a révélé que cette formulation était méthodologiquement inexacte : les deux sources mesurent des phénomènes non comparables — des passages territoriaux annuels pour l'une, des arrivées cumulées à Santiago pour l'autre, avec des décalages temporels pouvant atteindre plusieurs années en raison de la pratique répandue du pèlerinage par tronçons.</w:t>
      </w:r>
    </w:p>
    <w:p>
      <w:pPr>
        <w:spacing w:after="120"/>
      </w:pPr>
      <w:r>
        <w:rPr>
          <w:sz w:val="22"/>
          <w:szCs w:val="22"/>
        </w:rPr>
        <w:t xml:space="preserve">Le projet a donc été reformulé en </w:t>
      </w:r>
      <w:r>
        <w:rPr>
          <w:b/>
          <w:bCs/>
          <w:sz w:val="22"/>
          <w:szCs w:val="22"/>
        </w:rPr>
        <w:t xml:space="preserve">observatoire territorial</w:t>
      </w:r>
      <w:r>
        <w:rPr>
          <w:sz w:val="22"/>
          <w:szCs w:val="22"/>
        </w:rPr>
        <w:t xml:space="preserve"> de la fréquentation, intégrant une dimension </w:t>
      </w:r>
      <w:r>
        <w:rPr>
          <w:b/>
          <w:bCs/>
          <w:sz w:val="22"/>
          <w:szCs w:val="22"/>
        </w:rPr>
        <w:t xml:space="preserve">prédictive</w:t>
      </w:r>
      <w:r>
        <w:rPr>
          <w:sz w:val="22"/>
          <w:szCs w:val="22"/>
        </w:rPr>
        <w:t xml:space="preserve">. Cette reformulation préserve la valeur analytique tout en garantissant la rigueur méthodologique.</w:t>
      </w:r>
    </w:p>
    <w:p>
      <w:pPr>
        <w:pStyle w:val="Heading2"/>
        <w:spacing w:after="160" w:before="280"/>
      </w:pPr>
      <w:r>
        <w:rPr>
          <w:b/>
          <w:bCs/>
          <w:color w:val="1F4E78"/>
          <w:sz w:val="26"/>
          <w:szCs w:val="26"/>
        </w:rPr>
        <w:t xml:space="preserve">Livrables attendus</w:t>
      </w:r>
    </w:p>
    <w:p>
      <w:pPr>
        <w:pStyle w:val="ListParagraph"/>
        <w:numPr>
          <w:ilvl w:val="0"/>
          <w:numId w:val="2"/>
        </w:numPr>
        <w:spacing w:after="80"/>
      </w:pPr>
      <w:r>
        <w:rPr>
          <w:sz w:val="22"/>
          <w:szCs w:val="22"/>
        </w:rPr>
        <w:t xml:space="preserve">Un dataset consolidé multi-sources, documenté et traçable (Excel structuré).</w:t>
      </w:r>
    </w:p>
    <w:p>
      <w:pPr>
        <w:pStyle w:val="ListParagraph"/>
        <w:numPr>
          <w:ilvl w:val="0"/>
          <w:numId w:val="2"/>
        </w:numPr>
        <w:spacing w:after="80"/>
      </w:pPr>
      <w:r>
        <w:rPr>
          <w:sz w:val="22"/>
          <w:szCs w:val="22"/>
        </w:rPr>
        <w:t xml:space="preserve">Un rapport de qualité des données (inventaire, fiabilité, biais connus).</w:t>
      </w:r>
    </w:p>
    <w:p>
      <w:pPr>
        <w:pStyle w:val="ListParagraph"/>
        <w:numPr>
          <w:ilvl w:val="0"/>
          <w:numId w:val="2"/>
        </w:numPr>
        <w:spacing w:after="80"/>
      </w:pPr>
      <w:r>
        <w:rPr>
          <w:sz w:val="22"/>
          <w:szCs w:val="22"/>
        </w:rPr>
        <w:t xml:space="preserve">Des visualisations cartographiques et temporelles interactives.</w:t>
      </w:r>
    </w:p>
    <w:p>
      <w:pPr>
        <w:pStyle w:val="ListParagraph"/>
        <w:numPr>
          <w:ilvl w:val="0"/>
          <w:numId w:val="2"/>
        </w:numPr>
        <w:spacing w:after="80"/>
      </w:pPr>
      <w:r>
        <w:rPr>
          <w:sz w:val="22"/>
          <w:szCs w:val="22"/>
        </w:rPr>
        <w:t xml:space="preserve">Un modèle prédictif de la fréquentation par tronçon pour 2025-2026.</w:t>
      </w:r>
    </w:p>
    <w:p>
      <w:pPr>
        <w:pStyle w:val="ListParagraph"/>
        <w:numPr>
          <w:ilvl w:val="0"/>
          <w:numId w:val="2"/>
        </w:numPr>
        <w:spacing w:after="80"/>
      </w:pPr>
      <w:r>
        <w:rPr>
          <w:sz w:val="22"/>
          <w:szCs w:val="22"/>
        </w:rPr>
        <w:t xml:space="preserve">Un document méthodologique auditable, reproductible et publiable.</w:t>
      </w:r>
    </w:p>
    <w:p>
      <w:r>
        <w:br w:type="page"/>
      </w:r>
    </w:p>
    <w:p>
      <w:pPr>
        <w:pStyle w:val="Heading1"/>
        <w:spacing w:after="200" w:before="360"/>
      </w:pPr>
      <w:r>
        <w:rPr>
          <w:b/>
          <w:bCs/>
          <w:color w:val="1F4E78"/>
          <w:sz w:val="32"/>
          <w:szCs w:val="32"/>
        </w:rPr>
        <w:t xml:space="preserve">2. Reformulation de la problématique</w:t>
      </w:r>
    </w:p>
    <w:p>
      <w:pPr>
        <w:pStyle w:val="Heading2"/>
        <w:spacing w:after="160" w:before="280"/>
      </w:pPr>
      <w:r>
        <w:rPr>
          <w:b/>
          <w:bCs/>
          <w:color w:val="1F4E78"/>
          <w:sz w:val="26"/>
          <w:szCs w:val="26"/>
        </w:rPr>
        <w:t xml:space="preserve">2.1 Problématique initiale et sa limite</w:t>
      </w:r>
    </w:p>
    <w:p>
      <w:pPr>
        <w:spacing w:after="120" w:before="0"/>
        <w:jc w:val="left"/>
      </w:pPr>
      <w:r>
        <w:rPr>
          <w:sz w:val="22"/>
          <w:szCs w:val="22"/>
        </w:rPr>
        <w:t xml:space="preserve">Le projet initial partait de l'hypothèse suivante :</w:t>
      </w:r>
    </w:p>
    <w:p>
      <w:pPr>
        <w:spacing w:after="120"/>
      </w:pPr>
      <w:r>
        <w:rPr>
          <w:i/>
          <w:iCs/>
          <w:color w:val="5B5B5B"/>
          <w:sz w:val="22"/>
          <w:szCs w:val="22"/>
        </w:rPr>
        <w:t xml:space="preserve">« Le point de comptage de Saint-Jean-Pied-de-Port (SJPP) sous-estime le flux réel de pèlerins d'environ 12%, car il ne capte pas ceux qui empruntent la Voie d'Arles et rejoignent le Camino Francés via le Col du Somport. L'objectif est de corriger ce biais et de construire un dataset consolidé donnant une vision holistique du flux. »</w:t>
      </w:r>
    </w:p>
    <w:p>
      <w:pPr>
        <w:spacing w:after="120" w:before="120"/>
        <w:jc w:val="left"/>
      </w:pPr>
      <w:r>
        <w:rPr>
          <w:sz w:val="22"/>
          <w:szCs w:val="22"/>
        </w:rPr>
        <w:t xml:space="preserve">Cette formulation présente trois défauts méthodologiques majeurs identifiés au cours de l'exploration :</w:t>
      </w:r>
    </w:p>
    <w:p>
      <w:pPr>
        <w:pStyle w:val="ListParagraph"/>
        <w:numPr>
          <w:ilvl w:val="0"/>
          <w:numId w:val="2"/>
        </w:numPr>
        <w:spacing w:after="80"/>
      </w:pPr>
      <w:r>
        <w:rPr>
          <w:sz w:val="22"/>
          <w:szCs w:val="22"/>
        </w:rPr>
        <w:t xml:space="preserve">Le chiffre de 12% est une estimation non sourcée, issue d'une simulation sans protocole documenté.</w:t>
      </w:r>
    </w:p>
    <w:p>
      <w:pPr>
        <w:pStyle w:val="ListParagraph"/>
        <w:numPr>
          <w:ilvl w:val="0"/>
          <w:numId w:val="2"/>
        </w:numPr>
        <w:spacing w:after="80"/>
      </w:pPr>
      <w:r>
        <w:rPr>
          <w:sz w:val="22"/>
          <w:szCs w:val="22"/>
        </w:rPr>
        <w:t xml:space="preserve">Les données Oficina (arrivée à Santiago) et AFCC (passages territoriaux en France) ne sont pas comparables temporellement — un pèlerin enregistré à Santiago en 2024 peut avoir parcouru ses tronçons français entre 2019 et 2024.</w:t>
      </w:r>
    </w:p>
    <w:p>
      <w:pPr>
        <w:pStyle w:val="ListParagraph"/>
        <w:numPr>
          <w:ilvl w:val="0"/>
          <w:numId w:val="2"/>
        </w:numPr>
        <w:spacing w:after="80"/>
      </w:pPr>
      <w:r>
        <w:rPr>
          <w:sz w:val="22"/>
          <w:szCs w:val="22"/>
        </w:rPr>
        <w:t xml:space="preserve">La pratique majoritaire du pèlerinage par tronçons (3/4 des pèlerins selon l'enquête AFCC 2018) rend illusoire la notion de « pèlerin unitaire traversant linéairement le territoire ».</w:t>
      </w:r>
    </w:p>
    <w:p>
      <w:pPr>
        <w:pStyle w:val="Heading2"/>
        <w:spacing w:after="160" w:before="280"/>
      </w:pPr>
      <w:r>
        <w:rPr>
          <w:b/>
          <w:bCs/>
          <w:color w:val="1F4E78"/>
          <w:sz w:val="26"/>
          <w:szCs w:val="26"/>
        </w:rPr>
        <w:t xml:space="preserve">2.2 Question de recherche reformulée</w:t>
      </w:r>
    </w:p>
    <w:p>
      <w:pPr>
        <w:spacing w:after="120"/>
      </w:pPr>
      <w:r>
        <w:rPr>
          <w:b/>
          <w:bCs/>
          <w:i/>
          <w:iCs/>
          <w:color w:val="1F4E78"/>
          <w:sz w:val="22"/>
          <w:szCs w:val="22"/>
        </w:rPr>
        <w:t xml:space="preserve">Comment caractériser, modéliser et prédire la fréquentation des chemins de Compostelle sur le territoire français entre 2018 et 2024, à partir de sources hétérogènes, en tenant compte de la non-linéarité des comportements pèlerins et des ruptures contextuelles (COVID-19, Année Jacquaire 2021) ?</w:t>
      </w:r>
    </w:p>
    <w:p>
      <w:pPr>
        <w:pStyle w:val="Heading2"/>
        <w:spacing w:after="160" w:before="280"/>
      </w:pPr>
      <w:r>
        <w:rPr>
          <w:b/>
          <w:bCs/>
          <w:color w:val="1F4E78"/>
          <w:sz w:val="26"/>
          <w:szCs w:val="26"/>
        </w:rPr>
        <w:t xml:space="preserve">2.3 Sous-questions opérationnelles</w:t>
      </w:r>
    </w:p>
    <w:p>
      <w:pPr>
        <w:pStyle w:val="ListParagraph"/>
        <w:numPr>
          <w:ilvl w:val="0"/>
          <w:numId w:val="2"/>
        </w:numPr>
        <w:spacing w:after="80"/>
      </w:pPr>
      <w:r>
        <w:rPr>
          <w:sz w:val="22"/>
          <w:szCs w:val="22"/>
        </w:rPr>
        <w:t xml:space="preserve">Quelle est la dynamique spatio-temporelle des flux sur chaque voie principale (GR65, GR653, GR654, GR655, GR78) ?</w:t>
      </w:r>
    </w:p>
    <w:p>
      <w:pPr>
        <w:pStyle w:val="ListParagraph"/>
        <w:numPr>
          <w:ilvl w:val="0"/>
          <w:numId w:val="2"/>
        </w:numPr>
        <w:spacing w:after="80"/>
      </w:pPr>
      <w:r>
        <w:rPr>
          <w:sz w:val="22"/>
          <w:szCs w:val="22"/>
        </w:rPr>
        <w:t xml:space="preserve">Quels facteurs explicatifs (météo, saisonnalité, contexte macro) influencent la fréquentation par tronçon ?</w:t>
      </w:r>
    </w:p>
    <w:p>
      <w:pPr>
        <w:pStyle w:val="ListParagraph"/>
        <w:numPr>
          <w:ilvl w:val="0"/>
          <w:numId w:val="2"/>
        </w:numPr>
        <w:spacing w:after="80"/>
      </w:pPr>
      <w:r>
        <w:rPr>
          <w:sz w:val="22"/>
          <w:szCs w:val="22"/>
        </w:rPr>
        <w:t xml:space="preserve">Peut-on construire un modèle prédictif fiable de la fréquentation 2025-2026 à partir des données historiques ?</w:t>
      </w:r>
    </w:p>
    <w:p>
      <w:pPr>
        <w:pStyle w:val="ListParagraph"/>
        <w:numPr>
          <w:ilvl w:val="0"/>
          <w:numId w:val="2"/>
        </w:numPr>
        <w:spacing w:after="80"/>
      </w:pPr>
      <w:r>
        <w:rPr>
          <w:sz w:val="22"/>
          <w:szCs w:val="22"/>
        </w:rPr>
        <w:t xml:space="preserve">Quelles sont les retombées économiques estimées pour les territoires traversés, et comment varient-elles selon les voies ?</w:t>
      </w:r>
    </w:p>
    <w:p>
      <w:r>
        <w:br w:type="page"/>
      </w:r>
    </w:p>
    <w:p>
      <w:pPr>
        <w:pStyle w:val="Heading1"/>
        <w:spacing w:after="200" w:before="360"/>
      </w:pPr>
      <w:r>
        <w:rPr>
          <w:b/>
          <w:bCs/>
          <w:color w:val="1F4E78"/>
          <w:sz w:val="32"/>
          <w:szCs w:val="32"/>
        </w:rPr>
        <w:t xml:space="preserve">3. Positionnement et pertinence des sources</w:t>
      </w:r>
    </w:p>
    <w:p>
      <w:pPr>
        <w:spacing w:after="120" w:before="0"/>
        <w:jc w:val="left"/>
      </w:pPr>
      <w:r>
        <w:rPr>
          <w:sz w:val="22"/>
          <w:szCs w:val="22"/>
        </w:rPr>
        <w:t xml:space="preserve">Un apport méthodologique central du projet consiste à requalifier chaque source selon ce qu'elle mesure réellement, et non selon ce qu'on souhaiterait qu'elle mesure. Cette clarification oriente directement la sélection des sources et leur usage dans les analyses.</w:t>
      </w:r>
    </w:p>
    <w:p>
      <w:pPr>
        <w:pStyle w:val="Heading2"/>
        <w:spacing w:after="160" w:before="280"/>
      </w:pPr>
      <w:r>
        <w:rPr>
          <w:b/>
          <w:bCs/>
          <w:color w:val="1F4E78"/>
          <w:sz w:val="26"/>
          <w:szCs w:val="26"/>
        </w:rPr>
        <w:t xml:space="preserve">3.1 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18"/>
                <w:szCs w:val="18"/>
              </w:rPr>
              <w:t xml:space="preserve">Source</w:t>
            </w:r>
          </w:p>
        </w:tc>
        <w:tc>
          <w:tcPr>
            <w:tcW w:type="dxa" w:w="28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18"/>
                <w:szCs w:val="18"/>
              </w:rPr>
              <w:t xml:space="preserve">Ce qu'elle mesure</w:t>
            </w:r>
          </w:p>
        </w:tc>
        <w:tc>
          <w:tcPr>
            <w:tcW w:type="dxa" w:w="18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18"/>
                <w:szCs w:val="18"/>
              </w:rPr>
              <w:t xml:space="preserve">Pertinence projet</w:t>
            </w:r>
          </w:p>
        </w:tc>
        <w:tc>
          <w:tcPr>
            <w:tcW w:type="dxa" w:w="256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18"/>
                <w:szCs w:val="18"/>
              </w:rPr>
              <w:t xml:space="preserve">Usage retenu</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AFCC (notes de conjoncture 2018-2024)</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Passages territoriaux en France : éco-compteurs, offices de tourisme, hébergements, associations.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FORTE</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Source principale de l'observatoire. Série temporelle multi-points.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Bureau SJPP (Amis Saint-Jacques 64)</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Passages annuels à un point spécifique (entrée des Pyrénées, confluent plusieurs voies).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FORTE</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Point de mesure privilégié dans le réseau AFCC. Série très complète 2012-2024.</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Oficina del Peregrino (Santiago)</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Arrivées finales à Santiago, avec décalage temporel potentiel de 1 à 5 ans vs départ France.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FAIBLE à MODÉRÉE</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Donnée complémentaire. Non utilisée pour le calcul du biais SJPP (abandon méthodologique).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Open-Meteo (Col du Somport, SJPP)</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Conditions météorologiques journalières historiques.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FORTE</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18"/>
                <w:szCs w:val="18"/>
              </w:rPr>
              <w:t xml:space="preserve">Variable explicative dans le modèle prédictif.</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FEAACS / Jaca (Camino Aragonés)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Passages intermédiaires côté espagnol pour la Voie d'Arles.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MODÉRÉE</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18"/>
                <w:szCs w:val="18"/>
              </w:rPr>
              <w:t xml:space="preserve">Donnée de triangulation si obtenue. Acquisition asynchrone.</w:t>
            </w:r>
          </w:p>
        </w:tc>
      </w:tr>
    </w:tbl>
    <w:p>
      <w:pPr>
        <w:pStyle w:val="Heading2"/>
        <w:spacing w:after="160" w:before="280"/>
      </w:pPr>
      <w:r>
        <w:rPr>
          <w:b/>
          <w:bCs/>
          <w:color w:val="1F4E78"/>
          <w:sz w:val="26"/>
          <w:szCs w:val="26"/>
        </w:rPr>
        <w:t xml:space="preserve">3.2 Conséquence : abandon du projet Oficina massif</w:t>
      </w:r>
    </w:p>
    <w:p>
      <w:pPr>
        <w:spacing w:after="120" w:before="0"/>
        <w:jc w:val="left"/>
      </w:pPr>
      <w:r>
        <w:rPr>
          <w:sz w:val="22"/>
          <w:szCs w:val="22"/>
        </w:rPr>
        <w:t xml:space="preserve">La saisie manuelle de 6 700 cellules depuis le dashboard Power BI de l'Oficina, initialement prévue pour reconstituer la ventilation par Camino sur 2019-2024, est abandonnée comme axe central du projet.</w:t>
      </w:r>
    </w:p>
    <w:p>
      <w:pPr>
        <w:spacing w:after="120"/>
      </w:pPr>
      <w:r>
        <w:rPr>
          <w:b/>
          <w:bCs/>
          <w:sz w:val="22"/>
          <w:szCs w:val="22"/>
        </w:rPr>
        <w:t xml:space="preserve">Raison principale : </w:t>
      </w:r>
      <w:r>
        <w:rPr>
          <w:sz w:val="22"/>
          <w:szCs w:val="22"/>
        </w:rPr>
        <w:t xml:space="preserve">les données saisies ne permettraient pas de répondre à la question reformulée, car elles mesurent des arrivées à Santiago et non des passages territoriaux en France.</w:t>
      </w:r>
    </w:p>
    <w:p>
      <w:pPr>
        <w:spacing w:after="120" w:before="120"/>
        <w:jc w:val="left"/>
      </w:pPr>
      <w:r>
        <w:rPr>
          <w:sz w:val="22"/>
          <w:szCs w:val="22"/>
        </w:rPr>
        <w:t xml:space="preserve">Les données Oficina sont toutefois conservées comme source complémentaire :</w:t>
      </w:r>
    </w:p>
    <w:p>
      <w:pPr>
        <w:pStyle w:val="ListParagraph"/>
        <w:numPr>
          <w:ilvl w:val="0"/>
          <w:numId w:val="2"/>
        </w:numPr>
        <w:spacing w:after="80"/>
      </w:pPr>
      <w:r>
        <w:rPr>
          <w:sz w:val="22"/>
          <w:szCs w:val="22"/>
        </w:rPr>
        <w:t xml:space="preserve">Le PDF 2018, déjà extrait et parsé (71 observations structurées), figure au dataset consolidé.</w:t>
      </w:r>
    </w:p>
    <w:p>
      <w:pPr>
        <w:pStyle w:val="ListParagraph"/>
        <w:numPr>
          <w:ilvl w:val="0"/>
          <w:numId w:val="2"/>
        </w:numPr>
        <w:spacing w:after="80"/>
      </w:pPr>
      <w:r>
        <w:rPr>
          <w:sz w:val="22"/>
          <w:szCs w:val="22"/>
        </w:rPr>
        <w:t xml:space="preserve">Les totaux annuels 2019-2024 déjà présents dans les notes AFCC sont conservés à titre informatif.</w:t>
      </w:r>
    </w:p>
    <w:p>
      <w:pPr>
        <w:pStyle w:val="ListParagraph"/>
        <w:numPr>
          <w:ilvl w:val="0"/>
          <w:numId w:val="2"/>
        </w:numPr>
        <w:spacing w:after="80"/>
      </w:pPr>
      <w:r>
        <w:rPr>
          <w:sz w:val="22"/>
          <w:szCs w:val="22"/>
        </w:rPr>
        <w:t xml:space="preserve">Une saisie ponctuelle ciblée peut être envisagée pour des analyses spécifiques (par exemple : part française arrivant à Santiago).</w:t>
      </w:r>
    </w:p>
    <w:p>
      <w:r>
        <w:br w:type="page"/>
      </w:r>
    </w:p>
    <w:p>
      <w:pPr>
        <w:pStyle w:val="Heading1"/>
        <w:spacing w:after="200" w:before="360"/>
      </w:pPr>
      <w:r>
        <w:rPr>
          <w:b/>
          <w:bCs/>
          <w:color w:val="1F4E78"/>
          <w:sz w:val="32"/>
          <w:szCs w:val="32"/>
        </w:rPr>
        <w:t xml:space="preserve">4. Plan d'action</w:t>
      </w:r>
    </w:p>
    <w:p>
      <w:pPr>
        <w:spacing w:after="120" w:before="0"/>
        <w:jc w:val="left"/>
      </w:pPr>
      <w:r>
        <w:rPr>
          <w:sz w:val="22"/>
          <w:szCs w:val="22"/>
        </w:rPr>
        <w:t xml:space="preserve">Le projet est organisé en cinq phases successives, dont les trois premières sont déjà partiellement ou totalement achevées.</w:t>
      </w:r>
    </w:p>
    <w:p>
      <w:pPr>
        <w:pStyle w:val="Heading2"/>
        <w:spacing w:after="160" w:before="280"/>
      </w:pPr>
      <w:r>
        <w:rPr>
          <w:b/>
          <w:bCs/>
          <w:color w:val="1F4E78"/>
          <w:sz w:val="26"/>
          <w:szCs w:val="26"/>
        </w:rPr>
        <w:t xml:space="preserve">Phase 1 — Data Engineering (partiellement achevée)</w:t>
      </w:r>
    </w:p>
    <w:p>
      <w:pPr>
        <w:pStyle w:val="ListParagraph"/>
        <w:numPr>
          <w:ilvl w:val="0"/>
          <w:numId w:val="2"/>
        </w:numPr>
        <w:spacing w:after="80"/>
      </w:pPr>
      <w:r>
        <w:rPr>
          <w:sz w:val="22"/>
          <w:szCs w:val="22"/>
        </w:rPr>
        <w:t xml:space="preserve">Extraction et structuration des 7 PDF AFCC 2018-2024 ✓</w:t>
      </w:r>
    </w:p>
    <w:p>
      <w:pPr>
        <w:pStyle w:val="ListParagraph"/>
        <w:numPr>
          <w:ilvl w:val="0"/>
          <w:numId w:val="2"/>
        </w:numPr>
        <w:spacing w:after="80"/>
      </w:pPr>
      <w:r>
        <w:rPr>
          <w:sz w:val="22"/>
          <w:szCs w:val="22"/>
        </w:rPr>
        <w:t xml:space="preserve">Construction du dataset consolidé multi-onglets (107 observations) ✓</w:t>
      </w:r>
    </w:p>
    <w:p>
      <w:pPr>
        <w:pStyle w:val="ListParagraph"/>
        <w:numPr>
          <w:ilvl w:val="0"/>
          <w:numId w:val="2"/>
        </w:numPr>
        <w:spacing w:after="80"/>
      </w:pPr>
      <w:r>
        <w:rPr>
          <w:sz w:val="22"/>
          <w:szCs w:val="22"/>
        </w:rPr>
        <w:t xml:space="preserve">Parsing du PDF Oficina 2018 (71 observations marginales) ✓</w:t>
      </w:r>
    </w:p>
    <w:p>
      <w:pPr>
        <w:pStyle w:val="ListParagraph"/>
        <w:numPr>
          <w:ilvl w:val="0"/>
          <w:numId w:val="2"/>
        </w:numPr>
        <w:spacing w:after="80"/>
      </w:pPr>
      <w:r>
        <w:rPr>
          <w:sz w:val="22"/>
          <w:szCs w:val="22"/>
        </w:rPr>
        <w:t xml:space="preserve">À faire : acquisition Open-Meteo Somport et SJPP (estimé 30 minutes).</w:t>
      </w:r>
    </w:p>
    <w:p>
      <w:pPr>
        <w:pStyle w:val="ListParagraph"/>
        <w:numPr>
          <w:ilvl w:val="0"/>
          <w:numId w:val="2"/>
        </w:numPr>
        <w:spacing w:after="80"/>
      </w:pPr>
      <w:r>
        <w:rPr>
          <w:sz w:val="22"/>
          <w:szCs w:val="22"/>
        </w:rPr>
        <w:t xml:space="preserve">À faire : enrichissement éventuel avec données INSEE (tourisme rural, hébergement).</w:t>
      </w:r>
    </w:p>
    <w:p>
      <w:pPr>
        <w:pStyle w:val="Heading2"/>
        <w:spacing w:after="160" w:before="280"/>
      </w:pPr>
      <w:r>
        <w:rPr>
          <w:b/>
          <w:bCs/>
          <w:color w:val="1F4E78"/>
          <w:sz w:val="26"/>
          <w:szCs w:val="26"/>
        </w:rPr>
        <w:t xml:space="preserve">Phase 2 — Data Cleaning et Preprocessing</w:t>
      </w:r>
    </w:p>
    <w:p>
      <w:pPr>
        <w:pStyle w:val="ListParagraph"/>
        <w:numPr>
          <w:ilvl w:val="0"/>
          <w:numId w:val="2"/>
        </w:numPr>
        <w:spacing w:after="80"/>
      </w:pPr>
      <w:r>
        <w:rPr>
          <w:sz w:val="22"/>
          <w:szCs w:val="22"/>
        </w:rPr>
        <w:t xml:space="preserve">Harmonisation des nomenclatures voies (triple clé raw / latin / GR code) ✓</w:t>
      </w:r>
    </w:p>
    <w:p>
      <w:pPr>
        <w:pStyle w:val="ListParagraph"/>
        <w:numPr>
          <w:ilvl w:val="0"/>
          <w:numId w:val="2"/>
        </w:numPr>
        <w:spacing w:after="80"/>
      </w:pPr>
      <w:r>
        <w:rPr>
          <w:sz w:val="22"/>
          <w:szCs w:val="22"/>
        </w:rPr>
        <w:t xml:space="preserve">Identification et documentation des divergences inter-sources ✓</w:t>
      </w:r>
    </w:p>
    <w:p>
      <w:pPr>
        <w:pStyle w:val="ListParagraph"/>
        <w:numPr>
          <w:ilvl w:val="0"/>
          <w:numId w:val="2"/>
        </w:numPr>
        <w:spacing w:after="80"/>
      </w:pPr>
      <w:r>
        <w:rPr>
          <w:sz w:val="22"/>
          <w:szCs w:val="22"/>
        </w:rPr>
        <w:t xml:space="preserve">Traitement des valeurs manquantes : stratégie reportée post-exploration visuelle.</w:t>
      </w:r>
    </w:p>
    <w:p>
      <w:pPr>
        <w:pStyle w:val="ListParagraph"/>
        <w:numPr>
          <w:ilvl w:val="0"/>
          <w:numId w:val="2"/>
        </w:numPr>
        <w:spacing w:after="80"/>
      </w:pPr>
      <w:r>
        <w:rPr>
          <w:sz w:val="22"/>
          <w:szCs w:val="22"/>
        </w:rPr>
        <w:t xml:space="preserve">Détection et gestion des outliers (compteurs défaillants, événements atypiques).</w:t>
      </w:r>
    </w:p>
    <w:p>
      <w:pPr>
        <w:pStyle w:val="ListParagraph"/>
        <w:numPr>
          <w:ilvl w:val="0"/>
          <w:numId w:val="2"/>
        </w:numPr>
        <w:spacing w:after="80"/>
      </w:pPr>
      <w:r>
        <w:rPr>
          <w:sz w:val="22"/>
          <w:szCs w:val="22"/>
        </w:rPr>
        <w:t xml:space="preserve">Encodage des variables explicatives (dummy COVID 2020-2021, Année Jacquaire 2021).</w:t>
      </w:r>
    </w:p>
    <w:p>
      <w:pPr>
        <w:pStyle w:val="Heading2"/>
        <w:spacing w:after="160" w:before="280"/>
      </w:pPr>
      <w:r>
        <w:rPr>
          <w:b/>
          <w:bCs/>
          <w:color w:val="1F4E78"/>
          <w:sz w:val="26"/>
          <w:szCs w:val="26"/>
        </w:rPr>
        <w:t xml:space="preserve">Phase 3 — Analyse exploratoire et cartographie</w:t>
      </w:r>
    </w:p>
    <w:p>
      <w:pPr>
        <w:pStyle w:val="ListParagraph"/>
        <w:numPr>
          <w:ilvl w:val="0"/>
          <w:numId w:val="2"/>
        </w:numPr>
        <w:spacing w:after="80"/>
      </w:pPr>
      <w:r>
        <w:rPr>
          <w:sz w:val="22"/>
          <w:szCs w:val="22"/>
        </w:rPr>
        <w:t xml:space="preserve">Visualisation des séries temporelles par point de mesure et par voie.</w:t>
      </w:r>
    </w:p>
    <w:p>
      <w:pPr>
        <w:pStyle w:val="ListParagraph"/>
        <w:numPr>
          <w:ilvl w:val="0"/>
          <w:numId w:val="2"/>
        </w:numPr>
        <w:spacing w:after="80"/>
      </w:pPr>
      <w:r>
        <w:rPr>
          <w:sz w:val="22"/>
          <w:szCs w:val="22"/>
        </w:rPr>
        <w:t xml:space="preserve">Cartographie interactive des flux (librairies Folium ou Plotly).</w:t>
      </w:r>
    </w:p>
    <w:p>
      <w:pPr>
        <w:pStyle w:val="ListParagraph"/>
        <w:numPr>
          <w:ilvl w:val="0"/>
          <w:numId w:val="2"/>
        </w:numPr>
        <w:spacing w:after="80"/>
      </w:pPr>
      <w:r>
        <w:rPr>
          <w:sz w:val="22"/>
          <w:szCs w:val="22"/>
        </w:rPr>
        <w:t xml:space="preserve">Analyse de la saisonnalité : décomposition STL, corrélations météo.</w:t>
      </w:r>
    </w:p>
    <w:p>
      <w:pPr>
        <w:pStyle w:val="ListParagraph"/>
        <w:numPr>
          <w:ilvl w:val="0"/>
          <w:numId w:val="2"/>
        </w:numPr>
        <w:spacing w:after="80"/>
      </w:pPr>
      <w:r>
        <w:rPr>
          <w:sz w:val="22"/>
          <w:szCs w:val="22"/>
        </w:rPr>
        <w:t xml:space="preserve">Clustering des points de mesure par profil de fréquentation (PCA + K-means).</w:t>
      </w:r>
    </w:p>
    <w:p>
      <w:pPr>
        <w:pStyle w:val="Heading2"/>
        <w:spacing w:after="160" w:before="280"/>
      </w:pPr>
      <w:r>
        <w:rPr>
          <w:b/>
          <w:bCs/>
          <w:color w:val="1F4E78"/>
          <w:sz w:val="26"/>
          <w:szCs w:val="26"/>
        </w:rPr>
        <w:t xml:space="preserve">Phase 4 — Modélisation prédictive</w:t>
      </w:r>
    </w:p>
    <w:p>
      <w:pPr>
        <w:pStyle w:val="ListParagraph"/>
        <w:numPr>
          <w:ilvl w:val="0"/>
          <w:numId w:val="2"/>
        </w:numPr>
        <w:spacing w:after="80"/>
      </w:pPr>
      <w:r>
        <w:rPr>
          <w:sz w:val="22"/>
          <w:szCs w:val="22"/>
        </w:rPr>
        <w:t xml:space="preserve">Baseline : modèles naïfs par persistance et moyenne saisonnière.</w:t>
      </w:r>
    </w:p>
    <w:p>
      <w:pPr>
        <w:pStyle w:val="ListParagraph"/>
        <w:numPr>
          <w:ilvl w:val="0"/>
          <w:numId w:val="2"/>
        </w:numPr>
        <w:spacing w:after="80"/>
      </w:pPr>
      <w:r>
        <w:rPr>
          <w:sz w:val="22"/>
          <w:szCs w:val="22"/>
        </w:rPr>
        <w:t xml:space="preserve">Modèles linéaires : régression multiple avec interactions météo × saison.</w:t>
      </w:r>
    </w:p>
    <w:p>
      <w:pPr>
        <w:pStyle w:val="ListParagraph"/>
        <w:numPr>
          <w:ilvl w:val="0"/>
          <w:numId w:val="2"/>
        </w:numPr>
        <w:spacing w:after="80"/>
      </w:pPr>
      <w:r>
        <w:rPr>
          <w:sz w:val="22"/>
          <w:szCs w:val="22"/>
        </w:rPr>
        <w:t xml:space="preserve">Modèles de séries temporelles : SARIMA, Prophet (Meta).</w:t>
      </w:r>
    </w:p>
    <w:p>
      <w:pPr>
        <w:pStyle w:val="ListParagraph"/>
        <w:numPr>
          <w:ilvl w:val="0"/>
          <w:numId w:val="2"/>
        </w:numPr>
        <w:spacing w:after="80"/>
      </w:pPr>
      <w:r>
        <w:rPr>
          <w:sz w:val="22"/>
          <w:szCs w:val="22"/>
        </w:rPr>
        <w:t xml:space="preserve">Modèles de deep learning : LSTM multi-variate sur les séries pluriannuelles les plus complètes (réutilisation des acquis NB05 Australia rain).</w:t>
      </w:r>
    </w:p>
    <w:p>
      <w:pPr>
        <w:pStyle w:val="ListParagraph"/>
        <w:numPr>
          <w:ilvl w:val="0"/>
          <w:numId w:val="2"/>
        </w:numPr>
        <w:spacing w:after="80"/>
      </w:pPr>
      <w:r>
        <w:rPr>
          <w:sz w:val="22"/>
          <w:szCs w:val="22"/>
        </w:rPr>
        <w:t xml:space="preserve">Évaluation : backtesting sur 2023-2024, métriques MAE, RMSE, MAPE.</w:t>
      </w:r>
    </w:p>
    <w:p>
      <w:pPr>
        <w:pStyle w:val="Heading2"/>
        <w:spacing w:after="160" w:before="280"/>
      </w:pPr>
      <w:r>
        <w:rPr>
          <w:b/>
          <w:bCs/>
          <w:color w:val="1F4E78"/>
          <w:sz w:val="26"/>
          <w:szCs w:val="26"/>
        </w:rPr>
        <w:t xml:space="preserve">Phase 5 — Livrables finaux</w:t>
      </w:r>
    </w:p>
    <w:p>
      <w:pPr>
        <w:pStyle w:val="ListParagraph"/>
        <w:numPr>
          <w:ilvl w:val="0"/>
          <w:numId w:val="2"/>
        </w:numPr>
        <w:spacing w:after="80"/>
      </w:pPr>
      <w:r>
        <w:rPr>
          <w:sz w:val="22"/>
          <w:szCs w:val="22"/>
        </w:rPr>
        <w:t xml:space="preserve">Rapport méthodologique synthétique (10-15 pages).</w:t>
      </w:r>
    </w:p>
    <w:p>
      <w:pPr>
        <w:pStyle w:val="ListParagraph"/>
        <w:numPr>
          <w:ilvl w:val="0"/>
          <w:numId w:val="2"/>
        </w:numPr>
        <w:spacing w:after="80"/>
      </w:pPr>
      <w:r>
        <w:rPr>
          <w:sz w:val="22"/>
          <w:szCs w:val="22"/>
        </w:rPr>
        <w:t xml:space="preserve">Dashboard interactif (Streamlit, Gradio, ou Power BI à titre pédagogique).</w:t>
      </w:r>
    </w:p>
    <w:p>
      <w:pPr>
        <w:pStyle w:val="ListParagraph"/>
        <w:numPr>
          <w:ilvl w:val="0"/>
          <w:numId w:val="2"/>
        </w:numPr>
        <w:spacing w:after="80"/>
      </w:pPr>
      <w:r>
        <w:rPr>
          <w:sz w:val="22"/>
          <w:szCs w:val="22"/>
        </w:rPr>
        <w:t xml:space="preserve">Notebooks Jupyter commentés et auto-documentés (NB03, NB04, NB05... en continuité du workflow existant).</w:t>
      </w:r>
    </w:p>
    <w:p>
      <w:pPr>
        <w:pStyle w:val="ListParagraph"/>
        <w:numPr>
          <w:ilvl w:val="0"/>
          <w:numId w:val="2"/>
        </w:numPr>
        <w:spacing w:after="80"/>
      </w:pPr>
      <w:r>
        <w:rPr>
          <w:sz w:val="22"/>
          <w:szCs w:val="22"/>
        </w:rPr>
        <w:t xml:space="preserve">Fiche projet pour dossier de compétences Lojelis / Team IT.</w:t>
      </w:r>
    </w:p>
    <w:p>
      <w:r>
        <w:br w:type="page"/>
      </w:r>
    </w:p>
    <w:p>
      <w:pPr>
        <w:pStyle w:val="Heading1"/>
        <w:spacing w:after="200" w:before="360"/>
      </w:pPr>
      <w:r>
        <w:rPr>
          <w:b/>
          <w:bCs/>
          <w:color w:val="1F4E78"/>
          <w:sz w:val="32"/>
          <w:szCs w:val="32"/>
        </w:rPr>
        <w:t xml:space="preserve">5. Positionnement méthodologique</w:t>
      </w:r>
    </w:p>
    <w:p>
      <w:pPr>
        <w:pStyle w:val="Heading2"/>
        <w:spacing w:after="160" w:before="280"/>
      </w:pPr>
      <w:r>
        <w:rPr>
          <w:b/>
          <w:bCs/>
          <w:color w:val="1F4E78"/>
          <w:sz w:val="26"/>
          <w:szCs w:val="26"/>
        </w:rPr>
        <w:t xml:space="preserve">5.1 Principes directeurs</w:t>
      </w:r>
    </w:p>
    <w:p>
      <w:pPr>
        <w:pStyle w:val="ListParagraph"/>
        <w:numPr>
          <w:ilvl w:val="0"/>
          <w:numId w:val="2"/>
        </w:numPr>
        <w:spacing w:after="80"/>
      </w:pPr>
      <w:r>
        <w:rPr>
          <w:b/>
          <w:bCs/>
          <w:sz w:val="22"/>
          <w:szCs w:val="22"/>
        </w:rPr>
        <w:t xml:space="preserve">Principe KISS : favoriser la simplicité et la lisibilité du code sur la sophistication prématurée.</w:t>
      </w:r>
    </w:p>
    <w:p>
      <w:pPr>
        <w:pStyle w:val="ListParagraph"/>
        <w:numPr>
          <w:ilvl w:val="0"/>
          <w:numId w:val="2"/>
        </w:numPr>
        <w:spacing w:after="80"/>
      </w:pPr>
      <w:r>
        <w:rPr>
          <w:b/>
          <w:bCs/>
          <w:sz w:val="22"/>
          <w:szCs w:val="22"/>
        </w:rPr>
        <w:t xml:space="preserve">Principe DRY : factoriser les étapes récurrentes (lecture PDF, nettoyage, visualisation) en fonctions réutilisables.</w:t>
      </w:r>
    </w:p>
    <w:p>
      <w:pPr>
        <w:pStyle w:val="ListParagraph"/>
        <w:numPr>
          <w:ilvl w:val="0"/>
          <w:numId w:val="2"/>
        </w:numPr>
        <w:spacing w:after="80"/>
      </w:pPr>
      <w:r>
        <w:rPr>
          <w:b/>
          <w:bCs/>
          <w:sz w:val="22"/>
          <w:szCs w:val="22"/>
        </w:rPr>
        <w:t xml:space="preserve">Traçabilité : toute observation dans le dataset est rattachée à sa source primaire (fichier, page, date).</w:t>
      </w:r>
    </w:p>
    <w:p>
      <w:pPr>
        <w:pStyle w:val="ListParagraph"/>
        <w:numPr>
          <w:ilvl w:val="0"/>
          <w:numId w:val="2"/>
        </w:numPr>
        <w:spacing w:after="80"/>
      </w:pPr>
      <w:r>
        <w:rPr>
          <w:b/>
          <w:bCs/>
          <w:sz w:val="22"/>
          <w:szCs w:val="22"/>
        </w:rPr>
        <w:t xml:space="preserve">Reproductibilité : chaque étape est exécutable indépendamment via un notebook ou un script dédié.</w:t>
      </w:r>
    </w:p>
    <w:p>
      <w:pPr>
        <w:pStyle w:val="ListParagraph"/>
        <w:numPr>
          <w:ilvl w:val="0"/>
          <w:numId w:val="2"/>
        </w:numPr>
        <w:spacing w:after="80"/>
      </w:pPr>
      <w:r>
        <w:rPr>
          <w:b/>
          <w:bCs/>
          <w:sz w:val="22"/>
          <w:szCs w:val="22"/>
        </w:rPr>
        <w:t xml:space="preserve">Auditabilité : les divergences et approximations sont documentées explicitement dans un onglet dédié.</w:t>
      </w:r>
    </w:p>
    <w:p>
      <w:pPr>
        <w:pStyle w:val="Heading2"/>
        <w:spacing w:after="160" w:before="280"/>
      </w:pPr>
      <w:r>
        <w:rPr>
          <w:b/>
          <w:bCs/>
          <w:color w:val="1F4E78"/>
          <w:sz w:val="26"/>
          <w:szCs w:val="26"/>
        </w:rPr>
        <w:t xml:space="preserve">5.2 Choix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20"/>
                <w:szCs w:val="20"/>
              </w:rPr>
              <w:t xml:space="preserve">Domaine</w:t>
            </w:r>
          </w:p>
        </w:tc>
        <w:tc>
          <w:tcPr>
            <w:tcW w:type="dxa" w:w="686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20"/>
                <w:szCs w:val="20"/>
              </w:rPr>
              <w:t xml:space="preserve">Choix</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bCs/>
                <w:sz w:val="20"/>
                <w:szCs w:val="20"/>
              </w:rPr>
              <w:t xml:space="preserve">Langage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Python 3.11+</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bCs/>
                <w:sz w:val="20"/>
                <w:szCs w:val="20"/>
              </w:rPr>
              <w:t xml:space="preserve">Manipulation données</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pandas, numpy</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bCs/>
                <w:sz w:val="20"/>
                <w:szCs w:val="20"/>
              </w:rPr>
              <w:t xml:space="preserve">Visualisation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matplotlib, seaborn, plotly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bCs/>
                <w:sz w:val="20"/>
                <w:szCs w:val="20"/>
              </w:rPr>
              <w:t xml:space="preserve">Cartographie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folium ou plotly (cartes choroplèthes)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bCs/>
                <w:sz w:val="20"/>
                <w:szCs w:val="20"/>
              </w:rPr>
              <w:t xml:space="preserve">Séries temporelles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statsmodels (SARIMA, STL), prophet</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bCs/>
                <w:sz w:val="20"/>
                <w:szCs w:val="20"/>
              </w:rPr>
              <w:t xml:space="preserve">Deep Learning</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TensorFlow / Keras (cohérence avec NB05 Australia rain)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bCs/>
                <w:sz w:val="20"/>
                <w:szCs w:val="20"/>
              </w:rPr>
              <w:t xml:space="preserve">Interactivité</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Streamlit (leger, déployable gratuitement)</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bCs/>
                <w:sz w:val="20"/>
                <w:szCs w:val="20"/>
              </w:rPr>
              <w:t xml:space="preserve">Environnement</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venv dédié, requirements.txt versionné</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bCs/>
                <w:sz w:val="20"/>
                <w:szCs w:val="20"/>
              </w:rPr>
              <w:t xml:space="preserve">Versionnement</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Git (repository local, push GitHub envisageable)</w:t>
            </w:r>
          </w:p>
        </w:tc>
      </w:tr>
    </w:tbl>
    <w:p>
      <w:pPr>
        <w:pStyle w:val="Heading2"/>
        <w:spacing w:after="160" w:before="280"/>
      </w:pPr>
      <w:r>
        <w:rPr>
          <w:b/>
          <w:bCs/>
          <w:color w:val="1F4E78"/>
          <w:sz w:val="26"/>
          <w:szCs w:val="26"/>
        </w:rPr>
        <w:t xml:space="preserve">5.3 Ce que le projet démontre (compétences clés)</w:t>
      </w:r>
    </w:p>
    <w:p>
      <w:pPr>
        <w:spacing w:after="120" w:before="0"/>
        <w:jc w:val="left"/>
      </w:pPr>
      <w:r>
        <w:rPr>
          <w:sz w:val="22"/>
          <w:szCs w:val="22"/>
        </w:rPr>
        <w:t xml:space="preserve">Ce projet, une fois complété, démontre un portefeuille cohérent de compétences directement transposables aux missions Product Owner / Business Analyst / Data Steward :</w:t>
      </w:r>
    </w:p>
    <w:p>
      <w:pPr>
        <w:pStyle w:val="ListParagraph"/>
        <w:numPr>
          <w:ilvl w:val="0"/>
          <w:numId w:val="2"/>
        </w:numPr>
        <w:spacing w:after="80"/>
      </w:pPr>
      <w:r>
        <w:rPr>
          <w:b/>
          <w:bCs/>
          <w:sz w:val="22"/>
          <w:szCs w:val="22"/>
        </w:rPr>
        <w:t xml:space="preserve">Capacité à remettre en question un cadrage initial à la lumière des données observées (posture critique).</w:t>
      </w:r>
    </w:p>
    <w:p>
      <w:pPr>
        <w:pStyle w:val="ListParagraph"/>
        <w:numPr>
          <w:ilvl w:val="0"/>
          <w:numId w:val="2"/>
        </w:numPr>
        <w:spacing w:after="80"/>
      </w:pPr>
      <w:r>
        <w:rPr>
          <w:sz w:val="22"/>
          <w:szCs w:val="22"/>
        </w:rPr>
        <w:t xml:space="preserve">Maîtrise de la chaîne de valeur data end-to-end : acquisition, nettoyage, modélisation, restitution.</w:t>
      </w:r>
    </w:p>
    <w:p>
      <w:pPr>
        <w:pStyle w:val="ListParagraph"/>
        <w:numPr>
          <w:ilvl w:val="0"/>
          <w:numId w:val="2"/>
        </w:numPr>
        <w:spacing w:after="80"/>
      </w:pPr>
      <w:r>
        <w:rPr>
          <w:sz w:val="22"/>
          <w:szCs w:val="22"/>
        </w:rPr>
        <w:t xml:space="preserve">Gestion de sources hétérogènes avec biais documentés — compétence cœur du Data Steward.</w:t>
      </w:r>
    </w:p>
    <w:p>
      <w:pPr>
        <w:pStyle w:val="ListParagraph"/>
        <w:numPr>
          <w:ilvl w:val="0"/>
          <w:numId w:val="2"/>
        </w:numPr>
        <w:spacing w:after="80"/>
      </w:pPr>
      <w:r>
        <w:rPr>
          <w:sz w:val="22"/>
          <w:szCs w:val="22"/>
        </w:rPr>
        <w:t xml:space="preserve">Construction de datasets auditables avec dictionnaire de métadonnées et inventaire des lacunes.</w:t>
      </w:r>
    </w:p>
    <w:p>
      <w:pPr>
        <w:pStyle w:val="ListParagraph"/>
        <w:numPr>
          <w:ilvl w:val="0"/>
          <w:numId w:val="2"/>
        </w:numPr>
        <w:spacing w:after="80"/>
      </w:pPr>
      <w:r>
        <w:rPr>
          <w:sz w:val="22"/>
          <w:szCs w:val="22"/>
        </w:rPr>
        <w:t xml:space="preserve">Application pragmatique de principes d'ingénierie logicielle (KISS, DRY, SOLID) au contexte data science.</w:t>
      </w:r>
    </w:p>
    <w:p>
      <w:pPr>
        <w:pStyle w:val="ListParagraph"/>
        <w:numPr>
          <w:ilvl w:val="0"/>
          <w:numId w:val="2"/>
        </w:numPr>
        <w:spacing w:after="80"/>
      </w:pPr>
      <w:r>
        <w:rPr>
          <w:sz w:val="22"/>
          <w:szCs w:val="22"/>
        </w:rPr>
        <w:t xml:space="preserve">Modélisation statistique et deep learning avec évaluation rigoureuse (backtesting, métriques).</w:t>
      </w:r>
    </w:p>
    <w:p>
      <w:r>
        <w:br w:type="page"/>
      </w:r>
    </w:p>
    <w:p>
      <w:pPr>
        <w:pStyle w:val="Heading1"/>
        <w:spacing w:after="200" w:before="360"/>
      </w:pPr>
      <w:r>
        <w:rPr>
          <w:b/>
          <w:bCs/>
          <w:color w:val="1F4E78"/>
          <w:sz w:val="32"/>
          <w:szCs w:val="32"/>
        </w:rPr>
        <w:t xml:space="preserve">6. Risques identifiés et limites assumées</w:t>
      </w:r>
    </w:p>
    <w:p>
      <w:pPr>
        <w:pStyle w:val="Heading2"/>
        <w:spacing w:after="160" w:before="280"/>
      </w:pPr>
      <w:r>
        <w:rPr>
          <w:b/>
          <w:bCs/>
          <w:color w:val="1F4E78"/>
          <w:sz w:val="26"/>
          <w:szCs w:val="26"/>
        </w:rPr>
        <w:t xml:space="preserve">6.1 Limites intrinsèques des données</w:t>
      </w:r>
    </w:p>
    <w:p>
      <w:pPr>
        <w:pStyle w:val="ListParagraph"/>
        <w:numPr>
          <w:ilvl w:val="0"/>
          <w:numId w:val="2"/>
        </w:numPr>
        <w:spacing w:after="80"/>
      </w:pPr>
      <w:r>
        <w:rPr>
          <w:sz w:val="22"/>
          <w:szCs w:val="22"/>
        </w:rPr>
        <w:t xml:space="preserve">Hétérogénéité des méthodes de comptage entre points de mesure : éco-compteurs, crédenciales tamponnées, nuitées, passages OT sont explicitement non-comparables.</w:t>
      </w:r>
    </w:p>
    <w:p>
      <w:pPr>
        <w:pStyle w:val="ListParagraph"/>
        <w:numPr>
          <w:ilvl w:val="0"/>
          <w:numId w:val="2"/>
        </w:numPr>
        <w:spacing w:after="80"/>
      </w:pPr>
      <w:r>
        <w:rPr>
          <w:sz w:val="22"/>
          <w:szCs w:val="22"/>
        </w:rPr>
        <w:t xml:space="preserve">Couverture spatiale très inégale : la Via Podiensis concentre 80% des éco-compteurs, les voies secondaires sont sous-documentées.</w:t>
      </w:r>
    </w:p>
    <w:p>
      <w:pPr>
        <w:pStyle w:val="ListParagraph"/>
        <w:numPr>
          <w:ilvl w:val="0"/>
          <w:numId w:val="2"/>
        </w:numPr>
        <w:spacing w:after="80"/>
      </w:pPr>
      <w:r>
        <w:rPr>
          <w:sz w:val="22"/>
          <w:szCs w:val="22"/>
        </w:rPr>
        <w:t xml:space="preserve">Rupture 2020-2021 (COVID) : impact sur toutes les analyses de tendance, traitement en variable explicite obligatoire.</w:t>
      </w:r>
    </w:p>
    <w:p>
      <w:pPr>
        <w:pStyle w:val="ListParagraph"/>
        <w:numPr>
          <w:ilvl w:val="0"/>
          <w:numId w:val="2"/>
        </w:numPr>
        <w:spacing w:after="80"/>
      </w:pPr>
      <w:r>
        <w:rPr>
          <w:sz w:val="22"/>
          <w:szCs w:val="22"/>
        </w:rPr>
        <w:t xml:space="preserve">Absence de continuité comportementale : le fractionnement du pèlerinage sur plusieurs années rend toute « unité pèlerin » contestable.</w:t>
      </w:r>
    </w:p>
    <w:p>
      <w:pPr>
        <w:pStyle w:val="Heading2"/>
        <w:spacing w:after="160" w:before="280"/>
      </w:pPr>
      <w:r>
        <w:rPr>
          <w:b/>
          <w:bCs/>
          <w:color w:val="1F4E78"/>
          <w:sz w:val="26"/>
          <w:szCs w:val="26"/>
        </w:rPr>
        <w:t xml:space="preserve">6.2 Risques du projet</w:t>
      </w:r>
    </w:p>
    <w:p>
      <w:pPr>
        <w:pStyle w:val="ListParagraph"/>
        <w:numPr>
          <w:ilvl w:val="0"/>
          <w:numId w:val="2"/>
        </w:numPr>
        <w:spacing w:after="80"/>
      </w:pPr>
      <w:r>
        <w:rPr>
          <w:sz w:val="22"/>
          <w:szCs w:val="22"/>
        </w:rPr>
        <w:t xml:space="preserve">Volumétrie limitée pour certaines voies (moins de 15 observations sur 7 ans pour la Voie d'Arles) : impossibilité de modéliser finement ces voies.</w:t>
      </w:r>
    </w:p>
    <w:p>
      <w:pPr>
        <w:pStyle w:val="ListParagraph"/>
        <w:numPr>
          <w:ilvl w:val="0"/>
          <w:numId w:val="2"/>
        </w:numPr>
        <w:spacing w:after="80"/>
      </w:pPr>
      <w:r>
        <w:rPr>
          <w:sz w:val="22"/>
          <w:szCs w:val="22"/>
        </w:rPr>
        <w:t xml:space="preserve">Qualité variable du parc d'éco-compteurs dans le temps (appareils déplacés, remplacés, en panne).</w:t>
      </w:r>
    </w:p>
    <w:p>
      <w:pPr>
        <w:pStyle w:val="ListParagraph"/>
        <w:numPr>
          <w:ilvl w:val="0"/>
          <w:numId w:val="2"/>
        </w:numPr>
        <w:spacing w:after="80"/>
      </w:pPr>
      <w:r>
        <w:rPr>
          <w:sz w:val="22"/>
          <w:szCs w:val="22"/>
        </w:rPr>
        <w:t xml:space="preserve">Dépendance à la qualité des notes AFCC : toute erreur dans les sources primaires se propage dans le projet.</w:t>
      </w:r>
    </w:p>
    <w:p>
      <w:pPr>
        <w:pStyle w:val="Heading2"/>
        <w:spacing w:after="160" w:before="280"/>
      </w:pPr>
      <w:r>
        <w:rPr>
          <w:b/>
          <w:bCs/>
          <w:color w:val="1F4E78"/>
          <w:sz w:val="26"/>
          <w:szCs w:val="26"/>
        </w:rPr>
        <w:t xml:space="preserve">6.3 Stratégies de mitigation</w:t>
      </w:r>
    </w:p>
    <w:p>
      <w:pPr>
        <w:pStyle w:val="ListParagraph"/>
        <w:numPr>
          <w:ilvl w:val="0"/>
          <w:numId w:val="2"/>
        </w:numPr>
        <w:spacing w:after="80"/>
      </w:pPr>
      <w:r>
        <w:rPr>
          <w:sz w:val="22"/>
          <w:szCs w:val="22"/>
        </w:rPr>
        <w:t xml:space="preserve">Documentation exhaustive des limites dans le rapport final (posture de transparence).</w:t>
      </w:r>
    </w:p>
    <w:p>
      <w:pPr>
        <w:pStyle w:val="ListParagraph"/>
        <w:numPr>
          <w:ilvl w:val="0"/>
          <w:numId w:val="2"/>
        </w:numPr>
        <w:spacing w:after="80"/>
      </w:pPr>
      <w:r>
        <w:rPr>
          <w:sz w:val="22"/>
          <w:szCs w:val="22"/>
        </w:rPr>
        <w:t xml:space="preserve">Focus principal sur les voies les mieux documentées (Via Podiensis) pour la modélisation fine.</w:t>
      </w:r>
    </w:p>
    <w:p>
      <w:pPr>
        <w:pStyle w:val="ListParagraph"/>
        <w:numPr>
          <w:ilvl w:val="0"/>
          <w:numId w:val="2"/>
        </w:numPr>
        <w:spacing w:after="80"/>
      </w:pPr>
      <w:r>
        <w:rPr>
          <w:sz w:val="22"/>
          <w:szCs w:val="22"/>
        </w:rPr>
        <w:t xml:space="preserve">Pour les voies sous-documentées : analyses qualitatives et ordres de grandeur, pas de modélisation prédictive.</w:t>
      </w:r>
    </w:p>
    <w:p>
      <w:pPr>
        <w:pStyle w:val="ListParagraph"/>
        <w:numPr>
          <w:ilvl w:val="0"/>
          <w:numId w:val="2"/>
        </w:numPr>
        <w:spacing w:after="80"/>
      </w:pPr>
      <w:r>
        <w:rPr>
          <w:sz w:val="22"/>
          <w:szCs w:val="22"/>
        </w:rPr>
        <w:t xml:space="preserve">Validation croisée systématique : comparaison multi-sources quand possible (par exemple AFCC vs Lot Tourisme).</w:t>
      </w:r>
    </w:p>
    <w:p>
      <w:r>
        <w:br w:type="page"/>
      </w:r>
    </w:p>
    <w:p>
      <w:pPr>
        <w:pStyle w:val="Heading1"/>
        <w:spacing w:after="200" w:before="360"/>
      </w:pPr>
      <w:r>
        <w:rPr>
          <w:b/>
          <w:bCs/>
          <w:color w:val="1F4E78"/>
          <w:sz w:val="32"/>
          <w:szCs w:val="32"/>
        </w:rPr>
        <w:t xml:space="preserve">7. Calendrier indicatif</w:t>
      </w:r>
    </w:p>
    <w:p>
      <w:pPr>
        <w:spacing w:after="120" w:before="0"/>
        <w:jc w:val="left"/>
      </w:pPr>
      <w:r>
        <w:rPr>
          <w:sz w:val="22"/>
          <w:szCs w:val="22"/>
        </w:rPr>
        <w:t xml:space="preserve">Projet mené en mode personnel à temps partiel, calendrier à titre indicatif.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20"/>
                <w:szCs w:val="20"/>
              </w:rPr>
              <w:t xml:space="preserve">Période</w:t>
            </w:r>
          </w:p>
        </w:tc>
        <w:tc>
          <w:tcPr>
            <w:tcW w:type="dxa" w:w="240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F4E78" w:val="clear"/>
            <w:tcMar>
              <w:top w:type="dxa" w:w="100"/>
              <w:left w:type="dxa" w:w="150"/>
              <w:bottom w:type="dxa" w:w="100"/>
              <w:right w:type="dxa" w:w="150"/>
            </w:tcMar>
          </w:tcPr>
          <w:p>
            <w:pPr>
              <w:jc w:val="left"/>
            </w:pPr>
            <w:r>
              <w:rPr>
                <w:b/>
                <w:bCs/>
                <w:color w:val="FFFFFF"/>
                <w:sz w:val="20"/>
                <w:szCs w:val="20"/>
              </w:rPr>
              <w:t xml:space="preserve">Livrables</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Semaine 1 (en cours)</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Finalisation Phase 1 + Phase 2</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Dataset consolidé v2 + météo Open-Meteo intégrée.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Semaines 2-3</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Phase 3 — Exploratoire</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Notebook exploration + visualisations temporelles + cartographie.</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Semaines 4-6</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Phase 4 — Modélisation</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b w:val="false"/>
                <w:bCs w:val="false"/>
                <w:sz w:val="20"/>
                <w:szCs w:val="20"/>
              </w:rPr>
              <w:t xml:space="preserve">Notebooks baseline, SARIMA, Prophet, LSTM. Comparaison métriques.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Semaines 7-8</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Phase 5 — Restitution</w:t>
            </w:r>
          </w:p>
        </w:tc>
        <w:tc>
          <w:tcPr>
            <w:tcW w:type="dxa" w:w="5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b w:val="false"/>
                <w:bCs w:val="false"/>
                <w:sz w:val="20"/>
                <w:szCs w:val="20"/>
              </w:rPr>
              <w:t xml:space="preserve">Rapport final, dashboard Streamlit, fiche projet Lojelis.</w:t>
            </w:r>
          </w:p>
        </w:tc>
      </w:tr>
    </w:tbl>
    <w:p>
      <w:pPr>
        <w:pStyle w:val="Heading1"/>
        <w:spacing w:after="200" w:before="360"/>
      </w:pPr>
      <w:r>
        <w:rPr>
          <w:b/>
          <w:bCs/>
          <w:color w:val="1F4E78"/>
          <w:sz w:val="32"/>
          <w:szCs w:val="32"/>
        </w:rPr>
        <w:t xml:space="preserve">8. Annexe — État des livrables déjà produits</w:t>
      </w:r>
    </w:p>
    <w:p>
      <w:pPr>
        <w:spacing w:after="120" w:before="0"/>
        <w:jc w:val="left"/>
      </w:pPr>
      <w:r>
        <w:rPr>
          <w:sz w:val="22"/>
          <w:szCs w:val="22"/>
        </w:rPr>
        <w:t xml:space="preserve">Au 17 avril 2026, les artefacts suivants sont disponibles et constituent le socle du projet :</w:t>
      </w:r>
    </w:p>
    <w:p>
      <w:pPr>
        <w:pStyle w:val="Heading3"/>
        <w:spacing w:after="120" w:before="200"/>
      </w:pPr>
      <w:r>
        <w:rPr>
          <w:b/>
          <w:bCs/>
          <w:color w:val="1F4E78"/>
          <w:sz w:val="22"/>
          <w:szCs w:val="22"/>
        </w:rPr>
        <w:t xml:space="preserve">Livrables principaux</w:t>
      </w:r>
    </w:p>
    <w:p>
      <w:pPr>
        <w:pStyle w:val="ListParagraph"/>
        <w:numPr>
          <w:ilvl w:val="0"/>
          <w:numId w:val="2"/>
        </w:numPr>
        <w:spacing w:after="80"/>
      </w:pPr>
      <w:r>
        <w:rPr>
          <w:sz w:val="22"/>
          <w:szCs w:val="22"/>
        </w:rPr>
        <w:t xml:space="preserve">dataset_compostelle_2018_2024.xlsx : dataset consolidé AFCC, 107 observations, 8 onglets (README, data long, métadonnées sources, points de mesure, nomenclature voies, inventaire des trous, réconciliations, guide sources externes).</w:t>
      </w:r>
    </w:p>
    <w:p>
      <w:pPr>
        <w:pStyle w:val="ListParagraph"/>
        <w:numPr>
          <w:ilvl w:val="0"/>
          <w:numId w:val="2"/>
        </w:numPr>
        <w:spacing w:after="80"/>
      </w:pPr>
      <w:r>
        <w:rPr>
          <w:sz w:val="22"/>
          <w:szCs w:val="22"/>
        </w:rPr>
        <w:t xml:space="preserve">oficina_2018_marginales.csv : données Oficina 2018 parsées depuis le PDF officiel, 71 observations sur 7 dimensions (sexe, mode, motif, âge, camino, nationalité, lieu de départ).</w:t>
      </w:r>
    </w:p>
    <w:p>
      <w:pPr>
        <w:pStyle w:val="Heading3"/>
        <w:spacing w:after="120" w:before="200"/>
      </w:pPr>
      <w:r>
        <w:rPr>
          <w:b/>
          <w:bCs/>
          <w:color w:val="1F4E78"/>
          <w:sz w:val="22"/>
          <w:szCs w:val="22"/>
        </w:rPr>
        <w:t xml:space="preserve">Livrables secondaires</w:t>
      </w:r>
    </w:p>
    <w:p>
      <w:pPr>
        <w:pStyle w:val="ListParagraph"/>
        <w:numPr>
          <w:ilvl w:val="0"/>
          <w:numId w:val="2"/>
        </w:numPr>
        <w:spacing w:after="80"/>
      </w:pPr>
      <w:r>
        <w:rPr>
          <w:sz w:val="22"/>
          <w:szCs w:val="22"/>
        </w:rPr>
        <w:t xml:space="preserve">NB06_extract_oficina.ipynb : notebook d'extraction API Oficina (fonctionnel pour 2018, limité pour années récentes en raison de la migration Power BI).</w:t>
      </w:r>
    </w:p>
    <w:p>
      <w:pPr>
        <w:pStyle w:val="ListParagraph"/>
        <w:numPr>
          <w:ilvl w:val="0"/>
          <w:numId w:val="2"/>
        </w:numPr>
        <w:spacing w:after="80"/>
      </w:pPr>
      <w:r>
        <w:rPr>
          <w:sz w:val="22"/>
          <w:szCs w:val="22"/>
        </w:rPr>
        <w:t xml:space="preserve">extract_oficina.py : script Python autonome équivalent.</w:t>
      </w:r>
    </w:p>
    <w:p>
      <w:pPr>
        <w:pStyle w:val="ListParagraph"/>
        <w:numPr>
          <w:ilvl w:val="0"/>
          <w:numId w:val="2"/>
        </w:numPr>
        <w:spacing w:after="80"/>
      </w:pPr>
      <w:r>
        <w:rPr>
          <w:sz w:val="22"/>
          <w:szCs w:val="22"/>
        </w:rPr>
        <w:t xml:space="preserve">template_oficina_v2.xlsx : template de saisie manuelle Power BI (abandonné comme axe central, conservé pour usage éventuel ponctuel).</w:t>
      </w:r>
    </w:p>
    <w:p>
      <w:pPr>
        <w:pStyle w:val="Heading3"/>
        <w:spacing w:after="120" w:before="200"/>
      </w:pPr>
      <w:r>
        <w:rPr>
          <w:b/>
          <w:bCs/>
          <w:color w:val="1F4E78"/>
          <w:sz w:val="22"/>
          <w:szCs w:val="22"/>
        </w:rPr>
        <w:t xml:space="preserve">Findings méthodologiques</w:t>
      </w:r>
    </w:p>
    <w:p>
      <w:pPr>
        <w:pStyle w:val="ListParagraph"/>
        <w:numPr>
          <w:ilvl w:val="0"/>
          <w:numId w:val="2"/>
        </w:numPr>
        <w:spacing w:after="80"/>
      </w:pPr>
      <w:r>
        <w:rPr>
          <w:sz w:val="22"/>
          <w:szCs w:val="22"/>
        </w:rPr>
        <w:t xml:space="preserve">Documentation du blocage technique Oficina (dashboard Power BI embedded sans API publique) : constitue une donnée utile pour tout futur projet sur ces sources.</w:t>
      </w:r>
    </w:p>
    <w:p>
      <w:pPr>
        <w:pStyle w:val="ListParagraph"/>
        <w:numPr>
          <w:ilvl w:val="0"/>
          <w:numId w:val="2"/>
        </w:numPr>
        <w:spacing w:after="80"/>
      </w:pPr>
      <w:r>
        <w:rPr>
          <w:sz w:val="22"/>
          <w:szCs w:val="22"/>
        </w:rPr>
        <w:t xml:space="preserve">Cartographie précise des divergences inter-sources (SJPP 2022 : 52 926 vs 52 297 selon document AFCC).</w:t>
      </w:r>
    </w:p>
    <w:p>
      <w:pPr>
        <w:pStyle w:val="ListParagraph"/>
        <w:numPr>
          <w:ilvl w:val="0"/>
          <w:numId w:val="2"/>
        </w:numPr>
        <w:spacing w:after="80"/>
      </w:pPr>
      <w:r>
        <w:rPr>
          <w:sz w:val="22"/>
          <w:szCs w:val="22"/>
        </w:rPr>
        <w:t xml:space="preserve">Identification de la faille méthodologique du cadrage initial (décalages temporels AFCC vs Oficina, pèlerinage par tronçons).</w:t>
      </w:r>
    </w:p>
    <w:p>
      <w:pPr>
        <w:spacing w:before="600"/>
        <w:jc w:val="center"/>
      </w:pPr>
      <w:r>
        <w:rPr>
          <w:color w:val="5B5B5B"/>
          <w:sz w:val="22"/>
          <w:szCs w:val="22"/>
        </w:rPr>
        <w:t xml:space="preserve">—</w:t>
      </w:r>
    </w:p>
    <w:p>
      <w:pPr>
        <w:spacing w:before="200"/>
        <w:jc w:val="center"/>
      </w:pPr>
      <w:r>
        <w:rPr>
          <w:i/>
          <w:iCs/>
          <w:color w:val="5B5B5B"/>
          <w:sz w:val="20"/>
          <w:szCs w:val="20"/>
        </w:rPr>
        <w:t xml:space="preserve">Fin du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8"/>
        <w:szCs w:val="18"/>
      </w:rPr>
      <w:t xml:space="preserve">Florian — Avril 2026 — Page </w:t>
    </w:r>
    <w:r>
      <w:rPr>
        <w:color w:val="5B5B5B"/>
        <w:sz w:val="18"/>
        <w:szCs w:val="18"/>
      </w:rPr>
      <w:fldChar w:fldCharType="begin"/>
      <w:instrText xml:space="preserve">PAGE</w:instrText>
      <w:fldChar w:fldCharType="separate"/>
      <w:fldChar w:fldCharType="end"/>
    </w:r>
    <w:r>
      <w:rPr>
        <w:color w:val="5B5B5B"/>
        <w:sz w:val="18"/>
        <w:szCs w:val="18"/>
      </w:rPr>
      <w:t xml:space="preserve"> / </w:t>
    </w:r>
    <w:r>
      <w:rPr>
        <w:color w:val="5B5B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1"/>
      </w:pBdr>
      <w:jc w:val="right"/>
    </w:pPr>
    <w:r>
      <w:rPr>
        <w:i/>
        <w:iCs/>
        <w:color w:val="5B5B5B"/>
        <w:sz w:val="18"/>
        <w:szCs w:val="18"/>
      </w:rPr>
      <w:t xml:space="preserve">Charter Observatoire Compostelle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de projet — Observatoire Compostelle</dc:title>
  <dc:creator>Florian</dc:creator>
  <dc:description>Document de cadrage projet data science</dc:description>
  <cp:lastModifiedBy>Un-named</cp:lastModifiedBy>
  <cp:revision>1</cp:revision>
  <dcterms:created xsi:type="dcterms:W3CDTF">2026-04-17T16:09:17.217Z</dcterms:created>
  <dcterms:modified xsi:type="dcterms:W3CDTF">2026-04-17T16:09:17.218Z</dcterms:modified>
</cp:coreProperties>
</file>

<file path=docProps/custom.xml><?xml version="1.0" encoding="utf-8"?>
<Properties xmlns="http://schemas.openxmlformats.org/officeDocument/2006/custom-properties" xmlns:vt="http://schemas.openxmlformats.org/officeDocument/2006/docPropsVTypes"/>
</file>