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Dossier technique du réseau</w:t>
      </w:r>
    </w:p>
    <w:p w:rsidR="00000000" w:rsidDel="00000000" w:rsidP="00000000" w:rsidRDefault="00000000" w:rsidRPr="00000000" w14:paraId="00000002">
      <w:pPr>
        <w:pStyle w:val="Subtitle"/>
        <w:rPr/>
      </w:pPr>
      <w:r>
        <w:t>Inventaire du matériel et configuration de la nouvelle architecture</w:t>
      </w:r>
    </w:p>
    <w:p w:rsidR="00000000" w:rsidDel="00000000" w:rsidP="00000000" w:rsidRDefault="00000000" w:rsidRPr="00000000" w14:paraId="00000003">
      <w:pPr>
        <w:spacing w:after="120" w:line="259" w:lineRule="auto"/>
        <w:rPr/>
      </w:pPr>
      <w:r>
        <w:rPr>
          <w:rFonts w:ascii="Arial" w:hAnsi="Arial"/>
          <w:sz w:val="21"/>
        </w:rPr>
        <w:t>Ce dossier décrit le câblage, l’adressage, le routage et le filtrage du réseau du projet. SW1 assure le routage des cinq VLAN internes. FW1 sépare le LAN, la DMZ et le transit vers R1. Le schéma de référence est « TPAIS projet diagramme.pdf », version du 17 septembre 2026. Les configurations ci-dessous constituent le plan de mise en service ; la recette sur les équipements reste à effectuer.</w:t>
      </w:r>
    </w:p>
    <w:p w:rsidR="00000000" w:rsidDel="00000000" w:rsidP="00000000" w:rsidRDefault="00000000" w:rsidRPr="00000000" w14:paraId="00000004">
      <w:pPr>
        <w:pStyle w:val="Heading1"/>
        <w:keepNext/>
        <w:pageBreakBefore w:val="0"/>
        <w:rPr/>
      </w:pPr>
      <w:r w:rsidDel="00000000" w:rsidR="00000000" w:rsidRPr="00000000">
        <w:rPr>
          <w:color w:val="000000"/>
          <w:rtl w:val="0"/>
        </w:rPr>
        <w:t xml:space="preserve">1 Inventaire du matériel</w:t>
      </w:r>
    </w:p>
    <w:tbl>
      <w:tblPr>
        <w:tblStyle w:val="Table1"/>
        <w:tblW w:w="10368.0" w:type="dxa"/>
        <w:jc w:val="center"/>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2948"/>
        <w:gridCol w:w="6740"/>
        <w:tblGridChange w:id="0">
          <w:tblGrid>
            <w:gridCol w:w="648"/>
            <w:gridCol w:w="3600"/>
            <w:gridCol w:w="6120"/>
          </w:tblGrid>
        </w:tblGridChange>
      </w:tblGrid>
      <w:tr>
        <w:trPr>
          <w:cantSplit/>
          <w:tblHeader/>
        </w:trPr>
        <w:tc>
          <w:tcPr>
            <w:tcW w:type="dxa" w:w="680"/>
            <w:vAlign w:val="center"/>
            <w:shd w:fill="DCE6EF"/>
            <w:tcMar>
              <w:top w:w="75" w:type="dxa"/>
              <w:bottom w:w="75" w:type="dxa"/>
              <w:left w:w="85" w:type="dxa"/>
              <w:right w:w="85" w:type="dxa"/>
            </w:tcMar>
          </w:tcPr>
          <w:p w:rsidR="00000000" w:rsidDel="00000000" w:rsidP="00000000" w:rsidRDefault="00000000" w:rsidRPr="00000000" w14:paraId="00000005">
            <w:pPr>
              <w:keepNext/>
              <w:keepLines/>
              <w:spacing w:after="0" w:before="0" w:line="252" w:lineRule="auto"/>
              <w:jc w:val="center"/>
              <w:rPr/>
            </w:pPr>
            <w:r w:rsidDel="00000000" w:rsidR="00000000" w:rsidRPr="00000000">
              <w:rPr>
                <w:rFonts w:ascii="Arial" w:hAnsi="Arial"/>
                <w:b/>
                <w:bCs w:val="1"/>
                <w:color w:val="000000"/>
                <w:sz w:val="19"/>
                <w:szCs w:val="19"/>
                <w:rtl w:val="0"/>
              </w:rPr>
              <w:t xml:space="preserve">Qté</w:t>
            </w:r>
            <w:r w:rsidDel="00000000" w:rsidR="00000000" w:rsidRPr="00000000">
              <w:rPr>
                <w:rFonts w:ascii="Arial" w:hAnsi="Arial"/>
                <w:b/>
                <w:color w:val="000000"/>
                <w:sz w:val="19"/>
                <w:rtl w:val="0"/>
              </w:rPr>
            </w:r>
          </w:p>
        </w:tc>
        <w:tc>
          <w:tcPr>
            <w:tcW w:type="dxa" w:w="2948"/>
            <w:vAlign w:val="center"/>
            <w:shd w:fill="DCE6EF"/>
            <w:tcMar>
              <w:top w:w="75" w:type="dxa"/>
              <w:bottom w:w="75" w:type="dxa"/>
              <w:left w:w="85" w:type="dxa"/>
              <w:right w:w="85" w:type="dxa"/>
            </w:tcMar>
          </w:tcPr>
          <w:p w:rsidR="00000000" w:rsidDel="00000000" w:rsidP="00000000" w:rsidRDefault="00000000" w:rsidRPr="00000000" w14:paraId="00000006">
            <w:pPr>
              <w:keepNext/>
              <w:keepLines/>
              <w:spacing w:after="0" w:before="0" w:line="252" w:lineRule="auto"/>
              <w:rPr/>
            </w:pPr>
            <w:r w:rsidDel="00000000" w:rsidR="00000000" w:rsidRPr="00000000">
              <w:rPr>
                <w:rFonts w:ascii="Arial" w:hAnsi="Arial"/>
                <w:b/>
                <w:bCs w:val="1"/>
                <w:color w:val="000000"/>
                <w:sz w:val="19"/>
                <w:szCs w:val="19"/>
                <w:rtl w:val="0"/>
              </w:rPr>
              <w:t xml:space="preserve">Équipement</w:t>
            </w:r>
            <w:r w:rsidDel="00000000" w:rsidR="00000000" w:rsidRPr="00000000">
              <w:rPr>
                <w:rFonts w:ascii="Arial" w:hAnsi="Arial"/>
                <w:b/>
                <w:color w:val="000000"/>
                <w:sz w:val="19"/>
                <w:rtl w:val="0"/>
              </w:rPr>
            </w:r>
          </w:p>
        </w:tc>
        <w:tc>
          <w:tcPr>
            <w:tcW w:type="dxa" w:w="6740"/>
            <w:vAlign w:val="center"/>
            <w:shd w:fill="DCE6EF"/>
            <w:tcMar>
              <w:top w:w="75" w:type="dxa"/>
              <w:bottom w:w="75" w:type="dxa"/>
              <w:left w:w="85" w:type="dxa"/>
              <w:right w:w="85" w:type="dxa"/>
            </w:tcMar>
          </w:tcPr>
          <w:p w:rsidR="00000000" w:rsidDel="00000000" w:rsidP="00000000" w:rsidRDefault="00000000" w:rsidRPr="00000000" w14:paraId="00000007">
            <w:pPr>
              <w:keepNext/>
              <w:keepLines/>
              <w:spacing w:after="0" w:before="0" w:line="252" w:lineRule="auto"/>
              <w:rPr/>
            </w:pPr>
            <w:r w:rsidDel="00000000" w:rsidR="00000000" w:rsidRPr="00000000">
              <w:rPr>
                <w:rFonts w:ascii="Arial" w:hAnsi="Arial"/>
                <w:b/>
                <w:bCs w:val="1"/>
                <w:color w:val="000000"/>
                <w:sz w:val="19"/>
                <w:szCs w:val="19"/>
                <w:rtl w:val="0"/>
              </w:rPr>
              <w:t xml:space="preserve">Repère ou caractéristiques</w:t>
            </w:r>
            <w:r w:rsidDel="00000000" w:rsidR="00000000" w:rsidRPr="00000000">
              <w:rPr>
                <w:rFonts w:ascii="Arial" w:hAnsi="Arial"/>
                <w:b/>
                <w:color w:val="000000"/>
                <w:sz w:val="19"/>
                <w:rtl w:val="0"/>
              </w:rPr>
            </w:r>
          </w:p>
        </w:tc>
      </w:tr>
      <w:tr>
        <w:trPr>
          <w:cantSplit/>
        </w:trPr>
        <w:tc>
          <w:tcPr>
            <w:tcW w:type="dxa" w:w="680"/>
            <w:vAlign w:val="center"/>
            <w:shd w:fill="FFFFFF"/>
            <w:tcMar>
              <w:top w:w="75" w:type="dxa"/>
              <w:bottom w:w="75" w:type="dxa"/>
              <w:left w:w="85" w:type="dxa"/>
              <w:right w:w="85" w:type="dxa"/>
            </w:tcMar>
          </w:tcPr>
          <w:p w:rsidR="00000000" w:rsidDel="00000000" w:rsidP="00000000" w:rsidRDefault="00000000" w:rsidRPr="00000000" w14:paraId="00000008">
            <w:pPr>
              <w:keepNext/>
              <w:keepLines/>
              <w:spacing w:after="0" w:before="0" w:line="252" w:lineRule="auto"/>
              <w:jc w:val="center"/>
              <w:rPr/>
            </w:pPr>
            <w:r w:rsidDel="00000000" w:rsidR="00000000" w:rsidRPr="00000000">
              <w:rPr>
                <w:rFonts w:ascii="Arial" w:hAnsi="Arial"/>
                <w:b w:val="0"/>
                <w:bCs w:val="0"/>
                <w:color w:val="000000"/>
                <w:sz w:val="19"/>
                <w:szCs w:val="19"/>
                <w:rtl w:val="0"/>
              </w:rPr>
              <w:t xml:space="preserve">4</w:t>
            </w:r>
            <w:r w:rsidDel="00000000" w:rsidR="00000000" w:rsidRPr="00000000">
              <w:rPr>
                <w:rFonts w:ascii="Arial" w:hAnsi="Arial"/>
                <w:b w:val="0"/>
                <w:color w:val="000000"/>
                <w:sz w:val="19"/>
                <w:rtl w:val="0"/>
              </w:rPr>
            </w:r>
          </w:p>
        </w:tc>
        <w:tc>
          <w:tcPr>
            <w:tcW w:type="dxa" w:w="2948"/>
            <w:vAlign w:val="center"/>
            <w:shd w:fill="FFFFFF"/>
            <w:tcMar>
              <w:top w:w="75" w:type="dxa"/>
              <w:bottom w:w="75" w:type="dxa"/>
              <w:left w:w="85" w:type="dxa"/>
              <w:right w:w="85" w:type="dxa"/>
            </w:tcMar>
          </w:tcPr>
          <w:p w:rsidR="00000000" w:rsidDel="00000000" w:rsidP="00000000" w:rsidRDefault="00000000" w:rsidRPr="00000000" w14:paraId="00000009">
            <w:pPr>
              <w:keepNext/>
              <w:keepLines/>
              <w:spacing w:after="0" w:before="0" w:line="252" w:lineRule="auto"/>
              <w:rPr/>
            </w:pPr>
            <w:r w:rsidDel="00000000" w:rsidR="00000000" w:rsidRPr="00000000">
              <w:rPr>
                <w:rFonts w:ascii="Arial" w:hAnsi="Arial"/>
                <w:b w:val="0"/>
                <w:bCs w:val="0"/>
                <w:color w:val="000000"/>
                <w:sz w:val="19"/>
                <w:szCs w:val="19"/>
                <w:rtl w:val="0"/>
              </w:rPr>
              <w:t xml:space="preserve">PC Dell</w:t>
            </w:r>
            <w:r w:rsidDel="00000000" w:rsidR="00000000" w:rsidRPr="00000000">
              <w:rPr>
                <w:rFonts w:ascii="Arial" w:hAnsi="Arial"/>
                <w:b w:val="0"/>
                <w:color w:val="000000"/>
                <w:sz w:val="19"/>
                <w:rtl w:val="0"/>
              </w:rPr>
            </w:r>
          </w:p>
        </w:tc>
        <w:tc>
          <w:tcPr>
            <w:tcW w:type="dxa" w:w="6740"/>
            <w:vAlign w:val="center"/>
            <w:shd w:fill="FFFFFF"/>
            <w:tcMar>
              <w:top w:w="75" w:type="dxa"/>
              <w:bottom w:w="75" w:type="dxa"/>
              <w:left w:w="85" w:type="dxa"/>
              <w:right w:w="85" w:type="dxa"/>
            </w:tcMar>
          </w:tcPr>
          <w:p w:rsidR="00000000" w:rsidDel="00000000" w:rsidP="00000000" w:rsidRDefault="00000000" w:rsidRPr="00000000" w14:paraId="0000000A">
            <w:pPr>
              <w:keepNext/>
              <w:keepLines/>
              <w:spacing w:after="0" w:before="0" w:line="252" w:lineRule="auto"/>
              <w:rPr/>
            </w:pPr>
            <w:r w:rsidDel="00000000" w:rsidR="00000000" w:rsidRPr="00000000">
              <w:rPr>
                <w:rFonts w:ascii="Arial" w:hAnsi="Arial"/>
                <w:b w:val="0"/>
                <w:bCs w:val="0"/>
                <w:color w:val="000000"/>
                <w:sz w:val="19"/>
                <w:szCs w:val="19"/>
                <w:rtl w:val="0"/>
              </w:rPr>
              <w:t xml:space="preserve">PC01 à PC03 clients ; PC04 serveur Proxmox interne</w:t>
            </w:r>
            <w:r w:rsidDel="00000000" w:rsidR="00000000" w:rsidRPr="00000000">
              <w:rPr>
                <w:rFonts w:ascii="Arial" w:hAnsi="Arial"/>
                <w:b w:val="0"/>
                <w:color w:val="000000"/>
                <w:sz w:val="19"/>
                <w:rtl w:val="0"/>
              </w:rPr>
            </w:r>
          </w:p>
        </w:tc>
      </w:tr>
      <w:tr>
        <w:trPr>
          <w:cantSplit/>
        </w:trPr>
        <w:tc>
          <w:tcPr>
            <w:tcW w:type="dxa" w:w="680"/>
            <w:vAlign w:val="center"/>
            <w:shd w:fill="FFFFFF"/>
            <w:tcMar>
              <w:top w:w="75" w:type="dxa"/>
              <w:bottom w:w="75" w:type="dxa"/>
              <w:left w:w="85" w:type="dxa"/>
              <w:right w:w="85" w:type="dxa"/>
            </w:tcMar>
          </w:tcPr>
          <w:p w:rsidR="00000000" w:rsidDel="00000000" w:rsidP="00000000" w:rsidRDefault="00000000" w:rsidRPr="00000000" w14:paraId="0000000B">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1</w:t>
            </w:r>
            <w:r w:rsidDel="00000000" w:rsidR="00000000" w:rsidRPr="00000000">
              <w:rPr>
                <w:rFonts w:ascii="Arial" w:hAnsi="Arial"/>
                <w:b w:val="0"/>
                <w:color w:val="000000"/>
                <w:sz w:val="19"/>
                <w:rtl w:val="0"/>
              </w:rPr>
            </w:r>
          </w:p>
        </w:tc>
        <w:tc>
          <w:tcPr>
            <w:tcW w:type="dxa" w:w="2948"/>
            <w:vAlign w:val="center"/>
            <w:shd w:fill="FFFFFF"/>
            <w:tcMar>
              <w:top w:w="75" w:type="dxa"/>
              <w:bottom w:w="75" w:type="dxa"/>
              <w:left w:w="85" w:type="dxa"/>
              <w:right w:w="85" w:type="dxa"/>
            </w:tcMar>
          </w:tcPr>
          <w:p w:rsidR="00000000" w:rsidDel="00000000" w:rsidP="00000000" w:rsidRDefault="00000000" w:rsidRPr="00000000" w14:paraId="0000000C">
            <w:pPr>
              <w:keepNext w:val="0"/>
              <w:keepLines/>
              <w:spacing w:after="0" w:before="0" w:line="252" w:lineRule="auto"/>
              <w:rPr/>
            </w:pPr>
            <w:r w:rsidDel="00000000" w:rsidR="00000000" w:rsidRPr="00000000">
              <w:rPr>
                <w:rFonts w:ascii="Arial" w:hAnsi="Arial"/>
                <w:b w:val="0"/>
                <w:bCs w:val="0"/>
                <w:color w:val="000000"/>
                <w:sz w:val="19"/>
                <w:szCs w:val="19"/>
                <w:rtl w:val="0"/>
              </w:rPr>
              <w:t xml:space="preserve">Serveur ProLiant</w:t>
            </w:r>
            <w:r w:rsidDel="00000000" w:rsidR="00000000" w:rsidRPr="00000000">
              <w:rPr>
                <w:rFonts w:ascii="Arial" w:hAnsi="Arial"/>
                <w:b w:val="0"/>
                <w:color w:val="000000"/>
                <w:sz w:val="19"/>
                <w:rtl w:val="0"/>
              </w:rPr>
            </w:r>
          </w:p>
        </w:tc>
        <w:tc>
          <w:tcPr>
            <w:tcW w:type="dxa" w:w="674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SRV1 - hôte Proxmox de la DMZ</w:t>
            </w:r>
          </w:p>
        </w:tc>
      </w:tr>
      <w:tr>
        <w:trPr>
          <w:cantSplit/>
        </w:trPr>
        <w:tc>
          <w:tcPr>
            <w:tcW w:type="dxa" w:w="680"/>
            <w:vAlign w:val="center"/>
            <w:shd w:fill="FFFFFF"/>
            <w:tcMar>
              <w:top w:w="75" w:type="dxa"/>
              <w:bottom w:w="75" w:type="dxa"/>
              <w:left w:w="85" w:type="dxa"/>
              <w:right w:w="85" w:type="dxa"/>
            </w:tcMar>
          </w:tcPr>
          <w:p w:rsidR="00000000" w:rsidDel="00000000" w:rsidP="00000000" w:rsidRDefault="00000000" w:rsidRPr="00000000" w14:paraId="0000000E">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1</w:t>
            </w:r>
            <w:r w:rsidDel="00000000" w:rsidR="00000000" w:rsidRPr="00000000">
              <w:rPr>
                <w:rFonts w:ascii="Arial" w:hAnsi="Arial"/>
                <w:b w:val="0"/>
                <w:color w:val="000000"/>
                <w:sz w:val="19"/>
                <w:rtl w:val="0"/>
              </w:rPr>
            </w:r>
          </w:p>
        </w:tc>
        <w:tc>
          <w:tcPr>
            <w:tcW w:type="dxa" w:w="2948"/>
            <w:vAlign w:val="center"/>
            <w:shd w:fill="FFFFFF"/>
            <w:tcMar>
              <w:top w:w="75" w:type="dxa"/>
              <w:bottom w:w="75" w:type="dxa"/>
              <w:left w:w="85" w:type="dxa"/>
              <w:right w:w="85" w:type="dxa"/>
            </w:tcMar>
          </w:tcPr>
          <w:p w:rsidR="00000000" w:rsidDel="00000000" w:rsidP="00000000" w:rsidRDefault="00000000" w:rsidRPr="00000000" w14:paraId="0000000F">
            <w:pPr>
              <w:keepNext w:val="0"/>
              <w:keepLines/>
              <w:spacing w:after="0" w:before="0" w:line="252" w:lineRule="auto"/>
              <w:rPr/>
            </w:pPr>
            <w:r w:rsidDel="00000000" w:rsidR="00000000" w:rsidRPr="00000000">
              <w:rPr>
                <w:rFonts w:ascii="Arial" w:hAnsi="Arial"/>
                <w:b w:val="0"/>
                <w:bCs w:val="0"/>
                <w:color w:val="000000"/>
                <w:sz w:val="19"/>
                <w:szCs w:val="19"/>
                <w:rtl w:val="0"/>
              </w:rPr>
              <w:t xml:space="preserve">Routeur TP-Link</w:t>
            </w:r>
            <w:r w:rsidDel="00000000" w:rsidR="00000000" w:rsidRPr="00000000">
              <w:rPr>
                <w:rFonts w:ascii="Arial" w:hAnsi="Arial"/>
                <w:b w:val="0"/>
                <w:color w:val="000000"/>
                <w:sz w:val="19"/>
                <w:rtl w:val="0"/>
              </w:rPr>
            </w:r>
          </w:p>
        </w:tc>
        <w:tc>
          <w:tcPr>
            <w:tcW w:type="dxa" w:w="6740"/>
            <w:vAlign w:val="center"/>
            <w:shd w:fill="FFFFFF"/>
            <w:tcMar>
              <w:top w:w="75" w:type="dxa"/>
              <w:bottom w:w="75" w:type="dxa"/>
              <w:left w:w="85" w:type="dxa"/>
              <w:right w:w="85" w:type="dxa"/>
            </w:tcMar>
          </w:tcPr>
          <w:p w:rsidR="00000000" w:rsidDel="00000000" w:rsidP="00000000" w:rsidRDefault="00000000" w:rsidRPr="00000000" w14:paraId="00000010">
            <w:pPr>
              <w:keepNext w:val="0"/>
              <w:keepLines/>
              <w:spacing w:after="0" w:before="0" w:line="252" w:lineRule="auto"/>
              <w:rPr/>
            </w:pPr>
            <w:r w:rsidDel="00000000" w:rsidR="00000000" w:rsidRPr="00000000">
              <w:rPr>
                <w:rFonts w:ascii="Arial" w:hAnsi="Arial"/>
                <w:b w:val="0"/>
                <w:bCs w:val="0"/>
                <w:color w:val="000000"/>
                <w:sz w:val="19"/>
                <w:szCs w:val="19"/>
                <w:rtl w:val="0"/>
              </w:rPr>
              <w:t xml:space="preserve">R1 — modèle à relever</w:t>
            </w:r>
            <w:r w:rsidDel="00000000" w:rsidR="00000000" w:rsidRPr="00000000">
              <w:rPr>
                <w:rFonts w:ascii="Arial" w:hAnsi="Arial"/>
                <w:b w:val="0"/>
                <w:color w:val="000000"/>
                <w:sz w:val="19"/>
                <w:rtl w:val="0"/>
              </w:rPr>
            </w:r>
          </w:p>
        </w:tc>
      </w:tr>
      <w:tr>
        <w:trPr>
          <w:cantSplit/>
        </w:trPr>
        <w:tc>
          <w:tcPr>
            <w:tcW w:type="dxa" w:w="680"/>
            <w:vAlign w:val="center"/>
            <w:shd w:fill="FFFFFF"/>
            <w:tcMar>
              <w:top w:w="75" w:type="dxa"/>
              <w:bottom w:w="75" w:type="dxa"/>
              <w:left w:w="85" w:type="dxa"/>
              <w:right w:w="85" w:type="dxa"/>
            </w:tcMar>
          </w:tcPr>
          <w:p w:rsidR="00000000" w:rsidDel="00000000" w:rsidP="00000000" w:rsidRDefault="00000000" w:rsidRPr="00000000" w14:paraId="00000011">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1</w:t>
            </w:r>
            <w:r w:rsidDel="00000000" w:rsidR="00000000" w:rsidRPr="00000000">
              <w:rPr>
                <w:rFonts w:ascii="Arial" w:hAnsi="Arial"/>
                <w:b w:val="0"/>
                <w:color w:val="000000"/>
                <w:sz w:val="19"/>
                <w:rtl w:val="0"/>
              </w:rPr>
            </w:r>
          </w:p>
        </w:tc>
        <w:tc>
          <w:tcPr>
            <w:tcW w:type="dxa" w:w="2948"/>
            <w:vAlign w:val="center"/>
            <w:shd w:fill="FFFFFF"/>
            <w:tcMar>
              <w:top w:w="75" w:type="dxa"/>
              <w:bottom w:w="75" w:type="dxa"/>
              <w:left w:w="85" w:type="dxa"/>
              <w:right w:w="85" w:type="dxa"/>
            </w:tcMar>
          </w:tcPr>
          <w:p w:rsidR="00000000" w:rsidDel="00000000" w:rsidP="00000000" w:rsidRDefault="00000000" w:rsidRPr="00000000" w14:paraId="00000012">
            <w:pPr>
              <w:keepNext w:val="0"/>
              <w:keepLines/>
              <w:spacing w:after="0" w:before="0" w:line="252" w:lineRule="auto"/>
              <w:rPr/>
            </w:pPr>
            <w:r w:rsidDel="00000000" w:rsidR="00000000" w:rsidRPr="00000000">
              <w:rPr>
                <w:rFonts w:ascii="Arial" w:hAnsi="Arial"/>
                <w:b w:val="0"/>
                <w:bCs w:val="0"/>
                <w:color w:val="000000"/>
                <w:sz w:val="19"/>
                <w:szCs w:val="19"/>
                <w:rtl w:val="0"/>
              </w:rPr>
              <w:t xml:space="preserve">Pare-feu Hillstone</w:t>
            </w:r>
            <w:r w:rsidDel="00000000" w:rsidR="00000000" w:rsidRPr="00000000">
              <w:rPr>
                <w:rFonts w:ascii="Arial" w:hAnsi="Arial"/>
                <w:b w:val="0"/>
                <w:color w:val="000000"/>
                <w:sz w:val="19"/>
                <w:rtl w:val="0"/>
              </w:rPr>
            </w:r>
          </w:p>
        </w:tc>
        <w:tc>
          <w:tcPr>
            <w:tcW w:type="dxa" w:w="6740"/>
            <w:vAlign w:val="center"/>
            <w:shd w:fill="FFFFFF"/>
            <w:tcMar>
              <w:top w:w="75" w:type="dxa"/>
              <w:bottom w:w="75" w:type="dxa"/>
              <w:left w:w="85" w:type="dxa"/>
              <w:right w:w="85" w:type="dxa"/>
            </w:tcMar>
          </w:tcPr>
          <w:p w:rsidR="00000000" w:rsidDel="00000000" w:rsidP="00000000" w:rsidRDefault="00000000" w:rsidRPr="00000000" w14:paraId="00000013">
            <w:pPr>
              <w:keepNext w:val="0"/>
              <w:keepLines/>
              <w:spacing w:after="0" w:before="0" w:line="252" w:lineRule="auto"/>
              <w:rPr/>
            </w:pPr>
            <w:r w:rsidDel="00000000" w:rsidR="00000000" w:rsidRPr="00000000">
              <w:rPr>
                <w:rFonts w:ascii="Arial" w:hAnsi="Arial"/>
                <w:b w:val="0"/>
                <w:bCs w:val="0"/>
                <w:color w:val="000000"/>
                <w:sz w:val="19"/>
                <w:szCs w:val="19"/>
                <w:rtl w:val="0"/>
              </w:rPr>
              <w:t xml:space="preserve">FW1 — modèle à relever</w:t>
            </w:r>
            <w:r w:rsidDel="00000000" w:rsidR="00000000" w:rsidRPr="00000000">
              <w:rPr>
                <w:rFonts w:ascii="Arial" w:hAnsi="Arial"/>
                <w:b w:val="0"/>
                <w:color w:val="000000"/>
                <w:sz w:val="19"/>
                <w:rtl w:val="0"/>
              </w:rPr>
            </w:r>
          </w:p>
        </w:tc>
      </w:tr>
      <w:tr>
        <w:trPr>
          <w:cantSplit/>
        </w:trPr>
        <w:tc>
          <w:tcPr>
            <w:tcW w:type="dxa" w:w="680"/>
            <w:vAlign w:val="center"/>
            <w:shd w:fill="FFFFFF"/>
            <w:tcMar>
              <w:top w:w="75" w:type="dxa"/>
              <w:bottom w:w="75" w:type="dxa"/>
              <w:left w:w="85" w:type="dxa"/>
              <w:right w:w="85" w:type="dxa"/>
            </w:tcMar>
          </w:tcPr>
          <w:p w:rsidR="00000000" w:rsidDel="00000000" w:rsidP="00000000" w:rsidRDefault="00000000" w:rsidRPr="00000000" w14:paraId="00000014">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1</w:t>
            </w:r>
            <w:r w:rsidDel="00000000" w:rsidR="00000000" w:rsidRPr="00000000">
              <w:rPr>
                <w:rFonts w:ascii="Arial" w:hAnsi="Arial"/>
                <w:b w:val="0"/>
                <w:color w:val="000000"/>
                <w:sz w:val="19"/>
                <w:rtl w:val="0"/>
              </w:rPr>
            </w:r>
          </w:p>
        </w:tc>
        <w:tc>
          <w:tcPr>
            <w:tcW w:type="dxa" w:w="2948"/>
            <w:vAlign w:val="center"/>
            <w:shd w:fill="FFFFFF"/>
            <w:tcMar>
              <w:top w:w="75" w:type="dxa"/>
              <w:bottom w:w="75" w:type="dxa"/>
              <w:left w:w="85" w:type="dxa"/>
              <w:right w:w="85" w:type="dxa"/>
            </w:tcMar>
          </w:tcPr>
          <w:p w:rsidR="00000000" w:rsidDel="00000000" w:rsidP="00000000" w:rsidRDefault="00000000" w:rsidRPr="00000000" w14:paraId="00000015">
            <w:pPr>
              <w:keepNext w:val="0"/>
              <w:keepLines/>
              <w:spacing w:after="0" w:before="0" w:line="252" w:lineRule="auto"/>
              <w:rPr/>
            </w:pPr>
            <w:r w:rsidDel="00000000" w:rsidR="00000000" w:rsidRPr="00000000">
              <w:rPr>
                <w:rFonts w:ascii="Arial" w:hAnsi="Arial"/>
                <w:b w:val="0"/>
                <w:bCs w:val="0"/>
                <w:color w:val="000000"/>
                <w:sz w:val="19"/>
                <w:szCs w:val="19"/>
                <w:rtl w:val="0"/>
              </w:rPr>
              <w:t xml:space="preserve">Switch Cisco</w:t>
            </w:r>
            <w:r w:rsidDel="00000000" w:rsidR="00000000" w:rsidRPr="00000000">
              <w:rPr>
                <w:rFonts w:ascii="Arial" w:hAnsi="Arial"/>
                <w:b w:val="0"/>
                <w:color w:val="000000"/>
                <w:sz w:val="19"/>
                <w:rtl w:val="0"/>
              </w:rPr>
            </w:r>
          </w:p>
        </w:tc>
        <w:tc>
          <w:tcPr>
            <w:tcW w:type="dxa" w:w="6740"/>
            <w:vAlign w:val="center"/>
            <w:shd w:fill="FFFFFF"/>
            <w:tcMar>
              <w:top w:w="75" w:type="dxa"/>
              <w:bottom w:w="75" w:type="dxa"/>
              <w:left w:w="85" w:type="dxa"/>
              <w:right w:w="85" w:type="dxa"/>
            </w:tcMar>
          </w:tcPr>
          <w:p w:rsidR="00000000" w:rsidDel="00000000" w:rsidP="00000000" w:rsidRDefault="00000000" w:rsidRPr="00000000" w14:paraId="00000016">
            <w:pPr>
              <w:keepNext w:val="0"/>
              <w:keepLines/>
              <w:spacing w:after="0" w:before="0" w:line="252" w:lineRule="auto"/>
              <w:rPr/>
            </w:pPr>
            <w:r w:rsidDel="00000000" w:rsidR="00000000" w:rsidRPr="00000000">
              <w:rPr>
                <w:rFonts w:ascii="Arial" w:hAnsi="Arial"/>
                <w:b w:val="0"/>
                <w:bCs w:val="0"/>
                <w:color w:val="000000"/>
                <w:sz w:val="19"/>
                <w:szCs w:val="19"/>
                <w:rtl w:val="0"/>
              </w:rPr>
              <w:t xml:space="preserve">SW1 — routage L3 requis ; modèle à vérifier</w:t>
            </w:r>
            <w:r w:rsidDel="00000000" w:rsidR="00000000" w:rsidRPr="00000000">
              <w:rPr>
                <w:rFonts w:ascii="Arial" w:hAnsi="Arial"/>
                <w:b w:val="0"/>
                <w:color w:val="000000"/>
                <w:sz w:val="19"/>
                <w:rtl w:val="0"/>
              </w:rPr>
            </w:r>
          </w:p>
        </w:tc>
      </w:tr>
      <w:tr>
        <w:trPr>
          <w:cantSplit/>
        </w:trPr>
        <w:tc>
          <w:tcPr>
            <w:tcW w:type="dxa" w:w="680"/>
            <w:vAlign w:val="center"/>
            <w:shd w:fill="FFFFFF"/>
            <w:tcMar>
              <w:top w:w="75" w:type="dxa"/>
              <w:bottom w:w="75" w:type="dxa"/>
              <w:left w:w="85" w:type="dxa"/>
              <w:right w:w="85" w:type="dxa"/>
            </w:tcMar>
          </w:tcPr>
          <w:p w:rsidR="00000000" w:rsidDel="00000000" w:rsidP="00000000" w:rsidRDefault="00000000" w:rsidRPr="00000000" w14:paraId="00000017">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1</w:t>
            </w:r>
            <w:r w:rsidDel="00000000" w:rsidR="00000000" w:rsidRPr="00000000">
              <w:rPr>
                <w:rFonts w:ascii="Arial" w:hAnsi="Arial"/>
                <w:b w:val="0"/>
                <w:color w:val="000000"/>
                <w:sz w:val="19"/>
                <w:rtl w:val="0"/>
              </w:rPr>
            </w:r>
          </w:p>
        </w:tc>
        <w:tc>
          <w:tcPr>
            <w:tcW w:type="dxa" w:w="2948"/>
            <w:vAlign w:val="center"/>
            <w:shd w:fill="FFFFFF"/>
            <w:tcMar>
              <w:top w:w="75" w:type="dxa"/>
              <w:bottom w:w="75" w:type="dxa"/>
              <w:left w:w="85" w:type="dxa"/>
              <w:right w:w="85" w:type="dxa"/>
            </w:tcMar>
          </w:tcPr>
          <w:p w:rsidR="00000000" w:rsidDel="00000000" w:rsidP="00000000" w:rsidRDefault="00000000" w:rsidRPr="00000000" w14:paraId="00000018">
            <w:pPr>
              <w:keepNext w:val="0"/>
              <w:keepLines/>
              <w:spacing w:after="0" w:before="0" w:line="252" w:lineRule="auto"/>
              <w:rPr/>
            </w:pPr>
            <w:r w:rsidDel="00000000" w:rsidR="00000000" w:rsidRPr="00000000">
              <w:rPr>
                <w:rFonts w:ascii="Arial" w:hAnsi="Arial"/>
                <w:b w:val="0"/>
                <w:bCs w:val="0"/>
                <w:color w:val="000000"/>
                <w:sz w:val="19"/>
                <w:szCs w:val="19"/>
                <w:rtl w:val="0"/>
              </w:rPr>
              <w:t xml:space="preserve">Switch Zyxel</w:t>
            </w:r>
            <w:r w:rsidDel="00000000" w:rsidR="00000000" w:rsidRPr="00000000">
              <w:rPr>
                <w:rFonts w:ascii="Arial" w:hAnsi="Arial"/>
                <w:b w:val="0"/>
                <w:color w:val="000000"/>
                <w:sz w:val="19"/>
                <w:rtl w:val="0"/>
              </w:rPr>
            </w:r>
          </w:p>
        </w:tc>
        <w:tc>
          <w:tcPr>
            <w:tcW w:type="dxa" w:w="674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SW2 - disponible en réserve, absent de la nouvelle topologie</w:t>
            </w:r>
          </w:p>
        </w:tc>
      </w:tr>
      <w:tr>
        <w:trPr>
          <w:cantSplit/>
        </w:trPr>
        <w:tc>
          <w:tcPr>
            <w:tcW w:type="dxa" w:w="680"/>
            <w:vAlign w:val="center"/>
            <w:shd w:fill="FFFFFF"/>
            <w:tcMar>
              <w:top w:w="75" w:type="dxa"/>
              <w:bottom w:w="75" w:type="dxa"/>
              <w:left w:w="85" w:type="dxa"/>
              <w:right w:w="85" w:type="dxa"/>
            </w:tcMar>
          </w:tcPr>
          <w:p w:rsidR="00000000" w:rsidDel="00000000" w:rsidP="00000000" w:rsidRDefault="00000000" w:rsidRPr="00000000" w14:paraId="0000001A">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1</w:t>
            </w:r>
            <w:r w:rsidDel="00000000" w:rsidR="00000000" w:rsidRPr="00000000">
              <w:rPr>
                <w:rFonts w:ascii="Arial" w:hAnsi="Arial"/>
                <w:b w:val="0"/>
                <w:color w:val="000000"/>
                <w:sz w:val="19"/>
                <w:rtl w:val="0"/>
              </w:rPr>
            </w:r>
          </w:p>
        </w:tc>
        <w:tc>
          <w:tcPr>
            <w:tcW w:type="dxa" w:w="2948"/>
            <w:vAlign w:val="center"/>
            <w:shd w:fill="FFFFFF"/>
            <w:tcMar>
              <w:top w:w="75" w:type="dxa"/>
              <w:bottom w:w="75" w:type="dxa"/>
              <w:left w:w="85" w:type="dxa"/>
              <w:right w:w="85" w:type="dxa"/>
            </w:tcMar>
          </w:tcPr>
          <w:p w:rsidR="00000000" w:rsidDel="00000000" w:rsidP="00000000" w:rsidRDefault="00000000" w:rsidRPr="00000000" w14:paraId="0000001B">
            <w:pPr>
              <w:keepNext w:val="0"/>
              <w:keepLines/>
              <w:spacing w:after="0" w:before="0" w:line="252" w:lineRule="auto"/>
              <w:rPr/>
            </w:pPr>
            <w:r w:rsidDel="00000000" w:rsidR="00000000" w:rsidRPr="00000000">
              <w:rPr>
                <w:rFonts w:ascii="Arial" w:hAnsi="Arial"/>
                <w:b w:val="0"/>
                <w:bCs w:val="0"/>
                <w:color w:val="000000"/>
                <w:sz w:val="19"/>
                <w:szCs w:val="19"/>
                <w:rtl w:val="0"/>
              </w:rPr>
              <w:t xml:space="preserve">Point d’accès Wi-Fi Netis</w:t>
            </w:r>
            <w:r w:rsidDel="00000000" w:rsidR="00000000" w:rsidRPr="00000000">
              <w:rPr>
                <w:rFonts w:ascii="Arial" w:hAnsi="Arial"/>
                <w:b w:val="0"/>
                <w:color w:val="000000"/>
                <w:sz w:val="19"/>
                <w:rtl w:val="0"/>
              </w:rPr>
            </w:r>
          </w:p>
        </w:tc>
        <w:tc>
          <w:tcPr>
            <w:tcW w:type="dxa" w:w="6740"/>
            <w:vAlign w:val="center"/>
            <w:shd w:fill="FFFFFF"/>
            <w:tcMar>
              <w:top w:w="75" w:type="dxa"/>
              <w:bottom w:w="75" w:type="dxa"/>
              <w:left w:w="85" w:type="dxa"/>
              <w:right w:w="85" w:type="dxa"/>
            </w:tcMar>
          </w:tcPr>
          <w:p w:rsidR="00000000" w:rsidDel="00000000" w:rsidP="00000000" w:rsidRDefault="00000000" w:rsidRPr="00000000" w14:paraId="0000001C">
            <w:pPr>
              <w:keepNext w:val="0"/>
              <w:keepLines/>
              <w:spacing w:after="0" w:before="0" w:line="252" w:lineRule="auto"/>
              <w:rPr/>
            </w:pPr>
            <w:r w:rsidDel="00000000" w:rsidR="00000000" w:rsidRPr="00000000">
              <w:rPr>
                <w:rFonts w:ascii="Arial" w:hAnsi="Arial"/>
                <w:b w:val="0"/>
                <w:bCs w:val="0"/>
                <w:color w:val="000000"/>
                <w:sz w:val="19"/>
                <w:szCs w:val="19"/>
                <w:rtl w:val="0"/>
              </w:rPr>
              <w:t xml:space="preserve">AP1 — modèle à relever</w:t>
            </w:r>
            <w:r w:rsidDel="00000000" w:rsidR="00000000" w:rsidRPr="00000000">
              <w:rPr>
                <w:rFonts w:ascii="Arial" w:hAnsi="Arial"/>
                <w:b w:val="0"/>
                <w:color w:val="000000"/>
                <w:sz w:val="19"/>
                <w:rtl w:val="0"/>
              </w:rPr>
            </w:r>
          </w:p>
        </w:tc>
      </w:tr>
      <w:tr>
        <w:trPr>
          <w:cantSplit/>
        </w:trPr>
        <w:tc>
          <w:tcPr>
            <w:tcW w:type="dxa" w:w="680"/>
            <w:vAlign w:val="center"/>
            <w:shd w:fill="FFFFFF"/>
            <w:tcMar>
              <w:top w:w="75" w:type="dxa"/>
              <w:bottom w:w="75" w:type="dxa"/>
              <w:left w:w="85" w:type="dxa"/>
              <w:right w:w="85" w:type="dxa"/>
            </w:tcMar>
          </w:tcPr>
          <w:p w:rsidR="00000000" w:rsidDel="00000000" w:rsidP="00000000" w:rsidRDefault="00000000" w:rsidRPr="00000000" w14:paraId="0000001D">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4</w:t>
            </w:r>
            <w:r w:rsidDel="00000000" w:rsidR="00000000" w:rsidRPr="00000000">
              <w:rPr>
                <w:rFonts w:ascii="Arial" w:hAnsi="Arial"/>
                <w:b w:val="0"/>
                <w:color w:val="000000"/>
                <w:sz w:val="19"/>
                <w:rtl w:val="0"/>
              </w:rPr>
            </w:r>
          </w:p>
        </w:tc>
        <w:tc>
          <w:tcPr>
            <w:tcW w:type="dxa" w:w="2948"/>
            <w:vAlign w:val="center"/>
            <w:shd w:fill="FFFFFF"/>
            <w:tcMar>
              <w:top w:w="75" w:type="dxa"/>
              <w:bottom w:w="75" w:type="dxa"/>
              <w:left w:w="85" w:type="dxa"/>
              <w:right w:w="85" w:type="dxa"/>
            </w:tcMar>
          </w:tcPr>
          <w:p w:rsidR="00000000" w:rsidDel="00000000" w:rsidP="00000000" w:rsidRDefault="00000000" w:rsidRPr="00000000" w14:paraId="0000001E">
            <w:pPr>
              <w:keepNext w:val="0"/>
              <w:keepLines/>
              <w:spacing w:after="0" w:before="0" w:line="252" w:lineRule="auto"/>
              <w:rPr/>
            </w:pPr>
            <w:r w:rsidDel="00000000" w:rsidR="00000000" w:rsidRPr="00000000">
              <w:rPr>
                <w:rFonts w:ascii="Arial" w:hAnsi="Arial"/>
                <w:b w:val="0"/>
                <w:bCs w:val="0"/>
                <w:color w:val="000000"/>
                <w:sz w:val="19"/>
                <w:szCs w:val="19"/>
                <w:rtl w:val="0"/>
              </w:rPr>
              <w:t xml:space="preserve">Claviers</w:t>
            </w:r>
            <w:r w:rsidDel="00000000" w:rsidR="00000000" w:rsidRPr="00000000">
              <w:rPr>
                <w:rFonts w:ascii="Arial" w:hAnsi="Arial"/>
                <w:b w:val="0"/>
                <w:color w:val="000000"/>
                <w:sz w:val="19"/>
                <w:rtl w:val="0"/>
              </w:rPr>
            </w:r>
          </w:p>
        </w:tc>
        <w:tc>
          <w:tcPr>
            <w:tcW w:type="dxa" w:w="6740"/>
            <w:vAlign w:val="center"/>
            <w:shd w:fill="FFFFFF"/>
            <w:tcMar>
              <w:top w:w="75" w:type="dxa"/>
              <w:bottom w:w="75" w:type="dxa"/>
              <w:left w:w="85" w:type="dxa"/>
              <w:right w:w="85" w:type="dxa"/>
            </w:tcMar>
          </w:tcPr>
          <w:p w:rsidR="00000000" w:rsidDel="00000000" w:rsidP="00000000" w:rsidRDefault="00000000" w:rsidRPr="00000000" w14:paraId="0000001F">
            <w:pPr>
              <w:keepNext w:val="0"/>
              <w:keepLines/>
              <w:spacing w:after="0" w:before="0" w:line="252" w:lineRule="auto"/>
              <w:rPr/>
            </w:pPr>
            <w:r w:rsidDel="00000000" w:rsidR="00000000" w:rsidRPr="00000000">
              <w:rPr>
                <w:rFonts w:ascii="Arial" w:hAnsi="Arial"/>
                <w:b w:val="0"/>
                <w:bCs w:val="0"/>
                <w:color w:val="000000"/>
                <w:sz w:val="19"/>
                <w:szCs w:val="19"/>
                <w:rtl w:val="0"/>
              </w:rPr>
              <w:t xml:space="preserve">Connectique à relever</w:t>
            </w:r>
            <w:r w:rsidDel="00000000" w:rsidR="00000000" w:rsidRPr="00000000">
              <w:rPr>
                <w:rFonts w:ascii="Arial" w:hAnsi="Arial"/>
                <w:b w:val="0"/>
                <w:color w:val="000000"/>
                <w:sz w:val="19"/>
                <w:rtl w:val="0"/>
              </w:rPr>
            </w:r>
          </w:p>
        </w:tc>
      </w:tr>
      <w:tr>
        <w:trPr>
          <w:cantSplit/>
        </w:trPr>
        <w:tc>
          <w:tcPr>
            <w:tcW w:type="dxa" w:w="680"/>
            <w:vAlign w:val="center"/>
            <w:shd w:fill="FFFFFF"/>
            <w:tcMar>
              <w:top w:w="75" w:type="dxa"/>
              <w:bottom w:w="75" w:type="dxa"/>
              <w:left w:w="85" w:type="dxa"/>
              <w:right w:w="85" w:type="dxa"/>
            </w:tcMar>
          </w:tcPr>
          <w:p w:rsidR="00000000" w:rsidDel="00000000" w:rsidP="00000000" w:rsidRDefault="00000000" w:rsidRPr="00000000" w14:paraId="00000020">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3</w:t>
            </w:r>
            <w:r w:rsidDel="00000000" w:rsidR="00000000" w:rsidRPr="00000000">
              <w:rPr>
                <w:rFonts w:ascii="Arial" w:hAnsi="Arial"/>
                <w:b w:val="0"/>
                <w:color w:val="000000"/>
                <w:sz w:val="19"/>
                <w:rtl w:val="0"/>
              </w:rPr>
            </w:r>
          </w:p>
        </w:tc>
        <w:tc>
          <w:tcPr>
            <w:tcW w:type="dxa" w:w="2948"/>
            <w:vAlign w:val="center"/>
            <w:shd w:fill="FFFFFF"/>
            <w:tcMar>
              <w:top w:w="75" w:type="dxa"/>
              <w:bottom w:w="75" w:type="dxa"/>
              <w:left w:w="85" w:type="dxa"/>
              <w:right w:w="85" w:type="dxa"/>
            </w:tcMar>
          </w:tcPr>
          <w:p w:rsidR="00000000" w:rsidDel="00000000" w:rsidP="00000000" w:rsidRDefault="00000000" w:rsidRPr="00000000" w14:paraId="00000021">
            <w:pPr>
              <w:keepNext w:val="0"/>
              <w:keepLines/>
              <w:spacing w:after="0" w:before="0" w:line="252" w:lineRule="auto"/>
              <w:rPr/>
            </w:pPr>
            <w:r w:rsidDel="00000000" w:rsidR="00000000" w:rsidRPr="00000000">
              <w:rPr>
                <w:rFonts w:ascii="Arial" w:hAnsi="Arial"/>
                <w:b w:val="0"/>
                <w:bCs w:val="0"/>
                <w:color w:val="000000"/>
                <w:sz w:val="19"/>
                <w:szCs w:val="19"/>
                <w:rtl w:val="0"/>
              </w:rPr>
              <w:t xml:space="preserve">Souris</w:t>
            </w:r>
            <w:r w:rsidDel="00000000" w:rsidR="00000000" w:rsidRPr="00000000">
              <w:rPr>
                <w:rFonts w:ascii="Arial" w:hAnsi="Arial"/>
                <w:b w:val="0"/>
                <w:color w:val="000000"/>
                <w:sz w:val="19"/>
                <w:rtl w:val="0"/>
              </w:rPr>
            </w:r>
          </w:p>
        </w:tc>
        <w:tc>
          <w:tcPr>
            <w:tcW w:type="dxa" w:w="6740"/>
            <w:vAlign w:val="center"/>
            <w:shd w:fill="FFFFFF"/>
            <w:tcMar>
              <w:top w:w="75" w:type="dxa"/>
              <w:bottom w:w="75" w:type="dxa"/>
              <w:left w:w="85" w:type="dxa"/>
              <w:right w:w="85" w:type="dxa"/>
            </w:tcMar>
          </w:tcPr>
          <w:p w:rsidR="00000000" w:rsidDel="00000000" w:rsidP="00000000" w:rsidRDefault="00000000" w:rsidRPr="00000000" w14:paraId="00000022">
            <w:pPr>
              <w:keepNext w:val="0"/>
              <w:keepLines/>
              <w:spacing w:after="0" w:before="0" w:line="252" w:lineRule="auto"/>
              <w:rPr/>
            </w:pPr>
            <w:r w:rsidDel="00000000" w:rsidR="00000000" w:rsidRPr="00000000">
              <w:rPr>
                <w:rFonts w:ascii="Arial" w:hAnsi="Arial"/>
                <w:b w:val="0"/>
                <w:bCs w:val="0"/>
                <w:color w:val="000000"/>
                <w:sz w:val="19"/>
                <w:szCs w:val="19"/>
                <w:rtl w:val="0"/>
              </w:rPr>
              <w:t xml:space="preserve">Connectique à relever</w:t>
            </w:r>
            <w:r w:rsidDel="00000000" w:rsidR="00000000" w:rsidRPr="00000000">
              <w:rPr>
                <w:rFonts w:ascii="Arial" w:hAnsi="Arial"/>
                <w:b w:val="0"/>
                <w:color w:val="000000"/>
                <w:sz w:val="19"/>
                <w:rtl w:val="0"/>
              </w:rPr>
            </w:r>
          </w:p>
        </w:tc>
      </w:tr>
      <w:tr>
        <w:trPr>
          <w:cantSplit/>
        </w:trPr>
        <w:tc>
          <w:tcPr>
            <w:tcW w:type="dxa" w:w="680"/>
            <w:vAlign w:val="center"/>
            <w:shd w:fill="FFFFFF"/>
            <w:tcMar>
              <w:top w:w="75" w:type="dxa"/>
              <w:bottom w:w="75" w:type="dxa"/>
              <w:left w:w="85" w:type="dxa"/>
              <w:right w:w="85" w:type="dxa"/>
            </w:tcMar>
          </w:tcPr>
          <w:p w:rsidR="00000000" w:rsidDel="00000000" w:rsidP="00000000" w:rsidRDefault="00000000" w:rsidRPr="00000000" w14:paraId="00000023">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3</w:t>
            </w:r>
            <w:r w:rsidDel="00000000" w:rsidR="00000000" w:rsidRPr="00000000">
              <w:rPr>
                <w:rFonts w:ascii="Arial" w:hAnsi="Arial"/>
                <w:b w:val="0"/>
                <w:color w:val="000000"/>
                <w:sz w:val="19"/>
                <w:rtl w:val="0"/>
              </w:rPr>
            </w:r>
          </w:p>
        </w:tc>
        <w:tc>
          <w:tcPr>
            <w:tcW w:type="dxa" w:w="2948"/>
            <w:vAlign w:val="center"/>
            <w:shd w:fill="FFFFFF"/>
            <w:tcMar>
              <w:top w:w="75" w:type="dxa"/>
              <w:bottom w:w="75" w:type="dxa"/>
              <w:left w:w="85" w:type="dxa"/>
              <w:right w:w="85" w:type="dxa"/>
            </w:tcMar>
          </w:tcPr>
          <w:p w:rsidR="00000000" w:rsidDel="00000000" w:rsidP="00000000" w:rsidRDefault="00000000" w:rsidRPr="00000000" w14:paraId="00000024">
            <w:pPr>
              <w:keepNext w:val="0"/>
              <w:keepLines/>
              <w:spacing w:after="0" w:before="0" w:line="252" w:lineRule="auto"/>
              <w:rPr/>
            </w:pPr>
            <w:r w:rsidDel="00000000" w:rsidR="00000000" w:rsidRPr="00000000">
              <w:rPr>
                <w:rFonts w:ascii="Arial" w:hAnsi="Arial"/>
                <w:b w:val="0"/>
                <w:bCs w:val="0"/>
                <w:color w:val="000000"/>
                <w:sz w:val="19"/>
                <w:szCs w:val="19"/>
                <w:rtl w:val="0"/>
              </w:rPr>
              <w:t xml:space="preserve">Écrans</w:t>
            </w:r>
            <w:r w:rsidDel="00000000" w:rsidR="00000000" w:rsidRPr="00000000">
              <w:rPr>
                <w:rFonts w:ascii="Arial" w:hAnsi="Arial"/>
                <w:b w:val="0"/>
                <w:color w:val="000000"/>
                <w:sz w:val="19"/>
                <w:rtl w:val="0"/>
              </w:rPr>
            </w:r>
          </w:p>
        </w:tc>
        <w:tc>
          <w:tcPr>
            <w:tcW w:type="dxa" w:w="6740"/>
            <w:vAlign w:val="center"/>
            <w:shd w:fill="FFFFFF"/>
            <w:tcMar>
              <w:top w:w="75" w:type="dxa"/>
              <w:bottom w:w="75" w:type="dxa"/>
              <w:left w:w="85" w:type="dxa"/>
              <w:right w:w="85" w:type="dxa"/>
            </w:tcMar>
          </w:tcPr>
          <w:p w:rsidR="00000000" w:rsidDel="00000000" w:rsidP="00000000" w:rsidRDefault="00000000" w:rsidRPr="00000000" w14:paraId="00000025">
            <w:pPr>
              <w:keepNext w:val="0"/>
              <w:keepLines/>
              <w:spacing w:after="0" w:before="0" w:line="252" w:lineRule="auto"/>
              <w:rPr/>
            </w:pPr>
            <w:r w:rsidDel="00000000" w:rsidR="00000000" w:rsidRPr="00000000">
              <w:rPr>
                <w:rFonts w:ascii="Arial" w:hAnsi="Arial"/>
                <w:b w:val="0"/>
                <w:bCs w:val="0"/>
                <w:color w:val="000000"/>
                <w:sz w:val="19"/>
                <w:szCs w:val="19"/>
                <w:rtl w:val="0"/>
              </w:rPr>
              <w:t xml:space="preserve">Modèles et entrées vidéo à relever</w:t>
            </w:r>
            <w:r w:rsidDel="00000000" w:rsidR="00000000" w:rsidRPr="00000000">
              <w:rPr>
                <w:rFonts w:ascii="Arial" w:hAnsi="Arial"/>
                <w:b w:val="0"/>
                <w:color w:val="000000"/>
                <w:sz w:val="19"/>
                <w:rtl w:val="0"/>
              </w:rPr>
            </w:r>
          </w:p>
        </w:tc>
      </w:tr>
    </w:tbl>
    <w:p w:rsidR="00000000" w:rsidDel="00000000" w:rsidP="00000000" w:rsidRDefault="00000000" w:rsidRPr="00000000" w14:paraId="00000026">
      <w:pPr>
        <w:spacing w:after="120" w:line="259" w:lineRule="auto" w:before="120"/>
        <w:rPr/>
      </w:pPr>
      <w:r w:rsidDel="00000000" w:rsidR="00000000" w:rsidRPr="00000000">
        <w:rPr>
          <w:rFonts w:ascii="Arial" w:hAnsi="Arial"/>
          <w:sz w:val="21"/>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18"/>
          <w:u w:val="none"/>
          <w:shd w:fill="auto" w:val="clear"/>
          <w:vertAlign w:val="baseline"/>
          <w:rtl w:val="0"/>
        </w:rPr>
        <w:t xml:space="preserve">Trois PC sont utilisés comme postes de travail. PC04 et SRV1 sont des hôtes Proxmox. Les autres équipements ne disposent pas de périphériques attitrés (clavier, souris, écran). Le quatrième clavier reste disponible pour la maintenance.</w:t>
      </w:r>
    </w:p>
    <w:p w:rsidR="00000000" w:rsidDel="00000000" w:rsidP="00000000" w:rsidRDefault="00000000" w:rsidRPr="00000000" w14:paraId="00000028">
      <w:pPr>
        <w:pStyle w:val="Heading2"/>
        <w:keepNext/>
        <w:pageBreakBefore w:val="0"/>
        <w:rPr/>
      </w:pPr>
      <w:r w:rsidDel="00000000" w:rsidR="00000000" w:rsidRPr="00000000">
        <w:rPr>
          <w:color w:val="000000"/>
          <w:rtl w:val="0"/>
        </w:rPr>
        <w:t xml:space="preserve">Câbles et alimentations</w:t>
      </w:r>
    </w:p>
    <w:tbl>
      <w:tblPr>
        <w:tblStyle w:val="Table2"/>
        <w:tblW w:w="10368.0" w:type="dxa"/>
        <w:jc w:val="center"/>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3402"/>
        <w:gridCol w:w="6059"/>
        <w:tblGridChange w:id="0">
          <w:tblGrid>
            <w:gridCol w:w="648"/>
            <w:gridCol w:w="3672"/>
            <w:gridCol w:w="6048"/>
          </w:tblGrid>
        </w:tblGridChange>
      </w:tblGrid>
      <w:tr>
        <w:trPr>
          <w:cantSplit/>
          <w:tblHeader/>
        </w:trPr>
        <w:tc>
          <w:tcPr>
            <w:tcW w:type="dxa" w:w="907"/>
            <w:vAlign w:val="center"/>
            <w:shd w:fill="DCE6EF"/>
            <w:tcMar>
              <w:top w:w="75" w:type="dxa"/>
              <w:bottom w:w="75" w:type="dxa"/>
              <w:left w:w="85" w:type="dxa"/>
              <w:right w:w="85" w:type="dxa"/>
            </w:tcMar>
          </w:tcPr>
          <w:p w:rsidR="00000000" w:rsidDel="00000000" w:rsidP="00000000" w:rsidRDefault="00000000" w:rsidRPr="00000000" w14:paraId="00000029">
            <w:pPr>
              <w:keepNext/>
              <w:keepLines/>
              <w:spacing w:after="0" w:before="0" w:line="252" w:lineRule="auto"/>
              <w:jc w:val="center"/>
              <w:rPr/>
            </w:pPr>
            <w:r w:rsidDel="00000000" w:rsidR="00000000" w:rsidRPr="00000000">
              <w:rPr>
                <w:rFonts w:ascii="Arial" w:hAnsi="Arial"/>
                <w:b/>
                <w:bCs w:val="1"/>
                <w:color w:val="000000"/>
                <w:sz w:val="19"/>
                <w:szCs w:val="18"/>
                <w:rtl w:val="0"/>
              </w:rPr>
              <w:t xml:space="preserve">Qté</w:t>
            </w:r>
            <w:r w:rsidDel="00000000" w:rsidR="00000000" w:rsidRPr="00000000">
              <w:rPr>
                <w:rFonts w:ascii="Arial" w:hAnsi="Arial"/>
                <w:b/>
                <w:color w:val="000000"/>
                <w:sz w:val="19"/>
                <w:rtl w:val="0"/>
              </w:rPr>
            </w:r>
          </w:p>
        </w:tc>
        <w:tc>
          <w:tcPr>
            <w:tcW w:type="dxa" w:w="3402"/>
            <w:vAlign w:val="center"/>
            <w:shd w:fill="DCE6EF"/>
            <w:tcMar>
              <w:top w:w="75" w:type="dxa"/>
              <w:bottom w:w="75" w:type="dxa"/>
              <w:left w:w="85" w:type="dxa"/>
              <w:right w:w="85" w:type="dxa"/>
            </w:tcMar>
          </w:tcPr>
          <w:p w:rsidR="00000000" w:rsidDel="00000000" w:rsidP="00000000" w:rsidRDefault="00000000" w:rsidRPr="00000000" w14:paraId="0000002A">
            <w:pPr>
              <w:keepNext/>
              <w:keepLines/>
              <w:spacing w:after="0" w:before="0" w:line="252" w:lineRule="auto"/>
              <w:rPr/>
            </w:pPr>
            <w:r w:rsidDel="00000000" w:rsidR="00000000" w:rsidRPr="00000000">
              <w:rPr>
                <w:rFonts w:ascii="Arial" w:hAnsi="Arial"/>
                <w:b/>
                <w:bCs w:val="1"/>
                <w:color w:val="000000"/>
                <w:sz w:val="19"/>
                <w:szCs w:val="18"/>
                <w:rtl w:val="0"/>
              </w:rPr>
              <w:t xml:space="preserve">Élément</w:t>
            </w:r>
            <w:r w:rsidDel="00000000" w:rsidR="00000000" w:rsidRPr="00000000">
              <w:rPr>
                <w:rFonts w:ascii="Arial" w:hAnsi="Arial"/>
                <w:b/>
                <w:color w:val="000000"/>
                <w:sz w:val="19"/>
                <w:rtl w:val="0"/>
              </w:rPr>
            </w:r>
          </w:p>
        </w:tc>
        <w:tc>
          <w:tcPr>
            <w:tcW w:type="dxa" w:w="6059"/>
            <w:vAlign w:val="center"/>
            <w:shd w:fill="DCE6EF"/>
            <w:tcMar>
              <w:top w:w="75" w:type="dxa"/>
              <w:bottom w:w="75" w:type="dxa"/>
              <w:left w:w="85" w:type="dxa"/>
              <w:right w:w="85" w:type="dxa"/>
            </w:tcMar>
          </w:tcPr>
          <w:p w:rsidR="00000000" w:rsidDel="00000000" w:rsidP="00000000" w:rsidRDefault="00000000" w:rsidRPr="00000000" w14:paraId="0000002B">
            <w:pPr>
              <w:keepNext/>
              <w:keepLines/>
              <w:spacing w:after="0" w:before="0" w:line="252" w:lineRule="auto"/>
              <w:rPr/>
            </w:pPr>
            <w:r w:rsidDel="00000000" w:rsidR="00000000" w:rsidRPr="00000000">
              <w:rPr>
                <w:rFonts w:ascii="Arial" w:hAnsi="Arial"/>
                <w:b/>
                <w:bCs w:val="1"/>
                <w:color w:val="000000"/>
                <w:sz w:val="19"/>
                <w:szCs w:val="18"/>
                <w:rtl w:val="0"/>
              </w:rPr>
              <w:t xml:space="preserve">Caractéristiques relevées</w:t>
            </w:r>
            <w:r w:rsidDel="00000000" w:rsidR="00000000" w:rsidRPr="00000000">
              <w:rPr>
                <w:rFonts w:ascii="Arial" w:hAnsi="Arial"/>
                <w:b/>
                <w:color w:val="000000"/>
                <w:sz w:val="19"/>
                <w:rtl w:val="0"/>
              </w:rPr>
            </w:r>
          </w:p>
        </w:tc>
      </w:tr>
      <w:tr>
        <w:trPr>
          <w:cantSplit/>
        </w:trPr>
        <w:tc>
          <w:tcPr>
            <w:tcW w:type="dxa" w:w="907"/>
            <w:vAlign w:val="center"/>
            <w:shd w:fill="FFFFFF"/>
            <w:tcMar>
              <w:top w:w="75" w:type="dxa"/>
              <w:bottom w:w="75" w:type="dxa"/>
              <w:left w:w="85" w:type="dxa"/>
              <w:right w:w="85" w:type="dxa"/>
            </w:tcMar>
          </w:tcPr>
          <w:p w:rsidR="00000000" w:rsidDel="00000000" w:rsidP="00000000" w:rsidRDefault="00000000" w:rsidRPr="00000000" w14:paraId="0000002C">
            <w:pPr>
              <w:keepNext/>
              <w:keepLines/>
              <w:spacing w:after="0" w:before="0" w:line="252" w:lineRule="auto"/>
              <w:jc w:val="center"/>
              <w:rPr/>
            </w:pPr>
            <w:r w:rsidDel="00000000" w:rsidR="00000000" w:rsidRPr="00000000">
              <w:rPr>
                <w:rFonts w:ascii="Arial" w:hAnsi="Arial"/>
                <w:b w:val="0"/>
                <w:bCs w:val="0"/>
                <w:color w:val="000000"/>
                <w:sz w:val="19"/>
                <w:szCs w:val="18"/>
                <w:rtl w:val="0"/>
              </w:rPr>
              <w:t xml:space="preserve">9</w:t>
            </w:r>
            <w:r w:rsidDel="00000000" w:rsidR="00000000" w:rsidRPr="00000000">
              <w:rPr>
                <w:rFonts w:ascii="Arial" w:hAnsi="Arial"/>
                <w:b w:val="0"/>
                <w:color w:val="000000"/>
                <w:sz w:val="19"/>
                <w:rtl w:val="0"/>
              </w:rPr>
            </w:r>
          </w:p>
        </w:tc>
        <w:tc>
          <w:tcPr>
            <w:tcW w:type="dxa" w:w="3402"/>
            <w:vAlign w:val="center"/>
            <w:shd w:fill="FFFFFF"/>
            <w:tcMar>
              <w:top w:w="75" w:type="dxa"/>
              <w:bottom w:w="75" w:type="dxa"/>
              <w:left w:w="85" w:type="dxa"/>
              <w:right w:w="85" w:type="dxa"/>
            </w:tcMar>
          </w:tcPr>
          <w:p w:rsidR="00000000" w:rsidDel="00000000" w:rsidP="00000000" w:rsidRDefault="00000000" w:rsidRPr="00000000" w14:paraId="0000002D">
            <w:pPr>
              <w:keepNext/>
              <w:keepLines/>
              <w:spacing w:after="0" w:before="0" w:line="252" w:lineRule="auto"/>
              <w:rPr/>
            </w:pPr>
            <w:r w:rsidDel="00000000" w:rsidR="00000000" w:rsidRPr="00000000">
              <w:rPr>
                <w:rFonts w:ascii="Arial" w:hAnsi="Arial"/>
                <w:b w:val="0"/>
                <w:bCs w:val="0"/>
                <w:color w:val="000000"/>
                <w:sz w:val="19"/>
                <w:szCs w:val="18"/>
                <w:rtl w:val="0"/>
              </w:rPr>
              <w:t xml:space="preserve">Câbles Ethernet</w:t>
            </w:r>
            <w:r w:rsidDel="00000000" w:rsidR="00000000" w:rsidRPr="00000000">
              <w:rPr>
                <w:rFonts w:ascii="Arial" w:hAnsi="Arial"/>
                <w:b w:val="0"/>
                <w:color w:val="000000"/>
                <w:sz w:val="19"/>
                <w:rtl w:val="0"/>
              </w:rPr>
            </w:r>
          </w:p>
        </w:tc>
        <w:tc>
          <w:tcPr>
            <w:tcW w:type="dxa" w:w="6059"/>
            <w:vAlign w:val="center"/>
            <w:shd w:fill="FFFFFF"/>
            <w:tcMar>
              <w:top w:w="75" w:type="dxa"/>
              <w:bottom w:w="75" w:type="dxa"/>
              <w:left w:w="85" w:type="dxa"/>
              <w:right w:w="85" w:type="dxa"/>
            </w:tcMar>
          </w:tcPr>
          <w:p w:rsidR="00000000" w:rsidDel="00000000" w:rsidP="00000000" w:rsidRDefault="00000000" w:rsidRPr="00000000" w14:paraId="0000002E">
            <w:pPr>
              <w:keepNext/>
              <w:keepLines/>
              <w:spacing w:after="0" w:before="0" w:line="252" w:lineRule="auto"/>
              <w:rPr/>
            </w:pPr>
            <w:r w:rsidDel="00000000" w:rsidR="00000000" w:rsidRPr="00000000">
              <w:rPr>
                <w:rFonts w:ascii="Arial" w:hAnsi="Arial"/>
                <w:b w:val="0"/>
                <w:bCs w:val="0"/>
                <w:color w:val="000000"/>
                <w:sz w:val="19"/>
                <w:szCs w:val="18"/>
                <w:rtl w:val="0"/>
              </w:rPr>
              <w:t xml:space="preserve">Catégorie et longueur à relever</w:t>
            </w:r>
            <w:r w:rsidDel="00000000" w:rsidR="00000000" w:rsidRPr="00000000">
              <w:rPr>
                <w:rFonts w:ascii="Arial" w:hAnsi="Arial"/>
                <w:b w:val="0"/>
                <w:color w:val="000000"/>
                <w:sz w:val="19"/>
                <w:rtl w:val="0"/>
              </w:rPr>
            </w:r>
          </w:p>
        </w:tc>
      </w:tr>
      <w:tr>
        <w:trPr>
          <w:cantSplit/>
        </w:trPr>
        <w:tc>
          <w:tcPr>
            <w:tcW w:type="dxa" w:w="907"/>
            <w:vAlign w:val="center"/>
            <w:shd w:fill="FFFFFF"/>
            <w:tcMar>
              <w:top w:w="75" w:type="dxa"/>
              <w:bottom w:w="75" w:type="dxa"/>
              <w:left w:w="85" w:type="dxa"/>
              <w:right w:w="85" w:type="dxa"/>
            </w:tcMar>
          </w:tcPr>
          <w:p w:rsidR="00000000" w:rsidDel="00000000" w:rsidP="00000000" w:rsidRDefault="00000000" w:rsidRPr="00000000" w14:paraId="0000002F">
            <w:pPr>
              <w:keepNext w:val="0"/>
              <w:keepLines/>
              <w:spacing w:after="0" w:before="0" w:line="252" w:lineRule="auto"/>
              <w:jc w:val="center"/>
              <w:rPr/>
            </w:pPr>
            <w:r w:rsidDel="00000000" w:rsidR="00000000" w:rsidRPr="00000000">
              <w:rPr>
                <w:rFonts w:ascii="Arial" w:hAnsi="Arial"/>
                <w:b w:val="0"/>
                <w:bCs w:val="0"/>
                <w:color w:val="000000"/>
                <w:sz w:val="19"/>
                <w:szCs w:val="18"/>
                <w:rtl w:val="0"/>
              </w:rPr>
              <w:t xml:space="preserve">3</w:t>
            </w:r>
            <w:r w:rsidDel="00000000" w:rsidR="00000000" w:rsidRPr="00000000">
              <w:rPr>
                <w:rFonts w:ascii="Arial" w:hAnsi="Arial"/>
                <w:b w:val="0"/>
                <w:color w:val="000000"/>
                <w:sz w:val="19"/>
                <w:rtl w:val="0"/>
              </w:rPr>
            </w:r>
          </w:p>
        </w:tc>
        <w:tc>
          <w:tcPr>
            <w:tcW w:type="dxa" w:w="3402"/>
            <w:vAlign w:val="center"/>
            <w:shd w:fill="FFFFFF"/>
            <w:tcMar>
              <w:top w:w="75" w:type="dxa"/>
              <w:bottom w:w="75" w:type="dxa"/>
              <w:left w:w="85" w:type="dxa"/>
              <w:right w:w="85" w:type="dxa"/>
            </w:tcMar>
          </w:tcPr>
          <w:p w:rsidR="00000000" w:rsidDel="00000000" w:rsidP="00000000" w:rsidRDefault="00000000" w:rsidRPr="00000000" w14:paraId="00000030">
            <w:pPr>
              <w:keepNext w:val="0"/>
              <w:keepLines/>
              <w:spacing w:after="0" w:before="0" w:line="252" w:lineRule="auto"/>
              <w:rPr/>
            </w:pPr>
            <w:r w:rsidDel="00000000" w:rsidR="00000000" w:rsidRPr="00000000">
              <w:rPr>
                <w:rFonts w:ascii="Arial" w:hAnsi="Arial"/>
                <w:b w:val="0"/>
                <w:bCs w:val="0"/>
                <w:color w:val="000000"/>
                <w:sz w:val="19"/>
                <w:szCs w:val="18"/>
                <w:rtl w:val="0"/>
              </w:rPr>
              <w:t xml:space="preserve">Câbles VGA</w:t>
            </w:r>
            <w:r w:rsidDel="00000000" w:rsidR="00000000" w:rsidRPr="00000000">
              <w:rPr>
                <w:rFonts w:ascii="Arial" w:hAnsi="Arial"/>
                <w:b w:val="0"/>
                <w:color w:val="000000"/>
                <w:sz w:val="19"/>
                <w:rtl w:val="0"/>
              </w:rPr>
            </w:r>
          </w:p>
        </w:tc>
        <w:tc>
          <w:tcPr>
            <w:tcW w:type="dxa" w:w="6059"/>
            <w:vAlign w:val="center"/>
            <w:shd w:fill="FFFFFF"/>
            <w:tcMar>
              <w:top w:w="75" w:type="dxa"/>
              <w:bottom w:w="75" w:type="dxa"/>
              <w:left w:w="85" w:type="dxa"/>
              <w:right w:w="85" w:type="dxa"/>
            </w:tcMar>
          </w:tcPr>
          <w:p w:rsidR="00000000" w:rsidDel="00000000" w:rsidP="00000000" w:rsidRDefault="00000000" w:rsidRPr="00000000" w14:paraId="00000031">
            <w:pPr>
              <w:keepNext w:val="0"/>
              <w:keepLines/>
              <w:spacing w:after="0" w:before="0" w:line="252" w:lineRule="auto"/>
              <w:rPr/>
            </w:pPr>
            <w:r w:rsidDel="00000000" w:rsidR="00000000" w:rsidRPr="00000000">
              <w:rPr>
                <w:rFonts w:ascii="Arial" w:hAnsi="Arial"/>
                <w:b w:val="0"/>
                <w:bCs w:val="0"/>
                <w:color w:val="000000"/>
                <w:sz w:val="19"/>
                <w:szCs w:val="18"/>
                <w:rtl w:val="0"/>
              </w:rPr>
              <w:t xml:space="preserve">Liaisons vidéo</w:t>
            </w:r>
            <w:r w:rsidDel="00000000" w:rsidR="00000000" w:rsidRPr="00000000">
              <w:rPr>
                <w:rFonts w:ascii="Arial" w:hAnsi="Arial"/>
                <w:b w:val="0"/>
                <w:color w:val="000000"/>
                <w:sz w:val="19"/>
                <w:rtl w:val="0"/>
              </w:rPr>
            </w:r>
          </w:p>
        </w:tc>
      </w:tr>
      <w:tr>
        <w:trPr>
          <w:cantSplit/>
        </w:trPr>
        <w:tc>
          <w:tcPr>
            <w:tcW w:type="dxa" w:w="907"/>
            <w:vAlign w:val="center"/>
            <w:shd w:fill="FFFFFF"/>
            <w:tcMar>
              <w:top w:w="75" w:type="dxa"/>
              <w:bottom w:w="75" w:type="dxa"/>
              <w:left w:w="85" w:type="dxa"/>
              <w:right w:w="85" w:type="dxa"/>
            </w:tcMar>
          </w:tcPr>
          <w:p w:rsidR="00000000" w:rsidDel="00000000" w:rsidP="00000000" w:rsidRDefault="00000000" w:rsidRPr="00000000" w14:paraId="00000032">
            <w:pPr>
              <w:keepNext w:val="0"/>
              <w:keepLines/>
              <w:spacing w:after="0" w:before="0" w:line="252" w:lineRule="auto"/>
              <w:jc w:val="center"/>
              <w:rPr/>
            </w:pPr>
            <w:r w:rsidDel="00000000" w:rsidR="00000000" w:rsidRPr="00000000">
              <w:rPr>
                <w:rFonts w:ascii="Arial" w:hAnsi="Arial"/>
                <w:b w:val="0"/>
                <w:bCs w:val="0"/>
                <w:color w:val="000000"/>
                <w:sz w:val="19"/>
                <w:szCs w:val="18"/>
                <w:rtl w:val="0"/>
              </w:rPr>
              <w:t xml:space="preserve">1</w:t>
            </w:r>
            <w:r w:rsidDel="00000000" w:rsidR="00000000" w:rsidRPr="00000000">
              <w:rPr>
                <w:rFonts w:ascii="Arial" w:hAnsi="Arial"/>
                <w:b w:val="0"/>
                <w:color w:val="000000"/>
                <w:sz w:val="19"/>
                <w:rtl w:val="0"/>
              </w:rPr>
            </w:r>
          </w:p>
        </w:tc>
        <w:tc>
          <w:tcPr>
            <w:tcW w:type="dxa" w:w="3402"/>
            <w:vAlign w:val="center"/>
            <w:shd w:fill="FFFFFF"/>
            <w:tcMar>
              <w:top w:w="75" w:type="dxa"/>
              <w:bottom w:w="75" w:type="dxa"/>
              <w:left w:w="85" w:type="dxa"/>
              <w:right w:w="85" w:type="dxa"/>
            </w:tcMar>
          </w:tcPr>
          <w:p w:rsidR="00000000" w:rsidDel="00000000" w:rsidP="00000000" w:rsidRDefault="00000000" w:rsidRPr="00000000" w14:paraId="00000033">
            <w:pPr>
              <w:keepNext w:val="0"/>
              <w:keepLines/>
              <w:spacing w:after="0" w:before="0" w:line="252" w:lineRule="auto"/>
              <w:rPr/>
            </w:pPr>
            <w:r w:rsidDel="00000000" w:rsidR="00000000" w:rsidRPr="00000000">
              <w:rPr>
                <w:rFonts w:ascii="Arial" w:hAnsi="Arial"/>
                <w:b w:val="0"/>
                <w:bCs w:val="0"/>
                <w:color w:val="000000"/>
                <w:sz w:val="19"/>
                <w:szCs w:val="18"/>
                <w:rtl w:val="0"/>
              </w:rPr>
              <w:t xml:space="preserve">Câble DVI</w:t>
            </w:r>
            <w:r w:rsidDel="00000000" w:rsidR="00000000" w:rsidRPr="00000000">
              <w:rPr>
                <w:rFonts w:ascii="Arial" w:hAnsi="Arial"/>
                <w:b w:val="0"/>
                <w:color w:val="000000"/>
                <w:sz w:val="19"/>
                <w:rtl w:val="0"/>
              </w:rPr>
            </w:r>
          </w:p>
        </w:tc>
        <w:tc>
          <w:tcPr>
            <w:tcW w:type="dxa" w:w="6059"/>
            <w:vAlign w:val="center"/>
            <w:shd w:fill="FFFFFF"/>
            <w:tcMar>
              <w:top w:w="75" w:type="dxa"/>
              <w:bottom w:w="75" w:type="dxa"/>
              <w:left w:w="85" w:type="dxa"/>
              <w:right w:w="85" w:type="dxa"/>
            </w:tcMar>
          </w:tcPr>
          <w:p w:rsidR="00000000" w:rsidDel="00000000" w:rsidP="00000000" w:rsidRDefault="00000000" w:rsidRPr="00000000" w14:paraId="00000034">
            <w:pPr>
              <w:keepNext w:val="0"/>
              <w:keepLines/>
              <w:spacing w:after="0" w:before="0" w:line="252" w:lineRule="auto"/>
              <w:rPr/>
            </w:pPr>
            <w:r w:rsidDel="00000000" w:rsidR="00000000" w:rsidRPr="00000000">
              <w:rPr>
                <w:rFonts w:ascii="Arial" w:hAnsi="Arial"/>
                <w:b w:val="0"/>
                <w:bCs w:val="0"/>
                <w:color w:val="000000"/>
                <w:sz w:val="19"/>
                <w:szCs w:val="18"/>
                <w:rtl w:val="0"/>
              </w:rPr>
              <w:t xml:space="preserve">Liaison vidéo</w:t>
            </w:r>
            <w:r w:rsidDel="00000000" w:rsidR="00000000" w:rsidRPr="00000000">
              <w:rPr>
                <w:rFonts w:ascii="Arial" w:hAnsi="Arial"/>
                <w:b w:val="0"/>
                <w:color w:val="000000"/>
                <w:sz w:val="19"/>
                <w:rtl w:val="0"/>
              </w:rPr>
            </w:r>
          </w:p>
        </w:tc>
      </w:tr>
      <w:tr>
        <w:trPr>
          <w:cantSplit/>
        </w:trPr>
        <w:tc>
          <w:tcPr>
            <w:tcW w:type="dxa" w:w="907"/>
            <w:vAlign w:val="center"/>
            <w:shd w:fill="FFFFFF"/>
            <w:tcMar>
              <w:top w:w="75" w:type="dxa"/>
              <w:bottom w:w="75" w:type="dxa"/>
              <w:left w:w="85" w:type="dxa"/>
              <w:right w:w="85" w:type="dxa"/>
            </w:tcMar>
          </w:tcPr>
          <w:p w:rsidR="00000000" w:rsidDel="00000000" w:rsidP="00000000" w:rsidRDefault="00000000" w:rsidRPr="00000000" w14:paraId="00000035">
            <w:pPr>
              <w:keepNext w:val="0"/>
              <w:keepLines/>
              <w:spacing w:after="0" w:before="0" w:line="252" w:lineRule="auto"/>
              <w:jc w:val="center"/>
              <w:rPr/>
            </w:pPr>
            <w:r w:rsidDel="00000000" w:rsidR="00000000" w:rsidRPr="00000000">
              <w:rPr>
                <w:rFonts w:ascii="Arial" w:hAnsi="Arial"/>
                <w:b w:val="0"/>
                <w:bCs w:val="0"/>
                <w:color w:val="000000"/>
                <w:sz w:val="19"/>
                <w:szCs w:val="18"/>
                <w:rtl w:val="0"/>
              </w:rPr>
              <w:t xml:space="preserve">6</w:t>
            </w:r>
            <w:r w:rsidDel="00000000" w:rsidR="00000000" w:rsidRPr="00000000">
              <w:rPr>
                <w:rFonts w:ascii="Arial" w:hAnsi="Arial"/>
                <w:b w:val="0"/>
                <w:color w:val="000000"/>
                <w:sz w:val="19"/>
                <w:rtl w:val="0"/>
              </w:rPr>
            </w:r>
          </w:p>
        </w:tc>
        <w:tc>
          <w:tcPr>
            <w:tcW w:type="dxa" w:w="3402"/>
            <w:vAlign w:val="center"/>
            <w:shd w:fill="FFFFFF"/>
            <w:tcMar>
              <w:top w:w="75" w:type="dxa"/>
              <w:bottom w:w="75" w:type="dxa"/>
              <w:left w:w="85" w:type="dxa"/>
              <w:right w:w="85" w:type="dxa"/>
            </w:tcMar>
          </w:tcPr>
          <w:p w:rsidR="00000000" w:rsidDel="00000000" w:rsidP="00000000" w:rsidRDefault="00000000" w:rsidRPr="00000000" w14:paraId="00000036">
            <w:pPr>
              <w:keepNext w:val="0"/>
              <w:keepLines/>
              <w:spacing w:after="0" w:before="0" w:line="252" w:lineRule="auto"/>
              <w:rPr/>
            </w:pPr>
            <w:r w:rsidDel="00000000" w:rsidR="00000000" w:rsidRPr="00000000">
              <w:rPr>
                <w:rFonts w:ascii="Arial" w:hAnsi="Arial"/>
                <w:b w:val="0"/>
                <w:bCs w:val="0"/>
                <w:color w:val="000000"/>
                <w:sz w:val="19"/>
                <w:szCs w:val="18"/>
                <w:rtl w:val="0"/>
              </w:rPr>
              <w:t xml:space="preserve">Alimentations ou cordons secteur</w:t>
            </w:r>
            <w:r w:rsidDel="00000000" w:rsidR="00000000" w:rsidRPr="00000000">
              <w:rPr>
                <w:rFonts w:ascii="Arial" w:hAnsi="Arial"/>
                <w:b w:val="0"/>
                <w:color w:val="000000"/>
                <w:sz w:val="19"/>
                <w:rtl w:val="0"/>
              </w:rPr>
            </w:r>
          </w:p>
        </w:tc>
        <w:tc>
          <w:tcPr>
            <w:tcW w:type="dxa" w:w="6059"/>
            <w:vAlign w:val="center"/>
            <w:shd w:fill="FFFFFF"/>
            <w:tcMar>
              <w:top w:w="75" w:type="dxa"/>
              <w:bottom w:w="75" w:type="dxa"/>
              <w:left w:w="85" w:type="dxa"/>
              <w:right w:w="85" w:type="dxa"/>
            </w:tcMar>
          </w:tcPr>
          <w:p w:rsidR="00000000" w:rsidDel="00000000" w:rsidP="00000000" w:rsidRDefault="00000000" w:rsidRPr="00000000" w14:paraId="00000037">
            <w:pPr>
              <w:keepNext w:val="0"/>
              <w:keepLines/>
              <w:spacing w:after="0" w:before="0" w:line="252" w:lineRule="auto"/>
              <w:rPr/>
            </w:pPr>
            <w:r w:rsidDel="00000000" w:rsidR="00000000" w:rsidRPr="00000000">
              <w:rPr>
                <w:rFonts w:ascii="Arial" w:hAnsi="Arial"/>
                <w:b w:val="0"/>
                <w:bCs w:val="0"/>
                <w:color w:val="000000"/>
                <w:sz w:val="19"/>
                <w:szCs w:val="18"/>
                <w:rtl w:val="0"/>
              </w:rPr>
              <w:t xml:space="preserve">Mention au tableau : 10 A / 240 V ; type à vérifier</w:t>
            </w:r>
            <w:r w:rsidDel="00000000" w:rsidR="00000000" w:rsidRPr="00000000">
              <w:rPr>
                <w:rFonts w:ascii="Arial" w:hAnsi="Arial"/>
                <w:b w:val="0"/>
                <w:color w:val="000000"/>
                <w:sz w:val="19"/>
                <w:rtl w:val="0"/>
              </w:rPr>
            </w:r>
          </w:p>
        </w:tc>
      </w:tr>
      <w:tr>
        <w:trPr>
          <w:cantSplit/>
        </w:trPr>
        <w:tc>
          <w:tcPr>
            <w:tcW w:type="dxa" w:w="907"/>
            <w:vAlign w:val="center"/>
            <w:shd w:fill="FFFFFF"/>
            <w:tcMar>
              <w:top w:w="75" w:type="dxa"/>
              <w:bottom w:w="75" w:type="dxa"/>
              <w:left w:w="85" w:type="dxa"/>
              <w:right w:w="85" w:type="dxa"/>
            </w:tcMar>
          </w:tcPr>
          <w:p w:rsidR="00000000" w:rsidDel="00000000" w:rsidP="00000000" w:rsidRDefault="00000000" w:rsidRPr="00000000" w14:paraId="00000038">
            <w:pPr>
              <w:keepNext w:val="0"/>
              <w:keepLines/>
              <w:spacing w:after="0" w:before="0" w:line="252" w:lineRule="auto"/>
              <w:jc w:val="center"/>
              <w:rPr/>
            </w:pPr>
            <w:r w:rsidDel="00000000" w:rsidR="00000000" w:rsidRPr="00000000">
              <w:rPr>
                <w:rFonts w:ascii="Arial" w:hAnsi="Arial"/>
                <w:b w:val="0"/>
                <w:bCs w:val="0"/>
                <w:color w:val="000000"/>
                <w:sz w:val="19"/>
                <w:szCs w:val="18"/>
                <w:rtl w:val="0"/>
              </w:rPr>
              <w:t xml:space="preserve">1</w:t>
            </w:r>
            <w:r w:rsidDel="00000000" w:rsidR="00000000" w:rsidRPr="00000000">
              <w:rPr>
                <w:rFonts w:ascii="Arial" w:hAnsi="Arial"/>
                <w:b w:val="0"/>
                <w:color w:val="000000"/>
                <w:sz w:val="19"/>
                <w:rtl w:val="0"/>
              </w:rPr>
            </w:r>
          </w:p>
        </w:tc>
        <w:tc>
          <w:tcPr>
            <w:tcW w:type="dxa" w:w="3402"/>
            <w:vAlign w:val="center"/>
            <w:shd w:fill="FFFFFF"/>
            <w:tcMar>
              <w:top w:w="75" w:type="dxa"/>
              <w:bottom w:w="75" w:type="dxa"/>
              <w:left w:w="85" w:type="dxa"/>
              <w:right w:w="85" w:type="dxa"/>
            </w:tcMar>
          </w:tcPr>
          <w:p w:rsidR="00000000" w:rsidDel="00000000" w:rsidP="00000000" w:rsidRDefault="00000000" w:rsidRPr="00000000" w14:paraId="00000039">
            <w:pPr>
              <w:keepNext w:val="0"/>
              <w:keepLines/>
              <w:spacing w:after="0" w:before="0" w:line="252" w:lineRule="auto"/>
              <w:rPr/>
            </w:pPr>
            <w:r w:rsidDel="00000000" w:rsidR="00000000" w:rsidRPr="00000000">
              <w:rPr>
                <w:rFonts w:ascii="Arial" w:hAnsi="Arial"/>
                <w:b w:val="0"/>
                <w:bCs w:val="0"/>
                <w:color w:val="000000"/>
                <w:sz w:val="19"/>
                <w:szCs w:val="18"/>
                <w:rtl w:val="0"/>
              </w:rPr>
              <w:t xml:space="preserve">Bloc d’alimentation 19,5 V</w:t>
            </w:r>
            <w:r w:rsidDel="00000000" w:rsidR="00000000" w:rsidRPr="00000000">
              <w:rPr>
                <w:rFonts w:ascii="Arial" w:hAnsi="Arial"/>
                <w:b w:val="0"/>
                <w:color w:val="000000"/>
                <w:sz w:val="19"/>
                <w:rtl w:val="0"/>
              </w:rPr>
            </w:r>
          </w:p>
        </w:tc>
        <w:tc>
          <w:tcPr>
            <w:tcW w:type="dxa" w:w="6059"/>
            <w:vAlign w:val="center"/>
            <w:shd w:fill="FFFFFF"/>
            <w:tcMar>
              <w:top w:w="75" w:type="dxa"/>
              <w:bottom w:w="75" w:type="dxa"/>
              <w:left w:w="85" w:type="dxa"/>
              <w:right w:w="85" w:type="dxa"/>
            </w:tcMar>
          </w:tcPr>
          <w:p w:rsidR="00000000" w:rsidDel="00000000" w:rsidP="00000000" w:rsidRDefault="00000000" w:rsidRPr="00000000" w14:paraId="0000003A">
            <w:pPr>
              <w:keepNext w:val="0"/>
              <w:keepLines/>
              <w:spacing w:after="0" w:before="0" w:line="252" w:lineRule="auto"/>
              <w:rPr/>
            </w:pPr>
            <w:r w:rsidDel="00000000" w:rsidR="00000000" w:rsidRPr="00000000">
              <w:rPr>
                <w:rFonts w:ascii="Arial" w:hAnsi="Arial"/>
                <w:b w:val="0"/>
                <w:bCs w:val="0"/>
                <w:color w:val="000000"/>
                <w:sz w:val="19"/>
                <w:szCs w:val="18"/>
                <w:rtl w:val="0"/>
              </w:rPr>
              <w:t xml:space="preserve">Entrée 100–240 V, 2,34 A ; sortie 19,5 V, 9,23 A</w:t>
            </w:r>
            <w:r w:rsidDel="00000000" w:rsidR="00000000" w:rsidRPr="00000000">
              <w:rPr>
                <w:rFonts w:ascii="Arial" w:hAnsi="Arial"/>
                <w:b w:val="0"/>
                <w:color w:val="000000"/>
                <w:sz w:val="19"/>
                <w:rtl w:val="0"/>
              </w:rPr>
            </w:r>
          </w:p>
        </w:tc>
      </w:tr>
      <w:tr>
        <w:trPr>
          <w:cantSplit/>
        </w:trPr>
        <w:tc>
          <w:tcPr>
            <w:tcW w:type="dxa" w:w="907"/>
            <w:vAlign w:val="center"/>
            <w:shd w:fill="FFFFFF"/>
            <w:tcMar>
              <w:top w:w="75" w:type="dxa"/>
              <w:bottom w:w="75" w:type="dxa"/>
              <w:left w:w="85" w:type="dxa"/>
              <w:right w:w="85" w:type="dxa"/>
            </w:tcMar>
          </w:tcPr>
          <w:p w:rsidR="00000000" w:rsidDel="00000000" w:rsidP="00000000" w:rsidRDefault="00000000" w:rsidRPr="00000000" w14:paraId="0000003B">
            <w:pPr>
              <w:keepNext w:val="0"/>
              <w:keepLines/>
              <w:spacing w:after="0" w:before="0" w:line="252" w:lineRule="auto"/>
              <w:jc w:val="center"/>
              <w:rPr/>
            </w:pPr>
            <w:r w:rsidDel="00000000" w:rsidR="00000000" w:rsidRPr="00000000">
              <w:rPr>
                <w:rFonts w:ascii="Arial" w:hAnsi="Arial"/>
                <w:b w:val="0"/>
                <w:bCs w:val="0"/>
                <w:color w:val="000000"/>
                <w:sz w:val="19"/>
                <w:szCs w:val="18"/>
                <w:rtl w:val="0"/>
              </w:rPr>
              <w:t xml:space="preserve">2</w:t>
            </w:r>
            <w:r w:rsidDel="00000000" w:rsidR="00000000" w:rsidRPr="00000000">
              <w:rPr>
                <w:rFonts w:ascii="Arial" w:hAnsi="Arial"/>
                <w:b w:val="0"/>
                <w:color w:val="000000"/>
                <w:sz w:val="19"/>
                <w:rtl w:val="0"/>
              </w:rPr>
            </w:r>
          </w:p>
        </w:tc>
        <w:tc>
          <w:tcPr>
            <w:tcW w:type="dxa" w:w="3402"/>
            <w:vAlign w:val="center"/>
            <w:shd w:fill="FFFFFF"/>
            <w:tcMar>
              <w:top w:w="75" w:type="dxa"/>
              <w:bottom w:w="75" w:type="dxa"/>
              <w:left w:w="85" w:type="dxa"/>
              <w:right w:w="85" w:type="dxa"/>
            </w:tcMar>
          </w:tcPr>
          <w:p w:rsidR="00000000" w:rsidDel="00000000" w:rsidP="00000000" w:rsidRDefault="00000000" w:rsidRPr="00000000" w14:paraId="0000003C">
            <w:pPr>
              <w:keepNext w:val="0"/>
              <w:keepLines/>
              <w:spacing w:after="0" w:before="0" w:line="252" w:lineRule="auto"/>
              <w:rPr/>
            </w:pPr>
            <w:r w:rsidDel="00000000" w:rsidR="00000000" w:rsidRPr="00000000">
              <w:rPr>
                <w:rFonts w:ascii="Arial" w:hAnsi="Arial"/>
                <w:b w:val="0"/>
                <w:bCs w:val="0"/>
                <w:color w:val="000000"/>
                <w:sz w:val="19"/>
                <w:szCs w:val="18"/>
                <w:rtl w:val="0"/>
              </w:rPr>
              <w:t xml:space="preserve">Blocs d’alimentation 12 V</w:t>
            </w:r>
            <w:r w:rsidDel="00000000" w:rsidR="00000000" w:rsidRPr="00000000">
              <w:rPr>
                <w:rFonts w:ascii="Arial" w:hAnsi="Arial"/>
                <w:b w:val="0"/>
                <w:color w:val="000000"/>
                <w:sz w:val="19"/>
                <w:rtl w:val="0"/>
              </w:rPr>
            </w:r>
          </w:p>
        </w:tc>
        <w:tc>
          <w:tcPr>
            <w:tcW w:type="dxa" w:w="6059"/>
            <w:vAlign w:val="center"/>
            <w:shd w:fill="FFFFFF"/>
            <w:tcMar>
              <w:top w:w="75" w:type="dxa"/>
              <w:bottom w:w="75" w:type="dxa"/>
              <w:left w:w="85" w:type="dxa"/>
              <w:right w:w="85" w:type="dxa"/>
            </w:tcMar>
          </w:tcPr>
          <w:p w:rsidR="00000000" w:rsidDel="00000000" w:rsidP="00000000" w:rsidRDefault="00000000" w:rsidRPr="00000000" w14:paraId="0000003D">
            <w:pPr>
              <w:keepNext w:val="0"/>
              <w:keepLines/>
              <w:spacing w:after="0" w:before="0" w:line="252" w:lineRule="auto"/>
              <w:rPr/>
            </w:pPr>
            <w:r w:rsidDel="00000000" w:rsidR="00000000" w:rsidRPr="00000000">
              <w:rPr>
                <w:rFonts w:ascii="Arial" w:hAnsi="Arial"/>
                <w:b w:val="0"/>
                <w:bCs w:val="0"/>
                <w:color w:val="000000"/>
                <w:sz w:val="19"/>
                <w:szCs w:val="18"/>
                <w:rtl w:val="0"/>
              </w:rPr>
              <w:t xml:space="preserve">Entrée 100–240 V, 1 A ; sortie 12 V, 3 A</w:t>
            </w:r>
            <w:r w:rsidDel="00000000" w:rsidR="00000000" w:rsidRPr="00000000">
              <w:rPr>
                <w:rFonts w:ascii="Arial" w:hAnsi="Arial"/>
                <w:b w:val="0"/>
                <w:color w:val="000000"/>
                <w:sz w:val="19"/>
                <w:rtl w:val="0"/>
              </w:rPr>
            </w:r>
          </w:p>
        </w:tc>
      </w:tr>
    </w:tbl>
    <w:p w:rsidR="00000000" w:rsidDel="00000000" w:rsidP="00000000" w:rsidRDefault="00000000" w:rsidRPr="00000000" w14:paraId="0000003E">
      <w:pPr>
        <w:spacing w:after="120" w:line="259" w:lineRule="auto" w:before="120"/>
        <w:rPr/>
      </w:pPr>
      <w:r w:rsidDel="00000000" w:rsidR="00000000" w:rsidRPr="00000000">
        <w:rPr>
          <w:rFonts w:ascii="Arial" w:hAnsi="Arial"/>
          <w:sz w:val="21"/>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sz w:val="21"/>
        </w:rPr>
        <w:t>Les associations entre blocs d’alimentation et appareils doivent être relevées sur les étiquettes. Les repères PC01 à PC04, SRV1 et AP1 identifient le matériel. Huit câbles Ethernet sont utilisés dans le plan actualisé ; C02 reste disponible. Un raccordement WAN de R1 peut utiliser ce câble de réserve.</w:t>
      </w:r>
    </w:p>
    <w:p w:rsidR="00000000" w:rsidDel="00000000" w:rsidP="00000000" w:rsidRDefault="00000000" w:rsidRPr="00000000" w14:paraId="00000041">
      <w:pPr>
        <w:pStyle w:val="Heading1"/>
        <w:keepNext/>
        <w:pageBreakBefore/>
        <w:rPr/>
      </w:pPr>
      <w:r w:rsidDel="00000000" w:rsidR="00000000" w:rsidRPr="00000000">
        <w:rPr>
          <w:color w:val="000000"/>
          <w:rtl w:val="0"/>
        </w:rPr>
        <w:t xml:space="preserve">2 Schéma du réseau</w:t>
      </w:r>
    </w:p>
    <w:p w:rsidR="00000000" w:rsidDel="00000000" w:rsidP="00000000" w:rsidRDefault="00000000" w:rsidRPr="00000000" w14:paraId="00000042">
      <w:pPr>
        <w:spacing w:after="120" w:line="259" w:lineRule="auto"/>
        <w:rPr/>
      </w:pPr>
      <w:r>
        <w:rPr>
          <w:rFonts w:ascii="Arial" w:hAnsi="Arial"/>
          <w:sz w:val="21"/>
        </w:rPr>
        <w:t>R1 port 3 rejoint directement FW1 e0/1 sur 10.0.0.248/29. FW1 e0/2 rejoint le port routé 24 de SW1 sur 10.0.10.248/29. FW1 e0/3 dessert la DMZ 10.0.20.0/24 et SRV1. SW1 conserve les passerelles des VLAN 10 à 50 ; son port 23 reste en accès VLAN 50 vers PC04.</w:t>
      </w:r>
    </w:p>
    <w:p w:rsidR="00000000" w:rsidDel="00000000" w:rsidP="00000000" w:rsidRDefault="00000000" w:rsidRPr="00000000" w14:paraId="00000043">
      <w:pPr>
        <w:spacing w:after="120" w:line="259" w:lineRule="auto"/>
        <w:jc w:val="center"/>
        <w:rPr/>
      </w:pPr>
      <w:r>
        <w:rPr>
          <w:rFonts w:ascii="Arial" w:hAnsi="Arial"/>
          <w:sz w:val="21"/>
        </w:rPr>
        <w:drawing>
          <wp:inline>
            <wp:extent cx="6228000" cy="6228000"/>
            <wp:docPr id="1" name="Picture 1"/>
            <wp:cNvGraphicFramePr>
              <a:graphicFrameLocks noChangeAspect="1"/>
            </wp:cNvGraphicFramePr>
            <a:graphic>
              <a:graphicData uri="http://schemas.openxmlformats.org/drawingml/2006/picture">
                <pic:pic>
                  <pic:nvPicPr>
                    <pic:cNvPr id="0" name="diagramme_latest-1.png"/>
                    <pic:cNvPicPr/>
                  </pic:nvPicPr>
                  <pic:blipFill>
                    <a:blip r:embed="rId13"/>
                    <a:stretch>
                      <a:fillRect/>
                    </a:stretch>
                  </pic:blipFill>
                  <pic:spPr>
                    <a:xfrm>
                      <a:off x="0" y="0"/>
                      <a:ext cx="6228000" cy="6228000"/>
                    </a:xfrm>
                    <a:prstGeom prst="rect"/>
                  </pic:spPr>
                </pic:pic>
              </a:graphicData>
            </a:graphic>
          </wp:inline>
        </w:drawing>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sz w:val="21"/>
        </w:rPr>
        <w:t>Le schéma distingue l’hyperviseur SRV1 10.0.20.1 et les adresses de VM 10.0.20.2 à 10.0.20.252. L’adresse 10.0.20.254 est proposée pour FW1 e0/3, dont l’IP n’est pas indiquée sur le schéma. SW2 est conservé à l’inventaire mais n’est plus raccordé.</w:t>
      </w:r>
    </w:p>
    <w:p w:rsidR="00000000" w:rsidDel="00000000" w:rsidP="00000000" w:rsidRDefault="00000000" w:rsidRPr="00000000" w14:paraId="00000046">
      <w:pPr>
        <w:pStyle w:val="Heading1"/>
        <w:keepNext/>
        <w:pageBreakBefore/>
        <w:rPr/>
      </w:pPr>
      <w:r w:rsidDel="00000000" w:rsidR="00000000" w:rsidRPr="00000000">
        <w:rPr>
          <w:color w:val="000000"/>
          <w:rtl w:val="0"/>
        </w:rPr>
        <w:t xml:space="preserve">3 Plan des réseaux et des interfaces</w:t>
      </w:r>
    </w:p>
    <w:p w:rsidR="00000000" w:rsidDel="00000000" w:rsidP="00000000" w:rsidRDefault="00000000" w:rsidRPr="00000000" w14:paraId="00000047">
      <w:pPr>
        <w:spacing w:after="120" w:line="259" w:lineRule="auto"/>
        <w:rPr/>
      </w:pPr>
      <w:r>
        <w:rPr>
          <w:rFonts w:ascii="Arial" w:hAnsi="Arial"/>
          <w:sz w:val="21"/>
        </w:rPr>
        <w:t>Les VLAN internes et la DMZ utilisent /24 (255.255.255.0). Les deux transits utilisent /29 (255.255.255.248) : leurs réseaux commencent en .248, les hôtes utilisables vont de .249 à .254 et la diffusion est .255. Le transit R1 vers FW1 n’est plus une DMZ en /24.</w:t>
      </w:r>
    </w:p>
    <w:p w:rsidR="00000000" w:rsidDel="00000000" w:rsidP="00000000" w:rsidRDefault="00000000" w:rsidRPr="00000000" w14:paraId="00000048">
      <w:pPr>
        <w:pStyle w:val="Heading2"/>
        <w:keepNext/>
        <w:pageBreakBefore w:val="0"/>
        <w:rPr/>
      </w:pPr>
      <w:r w:rsidDel="00000000" w:rsidR="00000000" w:rsidRPr="00000000">
        <w:rPr>
          <w:color w:val="000000"/>
          <w:rtl w:val="0"/>
        </w:rPr>
        <w:t xml:space="preserve">Réseaux et passerelles</w:t>
      </w:r>
    </w:p>
    <w:tbl>
      <w:tblPr>
        <w:tblStyle w:val="Table3"/>
        <w:tblW w:w="10368.0" w:type="dxa"/>
        <w:jc w:val="center"/>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268"/>
        <w:gridCol w:w="3855"/>
        <w:gridCol w:w="1751"/>
        <w:tblGridChange w:id="0">
          <w:tblGrid>
            <w:gridCol w:w="2592"/>
            <w:gridCol w:w="2664"/>
            <w:gridCol w:w="3456"/>
            <w:gridCol w:w="1656"/>
          </w:tblGrid>
        </w:tblGridChange>
      </w:tblGrid>
      <w:tr>
        <w:trPr>
          <w:cantSplit/>
          <w:tblHeader/>
        </w:trPr>
        <w:tc>
          <w:tcPr>
            <w:tcW w:type="dxa" w:w="2494"/>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Zone</w:t>
            </w:r>
          </w:p>
        </w:tc>
        <w:tc>
          <w:tcPr>
            <w:tcW w:type="dxa" w:w="2268"/>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Réseau et préfixe</w:t>
            </w:r>
          </w:p>
        </w:tc>
        <w:tc>
          <w:tcPr>
            <w:tcW w:type="dxa" w:w="3855"/>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Passerelle ou extrémités</w:t>
            </w:r>
          </w:p>
        </w:tc>
        <w:tc>
          <w:tcPr>
            <w:tcW w:type="dxa" w:w="1751"/>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Ports SW1</w:t>
            </w:r>
          </w:p>
        </w:tc>
      </w:tr>
      <w:tr>
        <w:trPr>
          <w:cantSplit/>
        </w:trPr>
        <w:tc>
          <w:tcPr>
            <w:tcW w:type="dxa" w:w="2494"/>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VLAN 10 Direction</w:t>
            </w:r>
          </w:p>
        </w:tc>
        <w:tc>
          <w:tcPr>
            <w:tcW w:type="dxa" w:w="2268"/>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192.168.10.0/24</w:t>
            </w:r>
          </w:p>
        </w:tc>
        <w:tc>
          <w:tcPr>
            <w:tcW w:type="dxa" w:w="3855"/>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192.168.10.254</w:t>
            </w:r>
          </w:p>
        </w:tc>
        <w:tc>
          <w:tcPr>
            <w:tcW w:type="dxa" w:w="1751"/>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1 à 4</w:t>
            </w:r>
          </w:p>
        </w:tc>
      </w:tr>
      <w:tr>
        <w:trPr>
          <w:cantSplit/>
        </w:trPr>
        <w:tc>
          <w:tcPr>
            <w:tcW w:type="dxa" w:w="249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VLAN 20 Comptabilité</w:t>
            </w:r>
          </w:p>
        </w:tc>
        <w:tc>
          <w:tcPr>
            <w:tcW w:type="dxa" w:w="226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192.168.20.0/24</w:t>
            </w:r>
          </w:p>
        </w:tc>
        <w:tc>
          <w:tcPr>
            <w:tcW w:type="dxa" w:w="385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192.168.20.254</w:t>
            </w:r>
          </w:p>
        </w:tc>
        <w:tc>
          <w:tcPr>
            <w:tcW w:type="dxa" w:w="175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5 à 9</w:t>
            </w:r>
          </w:p>
        </w:tc>
      </w:tr>
      <w:tr>
        <w:trPr>
          <w:cantSplit/>
        </w:trPr>
        <w:tc>
          <w:tcPr>
            <w:tcW w:type="dxa" w:w="249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VLAN 30 Wi-Fi</w:t>
            </w:r>
          </w:p>
        </w:tc>
        <w:tc>
          <w:tcPr>
            <w:tcW w:type="dxa" w:w="226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192.168.30.0/24</w:t>
            </w:r>
          </w:p>
        </w:tc>
        <w:tc>
          <w:tcPr>
            <w:tcW w:type="dxa" w:w="385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192.168.30.254</w:t>
            </w:r>
          </w:p>
        </w:tc>
        <w:tc>
          <w:tcPr>
            <w:tcW w:type="dxa" w:w="175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 à 14</w:t>
            </w:r>
          </w:p>
        </w:tc>
      </w:tr>
      <w:tr>
        <w:trPr>
          <w:cantSplit/>
        </w:trPr>
        <w:tc>
          <w:tcPr>
            <w:tcW w:type="dxa" w:w="249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VLAN 40 Administration</w:t>
            </w:r>
          </w:p>
        </w:tc>
        <w:tc>
          <w:tcPr>
            <w:tcW w:type="dxa" w:w="226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192.168.40.0/24</w:t>
            </w:r>
          </w:p>
        </w:tc>
        <w:tc>
          <w:tcPr>
            <w:tcW w:type="dxa" w:w="385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192.168.40.254</w:t>
            </w:r>
          </w:p>
        </w:tc>
        <w:tc>
          <w:tcPr>
            <w:tcW w:type="dxa" w:w="175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15 à 18</w:t>
            </w:r>
          </w:p>
        </w:tc>
      </w:tr>
      <w:tr>
        <w:trPr>
          <w:cantSplit/>
        </w:trPr>
        <w:tc>
          <w:tcPr>
            <w:tcW w:type="dxa" w:w="249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VLAN 50 Serveurs</w:t>
            </w:r>
          </w:p>
        </w:tc>
        <w:tc>
          <w:tcPr>
            <w:tcW w:type="dxa" w:w="226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192.168.50.0/24</w:t>
            </w:r>
          </w:p>
        </w:tc>
        <w:tc>
          <w:tcPr>
            <w:tcW w:type="dxa" w:w="385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192.168.50.254</w:t>
            </w:r>
          </w:p>
        </w:tc>
        <w:tc>
          <w:tcPr>
            <w:tcW w:type="dxa" w:w="175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 à 23</w:t>
            </w:r>
          </w:p>
        </w:tc>
      </w:tr>
      <w:tr>
        <w:trPr>
          <w:cantSplit/>
        </w:trPr>
        <w:tc>
          <w:tcPr>
            <w:tcW w:type="dxa" w:w="249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Transit R1 vers FW1</w:t>
            </w:r>
          </w:p>
        </w:tc>
        <w:tc>
          <w:tcPr>
            <w:tcW w:type="dxa" w:w="226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10.0.0.248/29</w:t>
            </w:r>
          </w:p>
        </w:tc>
        <w:tc>
          <w:tcPr>
            <w:tcW w:type="dxa" w:w="385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R1 .254 ; FW1 .253</w:t>
            </w:r>
          </w:p>
        </w:tc>
        <w:tc>
          <w:tcPr>
            <w:tcW w:type="dxa" w:w="175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Sans objet</w:t>
            </w:r>
          </w:p>
        </w:tc>
      </w:tr>
      <w:tr>
        <w:trPr>
          <w:cantSplit/>
        </w:trPr>
        <w:tc>
          <w:tcPr>
            <w:tcW w:type="dxa" w:w="249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Transit SW1 vers FW1</w:t>
            </w:r>
          </w:p>
        </w:tc>
        <w:tc>
          <w:tcPr>
            <w:tcW w:type="dxa" w:w="226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10.0.10.248/29</w:t>
            </w:r>
          </w:p>
        </w:tc>
        <w:tc>
          <w:tcPr>
            <w:tcW w:type="dxa" w:w="385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SW1 .253 ; FW1 .254</w:t>
            </w:r>
          </w:p>
        </w:tc>
        <w:tc>
          <w:tcPr>
            <w:tcW w:type="dxa" w:w="175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24 routé</w:t>
            </w:r>
          </w:p>
        </w:tc>
      </w:tr>
      <w:tr>
        <w:trPr>
          <w:cantSplit/>
        </w:trPr>
        <w:tc>
          <w:tcPr>
            <w:tcW w:type="dxa" w:w="249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DMZ</w:t>
            </w:r>
          </w:p>
        </w:tc>
        <w:tc>
          <w:tcPr>
            <w:tcW w:type="dxa" w:w="226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10.0.20.0/24</w:t>
            </w:r>
          </w:p>
        </w:tc>
        <w:tc>
          <w:tcPr>
            <w:tcW w:type="dxa" w:w="385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FW1 10.0.20.254 proposée</w:t>
            </w:r>
          </w:p>
        </w:tc>
        <w:tc>
          <w:tcPr>
            <w:tcW w:type="dxa" w:w="175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Sans objet</w:t>
            </w:r>
          </w:p>
        </w:tc>
      </w:tr>
      <w:tr>
        <w:trPr>
          <w:cantSplit/>
        </w:trPr>
        <w:tc>
          <w:tcPr>
            <w:tcW w:type="dxa" w:w="249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VLAN 99 Gestion réservé</w:t>
            </w:r>
          </w:p>
        </w:tc>
        <w:tc>
          <w:tcPr>
            <w:tcW w:type="dxa" w:w="226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192.168.99.0/24</w:t>
            </w:r>
          </w:p>
        </w:tc>
        <w:tc>
          <w:tcPr>
            <w:tcW w:type="dxa" w:w="385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SW1 .10 sur le schéma ; transport absent</w:t>
            </w:r>
          </w:p>
        </w:tc>
        <w:tc>
          <w:tcPr>
            <w:tcW w:type="dxa" w:w="175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Aucun</w:t>
            </w:r>
          </w:p>
        </w:tc>
      </w:tr>
      <w:tr>
        <w:trPr>
          <w:cantSplit/>
        </w:trPr>
        <w:tc>
          <w:tcPr>
            <w:tcW w:type="dxa" w:w="249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Gestion locale R1</w:t>
            </w:r>
          </w:p>
        </w:tc>
        <w:tc>
          <w:tcPr>
            <w:tcW w:type="dxa" w:w="226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192.168.0.0/24</w:t>
            </w:r>
          </w:p>
        </w:tc>
        <w:tc>
          <w:tcPr>
            <w:tcW w:type="dxa" w:w="385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R1 port 5 : 192.168.0.1</w:t>
            </w:r>
          </w:p>
        </w:tc>
        <w:tc>
          <w:tcPr>
            <w:tcW w:type="dxa" w:w="175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Aucun</w:t>
            </w:r>
          </w:p>
        </w:tc>
      </w:tr>
      <w:tr>
        <w:trPr>
          <w:cantSplit/>
        </w:trPr>
        <w:tc>
          <w:tcPr>
            <w:tcW w:type="dxa" w:w="249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Gestion locale FW1</w:t>
            </w:r>
          </w:p>
        </w:tc>
        <w:tc>
          <w:tcPr>
            <w:tcW w:type="dxa" w:w="226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192.168.1.0/24</w:t>
            </w:r>
          </w:p>
        </w:tc>
        <w:tc>
          <w:tcPr>
            <w:tcW w:type="dxa" w:w="385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FW1 e0/0 : 192.168.1.1</w:t>
            </w:r>
          </w:p>
        </w:tc>
        <w:tc>
          <w:tcPr>
            <w:tcW w:type="dxa" w:w="175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Aucun</w:t>
            </w:r>
          </w:p>
        </w:tc>
      </w:tr>
    </w:tbl>
    <w:p w:rsidR="00000000" w:rsidDel="00000000" w:rsidP="00000000" w:rsidRDefault="00000000" w:rsidRPr="00000000" w14:paraId="0000006D">
      <w:pPr>
        <w:spacing w:after="120" w:line="259" w:lineRule="auto" w:before="120"/>
        <w:rPr/>
      </w:pPr>
      <w:r w:rsidDel="00000000" w:rsidR="00000000" w:rsidRPr="00000000">
        <w:rPr>
          <w:rFonts w:ascii="Arial" w:hAnsi="Arial"/>
          <w:sz w:val="21"/>
          <w:rtl w:val="0"/>
        </w:rPr>
      </w:r>
    </w:p>
    <w:p w:rsidR="00000000" w:rsidDel="00000000" w:rsidP="00000000" w:rsidRDefault="00000000" w:rsidRPr="00000000" w14:paraId="0000006E">
      <w:pPr>
        <w:pStyle w:val="Heading2"/>
        <w:keepNext/>
        <w:pageBreakBefore w:val="0"/>
        <w:rPr/>
      </w:pPr>
      <w:r w:rsidDel="00000000" w:rsidR="00000000" w:rsidRPr="00000000">
        <w:rPr>
          <w:color w:val="000000"/>
          <w:rtl w:val="0"/>
        </w:rPr>
        <w:t xml:space="preserve">Interfaces des équipements</w:t>
      </w:r>
    </w:p>
    <w:tbl>
      <w:tblPr>
        <w:tblStyle w:val="Table4"/>
        <w:tblW w:w="10368.0" w:type="dxa"/>
        <w:jc w:val="center"/>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4932"/>
        <w:gridCol w:w="4415"/>
        <w:tblGridChange w:id="0">
          <w:tblGrid>
            <w:gridCol w:w="1008"/>
            <w:gridCol w:w="5328"/>
            <w:gridCol w:w="4032"/>
          </w:tblGrid>
        </w:tblGridChange>
      </w:tblGrid>
      <w:tr>
        <w:trPr>
          <w:cantSplit/>
          <w:tblHeader/>
        </w:trPr>
        <w:tc>
          <w:tcPr>
            <w:tcW w:type="dxa" w:w="1020"/>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Repère</w:t>
            </w:r>
          </w:p>
        </w:tc>
        <w:tc>
          <w:tcPr>
            <w:tcW w:type="dxa" w:w="4932"/>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Interface et fonction</w:t>
            </w:r>
          </w:p>
        </w:tc>
        <w:tc>
          <w:tcPr>
            <w:tcW w:type="dxa" w:w="4415"/>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Adresse et préfixe</w:t>
            </w:r>
          </w:p>
        </w:tc>
      </w:tr>
      <w:tr>
        <w:trPr>
          <w:cantSplit/>
        </w:trPr>
        <w:tc>
          <w:tcPr>
            <w:tcW w:type="dxa" w:w="1020"/>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R1</w:t>
            </w:r>
          </w:p>
        </w:tc>
        <w:tc>
          <w:tcPr>
            <w:tcW w:type="dxa" w:w="4932"/>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Port 3 vers FW1 e0/1</w:t>
            </w:r>
          </w:p>
        </w:tc>
        <w:tc>
          <w:tcPr>
            <w:tcW w:type="dxa" w:w="4415"/>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10.0.0.254/29</w:t>
            </w:r>
          </w:p>
        </w:tc>
      </w:tr>
      <w:tr>
        <w:trPr>
          <w:cantSplit/>
        </w:trPr>
        <w:tc>
          <w:tcPr>
            <w:tcW w:type="dxa" w:w="102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FW1</w:t>
            </w:r>
          </w:p>
        </w:tc>
        <w:tc>
          <w:tcPr>
            <w:tcW w:type="dxa" w:w="4932"/>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e0/1 vers R1 ; zone AMONT</w:t>
            </w:r>
          </w:p>
        </w:tc>
        <w:tc>
          <w:tcPr>
            <w:tcW w:type="dxa" w:w="441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10.0.0.253/29</w:t>
            </w:r>
          </w:p>
        </w:tc>
      </w:tr>
      <w:tr>
        <w:trPr>
          <w:cantSplit/>
        </w:trPr>
        <w:tc>
          <w:tcPr>
            <w:tcW w:type="dxa" w:w="102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FW1</w:t>
            </w:r>
          </w:p>
        </w:tc>
        <w:tc>
          <w:tcPr>
            <w:tcW w:type="dxa" w:w="4932"/>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e0/2 vers SW1 ; zone LAN</w:t>
            </w:r>
          </w:p>
        </w:tc>
        <w:tc>
          <w:tcPr>
            <w:tcW w:type="dxa" w:w="441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10.0.10.254/29</w:t>
            </w:r>
          </w:p>
        </w:tc>
      </w:tr>
      <w:tr>
        <w:trPr>
          <w:cantSplit/>
        </w:trPr>
        <w:tc>
          <w:tcPr>
            <w:tcW w:type="dxa" w:w="102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FW1</w:t>
            </w:r>
          </w:p>
        </w:tc>
        <w:tc>
          <w:tcPr>
            <w:tcW w:type="dxa" w:w="4932"/>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e0/3 vers SRV1 ; zone DMZ</w:t>
            </w:r>
          </w:p>
        </w:tc>
        <w:tc>
          <w:tcPr>
            <w:tcW w:type="dxa" w:w="441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10.0.20.254/24 proposée</w:t>
            </w:r>
          </w:p>
        </w:tc>
      </w:tr>
      <w:tr>
        <w:trPr>
          <w:cantSplit/>
        </w:trPr>
        <w:tc>
          <w:tcPr>
            <w:tcW w:type="dxa" w:w="102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SW1</w:t>
            </w:r>
          </w:p>
        </w:tc>
        <w:tc>
          <w:tcPr>
            <w:tcW w:type="dxa" w:w="4932"/>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Port 24 routé vers FW1</w:t>
            </w:r>
          </w:p>
        </w:tc>
        <w:tc>
          <w:tcPr>
            <w:tcW w:type="dxa" w:w="441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10.0.10.253/29</w:t>
            </w:r>
          </w:p>
        </w:tc>
      </w:tr>
      <w:tr>
        <w:trPr>
          <w:cantSplit/>
        </w:trPr>
        <w:tc>
          <w:tcPr>
            <w:tcW w:type="dxa" w:w="102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SW1</w:t>
            </w:r>
          </w:p>
        </w:tc>
        <w:tc>
          <w:tcPr>
            <w:tcW w:type="dxa" w:w="4932"/>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SVI des VLAN 10 à 50</w:t>
            </w:r>
          </w:p>
        </w:tc>
        <w:tc>
          <w:tcPr>
            <w:tcW w:type="dxa" w:w="441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192.168.X.254/24 ; X = 10, 20, 30, 40, 50</w:t>
            </w:r>
          </w:p>
        </w:tc>
      </w:tr>
      <w:tr>
        <w:trPr>
          <w:cantSplit/>
        </w:trPr>
        <w:tc>
          <w:tcPr>
            <w:tcW w:type="dxa" w:w="102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SW1</w:t>
            </w:r>
          </w:p>
        </w:tc>
        <w:tc>
          <w:tcPr>
            <w:tcW w:type="dxa" w:w="4932"/>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Gestion VLAN 99 réservée</w:t>
            </w:r>
          </w:p>
        </w:tc>
        <w:tc>
          <w:tcPr>
            <w:tcW w:type="dxa" w:w="441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192.168.99.10/24 ; non activée</w:t>
            </w:r>
          </w:p>
        </w:tc>
      </w:tr>
      <w:tr>
        <w:trPr>
          <w:cantSplit/>
        </w:trPr>
        <w:tc>
          <w:tcPr>
            <w:tcW w:type="dxa" w:w="102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SW2</w:t>
            </w:r>
          </w:p>
        </w:tc>
        <w:tc>
          <w:tcPr>
            <w:tcW w:type="dxa" w:w="4932"/>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Zyxel conservé en réserve</w:t>
            </w:r>
          </w:p>
        </w:tc>
        <w:tc>
          <w:tcPr>
            <w:tcW w:type="dxa" w:w="441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Aucun raccordement ni IP active</w:t>
            </w:r>
          </w:p>
        </w:tc>
      </w:tr>
      <w:tr>
        <w:trPr>
          <w:cantSplit/>
        </w:trPr>
        <w:tc>
          <w:tcPr>
            <w:tcW w:type="dxa" w:w="102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R1</w:t>
            </w:r>
          </w:p>
        </w:tc>
        <w:tc>
          <w:tcPr>
            <w:tcW w:type="dxa" w:w="4932"/>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Port 5 ; gestion locale dédiée</w:t>
            </w:r>
          </w:p>
        </w:tc>
        <w:tc>
          <w:tcPr>
            <w:tcW w:type="dxa" w:w="441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192.168.0.1/24</w:t>
            </w:r>
          </w:p>
        </w:tc>
      </w:tr>
      <w:tr>
        <w:trPr>
          <w:cantSplit/>
        </w:trPr>
        <w:tc>
          <w:tcPr>
            <w:tcW w:type="dxa" w:w="102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FW1</w:t>
            </w:r>
          </w:p>
        </w:tc>
        <w:tc>
          <w:tcPr>
            <w:tcW w:type="dxa" w:w="4932"/>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e0/0 ; gestion locale dédiée</w:t>
            </w:r>
          </w:p>
        </w:tc>
        <w:tc>
          <w:tcPr>
            <w:tcW w:type="dxa" w:w="441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192.168.1.1/24</w:t>
            </w:r>
          </w:p>
        </w:tc>
      </w:tr>
    </w:tbl>
    <w:p w:rsidR="00000000" w:rsidDel="00000000" w:rsidP="00000000" w:rsidRDefault="00000000" w:rsidRPr="00000000" w14:paraId="00000084">
      <w:pPr>
        <w:spacing w:after="120" w:line="259" w:lineRule="auto" w:before="120"/>
        <w:rPr/>
      </w:pPr>
      <w:r w:rsidDel="00000000" w:rsidR="00000000" w:rsidRPr="00000000">
        <w:rPr>
          <w:rFonts w:ascii="Arial" w:hAnsi="Arial"/>
          <w:sz w:val="21"/>
          <w:rtl w:val="0"/>
        </w:rPr>
      </w:r>
    </w:p>
    <w:p w:rsidR="00000000" w:rsidDel="00000000" w:rsidP="00000000" w:rsidRDefault="00000000" w:rsidRPr="00000000" w14:paraId="00000085">
      <w:pPr>
        <w:spacing w:after="120" w:line="259" w:lineRule="auto"/>
        <w:rPr/>
      </w:pPr>
      <w:r>
        <w:rPr>
          <w:rFonts w:ascii="Arial" w:hAnsi="Arial"/>
          <w:sz w:val="21"/>
        </w:rPr>
        <w:t>Le schéma réserve 192.168.99.10/24 à la gestion de SW1. Aucune liaison du VLAN 99 ni passerelle dédiée n’y figure : cette adresse reste inactive tant que son accès n’est pas conçu. Les anciennes réservations R1 192.168.99.10, FW1 192.168.99.11 et SW1 192.168.99.12 sont abandonnées pour éviter incohérences et doublons.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sz w:val="21"/>
        </w:rPr>
        <w:t>Les passerelles des VLAN 10 à 50 restent en .254. Dans la DMZ, .1 désigne SRV1, .2 à .252 sont réservées aux VM, .253 reste libre et .254 est proposée comme passerelle. Les adresses .0 et .255 du /24 ne doivent pas être attribuées à des hôtes.</w:t>
      </w:r>
    </w:p>
    <w:p w:rsidR="00000000" w:rsidDel="00000000" w:rsidP="00000000" w:rsidRDefault="00000000" w:rsidRPr="00000000" w14:paraId="00000088">
      <w:pPr>
        <w:pStyle w:val="Heading1"/>
        <w:keepNext/>
        <w:pageBreakBefore w:val="0"/>
        <w:rPr/>
      </w:pPr>
      <w:r w:rsidDel="00000000" w:rsidR="00000000" w:rsidRPr="00000000">
        <w:rPr>
          <w:color w:val="000000"/>
          <w:rtl w:val="0"/>
        </w:rPr>
        <w:t xml:space="preserve">4 Affectation des adresses et services</w:t>
      </w:r>
    </w:p>
    <w:p w:rsidR="00000000" w:rsidDel="00000000" w:rsidP="00000000" w:rsidRDefault="00000000" w:rsidRPr="00000000" w14:paraId="00000089">
      <w:pPr>
        <w:spacing w:after="120" w:line="259" w:lineRule="auto"/>
        <w:rPr/>
      </w:pPr>
      <w:r>
        <w:rPr>
          <w:rFonts w:ascii="Arial" w:hAnsi="Arial"/>
          <w:sz w:val="21"/>
        </w:rPr>
        <w:t>Les adresses des trois PC clients, d’AP1 et de PC04 sont conservées. SRV1 passe à 10.0.20.1/24 avec FW1 comme passerelle. Chaque VM utilise sa propre adresse ; les services Windows ne sont pas installés directement sur Proxmox.</w:t>
      </w:r>
    </w:p>
    <w:tbl>
      <w:tblPr>
        <w:tblStyle w:val="Table5"/>
        <w:tblW w:w="10368.0" w:type="dxa"/>
        <w:jc w:val="center"/>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2494"/>
        <w:gridCol w:w="2268"/>
        <w:gridCol w:w="2998"/>
        <w:tblGridChange w:id="0">
          <w:tblGrid>
            <w:gridCol w:w="2592"/>
            <w:gridCol w:w="2664"/>
            <w:gridCol w:w="2520"/>
            <w:gridCol w:w="2592"/>
          </w:tblGrid>
        </w:tblGridChange>
      </w:tblGrid>
      <w:tr>
        <w:trPr>
          <w:cantSplit/>
          <w:tblHeader/>
        </w:trPr>
        <w:tc>
          <w:tcPr>
            <w:tcW w:type="dxa" w:w="2608"/>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Hôte</w:t>
            </w:r>
          </w:p>
        </w:tc>
        <w:tc>
          <w:tcPr>
            <w:tcW w:type="dxa" w:w="2494"/>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Adresse et préfixe</w:t>
            </w:r>
          </w:p>
        </w:tc>
        <w:tc>
          <w:tcPr>
            <w:tcW w:type="dxa" w:w="2268"/>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Passerelle</w:t>
            </w:r>
          </w:p>
        </w:tc>
        <w:tc>
          <w:tcPr>
            <w:tcW w:type="dxa" w:w="2998"/>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Affectation</w:t>
            </w:r>
          </w:p>
        </w:tc>
      </w:tr>
      <w:tr>
        <w:trPr>
          <w:cantSplit/>
        </w:trPr>
        <w:tc>
          <w:tcPr>
            <w:tcW w:type="dxa" w:w="2608"/>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PC01 Dell</w:t>
            </w:r>
          </w:p>
        </w:tc>
        <w:tc>
          <w:tcPr>
            <w:tcW w:type="dxa" w:w="2494"/>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192.168.10.10/24</w:t>
            </w:r>
          </w:p>
        </w:tc>
        <w:tc>
          <w:tcPr>
            <w:tcW w:type="dxa" w:w="2268"/>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192.168.10.254</w:t>
            </w:r>
          </w:p>
        </w:tc>
        <w:tc>
          <w:tcPr>
            <w:tcW w:type="dxa" w:w="2998"/>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Direction</w:t>
            </w:r>
          </w:p>
        </w:tc>
      </w:tr>
      <w:tr>
        <w:trPr>
          <w:cantSplit/>
        </w:trPr>
        <w:tc>
          <w:tcPr>
            <w:tcW w:type="dxa" w:w="260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PC02 Dell</w:t>
            </w:r>
          </w:p>
        </w:tc>
        <w:tc>
          <w:tcPr>
            <w:tcW w:type="dxa" w:w="249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192.168.20.10/24</w:t>
            </w:r>
          </w:p>
        </w:tc>
        <w:tc>
          <w:tcPr>
            <w:tcW w:type="dxa" w:w="226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192.168.20.254</w:t>
            </w:r>
          </w:p>
        </w:tc>
        <w:tc>
          <w:tcPr>
            <w:tcW w:type="dxa" w:w="299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Comptabilité</w:t>
            </w:r>
          </w:p>
        </w:tc>
      </w:tr>
      <w:tr>
        <w:trPr>
          <w:cantSplit/>
        </w:trPr>
        <w:tc>
          <w:tcPr>
            <w:tcW w:type="dxa" w:w="260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PC03 Dell</w:t>
            </w:r>
          </w:p>
        </w:tc>
        <w:tc>
          <w:tcPr>
            <w:tcW w:type="dxa" w:w="249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192.168.40.10/24</w:t>
            </w:r>
          </w:p>
        </w:tc>
        <w:tc>
          <w:tcPr>
            <w:tcW w:type="dxa" w:w="226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192.168.40.254</w:t>
            </w:r>
          </w:p>
        </w:tc>
        <w:tc>
          <w:tcPr>
            <w:tcW w:type="dxa" w:w="299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Administration</w:t>
            </w:r>
          </w:p>
        </w:tc>
      </w:tr>
      <w:tr>
        <w:trPr>
          <w:cantSplit/>
        </w:trPr>
        <w:tc>
          <w:tcPr>
            <w:tcW w:type="dxa" w:w="260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PC04 Dell Proxmox</w:t>
            </w:r>
          </w:p>
        </w:tc>
        <w:tc>
          <w:tcPr>
            <w:tcW w:type="dxa" w:w="249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192.168.50.10/24</w:t>
            </w:r>
          </w:p>
        </w:tc>
        <w:tc>
          <w:tcPr>
            <w:tcW w:type="dxa" w:w="226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192.168.50.254</w:t>
            </w:r>
          </w:p>
        </w:tc>
        <w:tc>
          <w:tcPr>
            <w:tcW w:type="dxa" w:w="299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Hyperviseur interne</w:t>
            </w:r>
          </w:p>
        </w:tc>
      </w:tr>
      <w:tr>
        <w:trPr>
          <w:cantSplit/>
        </w:trPr>
        <w:tc>
          <w:tcPr>
            <w:tcW w:type="dxa" w:w="260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AP1 Netis</w:t>
            </w:r>
          </w:p>
        </w:tc>
        <w:tc>
          <w:tcPr>
            <w:tcW w:type="dxa" w:w="249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192.168.30.2/24</w:t>
            </w:r>
          </w:p>
        </w:tc>
        <w:tc>
          <w:tcPr>
            <w:tcW w:type="dxa" w:w="226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192.168.30.254</w:t>
            </w:r>
          </w:p>
        </w:tc>
        <w:tc>
          <w:tcPr>
            <w:tcW w:type="dxa" w:w="299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Point d’accès en mode pont</w:t>
            </w:r>
          </w:p>
        </w:tc>
      </w:tr>
      <w:tr>
        <w:trPr>
          <w:cantSplit/>
        </w:trPr>
        <w:tc>
          <w:tcPr>
            <w:tcW w:type="dxa" w:w="260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SRV1 ProLiant Proxmox</w:t>
            </w:r>
          </w:p>
        </w:tc>
        <w:tc>
          <w:tcPr>
            <w:tcW w:type="dxa" w:w="249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10.0.20.1/24</w:t>
            </w:r>
          </w:p>
        </w:tc>
        <w:tc>
          <w:tcPr>
            <w:tcW w:type="dxa" w:w="226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10.0.20.254</w:t>
            </w:r>
          </w:p>
        </w:tc>
        <w:tc>
          <w:tcPr>
            <w:tcW w:type="dxa" w:w="299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Hyperviseur DMZ</w:t>
            </w:r>
          </w:p>
        </w:tc>
      </w:tr>
    </w:tbl>
    <w:p w:rsidR="00000000" w:rsidDel="00000000" w:rsidP="00000000" w:rsidRDefault="00000000" w:rsidRPr="00000000" w14:paraId="000000A6">
      <w:pPr>
        <w:spacing w:after="120" w:line="259" w:lineRule="auto" w:before="120"/>
        <w:rPr/>
      </w:pPr>
      <w:r w:rsidDel="00000000" w:rsidR="00000000" w:rsidRPr="00000000">
        <w:rPr>
          <w:rFonts w:ascii="Arial" w:hAnsi="Arial"/>
          <w:sz w:val="21"/>
          <w:rtl w:val="0"/>
        </w:rPr>
      </w:r>
    </w:p>
    <w:p w:rsidR="00000000" w:rsidDel="00000000" w:rsidP="00000000" w:rsidRDefault="00000000" w:rsidRPr="00000000" w14:paraId="000000A7">
      <w:pPr>
        <w:pStyle w:val="Heading2"/>
        <w:keepNext/>
        <w:pageBreakBefore w:val="0"/>
        <w:rPr/>
      </w:pPr>
      <w:r>
        <w:rPr>
          <w:color w:val="000000"/>
        </w:rPr>
        <w:t>Adresses proposées pour les machines virtuelles</w:t>
      </w:r>
    </w:p>
    <w:tbl>
      <w:tblPr>
        <w:tblStyle w:val="Table6"/>
        <w:tblW w:w="10368.0" w:type="dxa"/>
        <w:jc w:val="center"/>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4592"/>
        <w:gridCol w:w="4245"/>
        <w:tblGridChange w:id="0">
          <w:tblGrid>
            <w:gridCol w:w="2592"/>
            <w:gridCol w:w="4176"/>
            <w:gridCol w:w="3600"/>
          </w:tblGrid>
        </w:tblGridChange>
      </w:tblGrid>
      <w:tr>
        <w:trPr>
          <w:cantSplit/>
          <w:tblHeader/>
        </w:trPr>
        <w:tc>
          <w:tcPr>
            <w:tcW w:type="dxa" w:w="1531"/>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VM proposée</w:t>
            </w:r>
          </w:p>
        </w:tc>
        <w:tc>
          <w:tcPr>
            <w:tcW w:type="dxa" w:w="4592"/>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Hébergement et services</w:t>
            </w:r>
          </w:p>
        </w:tc>
        <w:tc>
          <w:tcPr>
            <w:tcW w:type="dxa" w:w="4245"/>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IP fixe et passerelle</w:t>
            </w:r>
          </w:p>
        </w:tc>
      </w:tr>
      <w:tr>
        <w:trPr>
          <w:cantSplit/>
        </w:trPr>
        <w:tc>
          <w:tcPr>
            <w:tcW w:type="dxa" w:w="1531"/>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DC01</w:t>
            </w:r>
          </w:p>
        </w:tc>
        <w:tc>
          <w:tcPr>
            <w:tcW w:type="dxa" w:w="4592"/>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PC04 ; AD DS, DNS interne et DHCP</w:t>
            </w:r>
          </w:p>
        </w:tc>
        <w:tc>
          <w:tcPr>
            <w:tcW w:type="dxa" w:w="4245"/>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192.168.50.20/24 ; GW 192.168.50.254</w:t>
            </w:r>
          </w:p>
        </w:tc>
      </w:tr>
      <w:tr>
        <w:trPr>
          <w:cantSplit/>
        </w:trPr>
        <w:tc>
          <w:tcPr>
            <w:tcW w:type="dxa" w:w="153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GLPI01</w:t>
            </w:r>
          </w:p>
        </w:tc>
        <w:tc>
          <w:tcPr>
            <w:tcW w:type="dxa" w:w="4592"/>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PC04 ; application GLPI et base locale</w:t>
            </w:r>
          </w:p>
        </w:tc>
        <w:tc>
          <w:tcPr>
            <w:tcW w:type="dxa" w:w="424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192.168.50.30/24 ; GW 192.168.50.254</w:t>
            </w:r>
          </w:p>
        </w:tc>
      </w:tr>
      <w:tr>
        <w:trPr>
          <w:cantSplit/>
        </w:trPr>
        <w:tc>
          <w:tcPr>
            <w:tcW w:type="dxa" w:w="153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WEB01</w:t>
            </w:r>
          </w:p>
        </w:tc>
        <w:tc>
          <w:tcPr>
            <w:tcW w:type="dxa" w:w="4592"/>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SRV1 ; Web et reverse proxy sur la même VM</w:t>
            </w:r>
          </w:p>
        </w:tc>
        <w:tc>
          <w:tcPr>
            <w:tcW w:type="dxa" w:w="424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10.0.20.10/24 ; GW 10.0.20.254</w:t>
            </w:r>
          </w:p>
        </w:tc>
      </w:tr>
      <w:tr>
        <w:trPr>
          <w:cantSplit/>
        </w:trPr>
        <w:tc>
          <w:tcPr>
            <w:tcW w:type="dxa" w:w="153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DNSDMZ01</w:t>
            </w:r>
          </w:p>
        </w:tc>
        <w:tc>
          <w:tcPr>
            <w:tcW w:type="dxa" w:w="4592"/>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SRV1 ; résolveur DNS de la DMZ et redirecteur de DC01</w:t>
            </w:r>
          </w:p>
        </w:tc>
        <w:tc>
          <w:tcPr>
            <w:tcW w:type="dxa" w:w="424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10.0.20.53/24 ; GW 10.0.20.254</w:t>
            </w:r>
          </w:p>
        </w:tc>
      </w:tr>
    </w:tbl>
    <w:p w:rsidR="00000000" w:rsidDel="00000000" w:rsidP="00000000" w:rsidRDefault="00000000" w:rsidRPr="00000000" w14:paraId="000000B7">
      <w:pPr>
        <w:spacing w:after="120" w:line="259" w:lineRule="auto" w:before="120"/>
        <w:rPr/>
      </w:pPr>
      <w:r w:rsidDel="00000000" w:rsidR="00000000" w:rsidRPr="00000000">
        <w:rPr>
          <w:rFonts w:ascii="Arial" w:hAnsi="Arial"/>
          <w:sz w:val="21"/>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commentRangeStart w:id="3"/>
      <w:r>
        <w:rPr>
          <w:rFonts w:ascii="Arial" w:hAnsi="Arial"/>
          <w:sz w:val="21"/>
        </w:rPr>
        <w:t>Ces noms et adresses de VM complètent le plan et doivent être réservés avant déploiement. AD, DNS et DHCP sont regroupés sur DC01 ; GLPI dispose d’une VM distincte. WEB01 regroupe le site et le reverse proxy. DNSDMZ01 est un résolveur à accès restreint, sans publication DNS sur Internet. Le domaine AD et les noms de service seront ceux retenus lors de l’installation.</w:t>
      </w:r>
      <w:commentRangeEnd w:id="3"/>
      <w:r>
        <w:rPr>
          <w:rStyle w:val="CommentReference"/>
          <w:rFonts w:ascii="Arial" w:hAnsi="Arial"/>
          <w:sz w:val="21"/>
        </w:rPr>
        <w:commentReference w:id="3"/>
      </w:r>
    </w:p>
    <w:p w:rsidR="00000000" w:rsidDel="00000000" w:rsidP="00000000" w:rsidRDefault="00000000" w:rsidRPr="00000000" w14:paraId="000000B9">
      <w:pPr>
        <w:pStyle w:val="Heading2"/>
        <w:keepNext/>
        <w:pageBreakBefore w:val="0"/>
        <w:rPr/>
      </w:pPr>
      <w:r w:rsidDel="00000000" w:rsidR="00000000" w:rsidRPr="00000000">
        <w:rPr>
          <w:color w:val="000000"/>
          <w:rtl w:val="0"/>
        </w:rPr>
        <w:t xml:space="preserve">Distribution DHCP du VLAN 30</w:t>
      </w:r>
    </w:p>
    <w:tbl>
      <w:tblPr>
        <w:tblStyle w:val="Table7"/>
        <w:tblW w:w="10368.0" w:type="dxa"/>
        <w:jc w:val="center"/>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7533"/>
        <w:tblGridChange w:id="0">
          <w:tblGrid>
            <w:gridCol w:w="3024"/>
            <w:gridCol w:w="7344"/>
          </w:tblGrid>
        </w:tblGridChange>
      </w:tblGrid>
      <w:tr>
        <w:trPr>
          <w:cantSplit/>
          <w:tblHeader/>
        </w:trPr>
        <w:tc>
          <w:tcPr>
            <w:tcW w:type="dxa" w:w="2835"/>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Paramètre</w:t>
            </w:r>
          </w:p>
        </w:tc>
        <w:tc>
          <w:tcPr>
            <w:tcW w:type="dxa" w:w="7533"/>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Valeur</w:t>
            </w:r>
          </w:p>
        </w:tc>
      </w:tr>
      <w:tr>
        <w:trPr>
          <w:cantSplit/>
        </w:trPr>
        <w:tc>
          <w:tcPr>
            <w:tcW w:type="dxa" w:w="2835"/>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Réseau et plage</w:t>
            </w:r>
          </w:p>
        </w:tc>
        <w:tc>
          <w:tcPr>
            <w:tcW w:type="dxa" w:w="7533"/>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192.168.30.0/24 ; 192.168.30.100 à 192.168.30.199</w:t>
            </w:r>
          </w:p>
        </w:tc>
      </w:tr>
      <w:tr>
        <w:trPr>
          <w:cantSplit/>
        </w:trPr>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Masque et bail proposé</w:t>
            </w:r>
          </w:p>
        </w:tc>
        <w:tc>
          <w:tcPr>
            <w:tcW w:type="dxa" w:w="753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255.255.255.0 ; 8 heures</w:t>
            </w:r>
          </w:p>
        </w:tc>
      </w:tr>
      <w:tr>
        <w:trPr>
          <w:cantSplit/>
        </w:trPr>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Option 003 Routeur</w:t>
            </w:r>
          </w:p>
        </w:tc>
        <w:tc>
          <w:tcPr>
            <w:tcW w:type="dxa" w:w="753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192.168.30.254</w:t>
            </w:r>
          </w:p>
        </w:tc>
      </w:tr>
      <w:tr>
        <w:trPr>
          <w:cantSplit/>
        </w:trPr>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Option 006 DNS</w:t>
            </w:r>
          </w:p>
        </w:tc>
        <w:tc>
          <w:tcPr>
            <w:tcW w:type="dxa" w:w="753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192.168.50.20</w:t>
            </w:r>
          </w:p>
        </w:tc>
      </w:tr>
      <w:tr>
        <w:trPr>
          <w:cantSplit/>
        </w:trPr>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Serveur</w:t>
            </w:r>
          </w:p>
        </w:tc>
        <w:tc>
          <w:tcPr>
            <w:tcW w:type="dxa" w:w="753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DC01 192.168.50.20 ; rôle DHCP autorisé dans AD</w:t>
            </w:r>
          </w:p>
        </w:tc>
      </w:tr>
      <w:tr>
        <w:trPr>
          <w:cantSplit/>
        </w:trPr>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Relais sur SW1</w:t>
            </w:r>
          </w:p>
        </w:tc>
        <w:tc>
          <w:tcPr>
            <w:tcW w:type="dxa" w:w="753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SVI VLAN 30 ; ip helper-address 192.168.50.20</w:t>
            </w:r>
          </w:p>
        </w:tc>
      </w:tr>
      <w:tr>
        <w:trPr>
          <w:cantSplit/>
        </w:trPr>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Adresses hors plage</w:t>
            </w:r>
          </w:p>
        </w:tc>
        <w:tc>
          <w:tcPr>
            <w:tcW w:type="dxa" w:w="753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AP1 192.168.30.2 et passerelle .254 ; pas de réservation nécessaire</w:t>
            </w:r>
          </w:p>
        </w:tc>
      </w:tr>
    </w:tbl>
    <w:p w:rsidR="00000000" w:rsidDel="00000000" w:rsidP="00000000" w:rsidRDefault="00000000" w:rsidRPr="00000000" w14:paraId="000000C6">
      <w:pPr>
        <w:spacing w:after="120" w:line="259" w:lineRule="auto" w:before="120"/>
        <w:rPr/>
      </w:pPr>
      <w:r w:rsidDel="00000000" w:rsidR="00000000" w:rsidRPr="00000000">
        <w:rPr>
          <w:rFonts w:ascii="Arial" w:hAnsi="Arial"/>
          <w:sz w:val="21"/>
          <w:rtl w:val="0"/>
        </w:rPr>
      </w:r>
    </w:p>
    <w:p w:rsidR="00000000" w:rsidDel="00000000" w:rsidP="00000000" w:rsidRDefault="00000000" w:rsidRPr="00000000" w14:paraId="000000C7">
      <w:pPr>
        <w:spacing w:after="120" w:line="259" w:lineRule="auto"/>
        <w:rPr/>
      </w:pPr>
      <w:r>
        <w:rPr>
          <w:rFonts w:ascii="Arial" w:hAnsi="Arial"/>
          <w:sz w:val="21"/>
        </w:rPr>
        <w:t>Seul le VLAN 30 utilise le DHCP. AP1 fonctionne en mode pont, avec son DHCP désactivé ; la clé Wi-Fi et l’isolation des clients se règlent sur AP1. Les postes du domaine utilisent DC01 comme DNS, même en IP statique. DC01 redirige les requêtes externes vers DNSDMZ01 ; ce dernier utilise les résolveurs externes autorisés par FW1.</w:t>
      </w:r>
    </w:p>
    <w:p w:rsidR="00000000" w:rsidDel="00000000" w:rsidP="00000000" w:rsidRDefault="00000000" w:rsidRPr="00000000" w14:paraId="000000C9">
      <w:pPr>
        <w:pStyle w:val="Heading1"/>
        <w:keepNext/>
        <w:pageBreakBefore w:val="0"/>
        <w:rPr/>
      </w:pPr>
      <w:r w:rsidDel="00000000" w:rsidR="00000000" w:rsidRPr="00000000">
        <w:rPr>
          <w:color w:val="000000"/>
          <w:rtl w:val="0"/>
        </w:rPr>
        <w:t xml:space="preserve">5 Plan de câblage Ethernet</w:t>
      </w:r>
    </w:p>
    <w:p w:rsidR="00000000" w:rsidDel="00000000" w:rsidP="00000000" w:rsidRDefault="00000000" w:rsidRPr="00000000" w14:paraId="000000CA">
      <w:pPr>
        <w:spacing w:after="120" w:line="259" w:lineRule="auto"/>
        <w:rPr/>
      </w:pPr>
      <w:r>
        <w:rPr>
          <w:rFonts w:ascii="Arial" w:hAnsi="Arial"/>
          <w:sz w:val="21"/>
        </w:rPr>
        <w:t>Les étiquettes existantes C01 à C09 sont conservées pour faciliter le recâblage. C01 relie maintenant R1 à FW1 et C04 relie FW1 à SRV1. C02 devient le câble de réserve. Vérifier le nom système des interfaces avant d’appliquer une commande.</w:t>
      </w:r>
    </w:p>
    <w:tbl>
      <w:tblPr>
        <w:tblStyle w:val="Table8"/>
        <w:tblW w:w="10368.0" w:type="dxa"/>
        <w:jc w:val="center"/>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2835"/>
        <w:gridCol w:w="3458"/>
        <w:gridCol w:w="3225"/>
        <w:tblGridChange w:id="0">
          <w:tblGrid>
            <w:gridCol w:w="864"/>
            <w:gridCol w:w="2808"/>
            <w:gridCol w:w="3384"/>
            <w:gridCol w:w="3312"/>
          </w:tblGrid>
        </w:tblGridChange>
      </w:tblGrid>
      <w:tr>
        <w:trPr>
          <w:cantSplit/>
          <w:tblHeader/>
        </w:trPr>
        <w:tc>
          <w:tcPr>
            <w:tcW w:type="dxa" w:w="850"/>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Câble</w:t>
            </w:r>
          </w:p>
        </w:tc>
        <w:tc>
          <w:tcPr>
            <w:tcW w:type="dxa" w:w="2835"/>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Extrémité A</w:t>
            </w:r>
          </w:p>
        </w:tc>
        <w:tc>
          <w:tcPr>
            <w:tcW w:type="dxa" w:w="3458"/>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Extrémité B</w:t>
            </w:r>
          </w:p>
        </w:tc>
        <w:tc>
          <w:tcPr>
            <w:tcW w:type="dxa" w:w="3225"/>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Usage</w:t>
            </w:r>
          </w:p>
        </w:tc>
      </w:tr>
      <w:tr>
        <w:trPr>
          <w:cantSplit/>
        </w:trPr>
        <w:tc>
          <w:tcPr>
            <w:tcW w:type="dxa" w:w="850"/>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C01</w:t>
            </w:r>
          </w:p>
        </w:tc>
        <w:tc>
          <w:tcPr>
            <w:tcW w:type="dxa" w:w="2835"/>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R1 TP-Link</w:t>
              <w:br/>
              <w:t>Port 3</w:t>
            </w:r>
          </w:p>
        </w:tc>
        <w:tc>
          <w:tcPr>
            <w:tcW w:type="dxa" w:w="3458"/>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FW1 Hillstone</w:t>
              <w:br/>
              <w:t>e0/1</w:t>
            </w:r>
          </w:p>
        </w:tc>
        <w:tc>
          <w:tcPr>
            <w:tcW w:type="dxa" w:w="3225"/>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Transit 10.0.0.248/29</w:t>
            </w:r>
          </w:p>
        </w:tc>
      </w:tr>
      <w:tr>
        <w:trPr>
          <w:cantSplit/>
        </w:trPr>
        <w:tc>
          <w:tcPr>
            <w:tcW w:type="dxa" w:w="85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C02</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Non raccordé</w:t>
            </w:r>
          </w:p>
        </w:tc>
        <w:tc>
          <w:tcPr>
            <w:tcW w:type="dxa" w:w="345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Réserve</w:t>
            </w:r>
          </w:p>
        </w:tc>
        <w:tc>
          <w:tcPr>
            <w:tcW w:type="dxa" w:w="322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Maintenance locale ou WAN si nécessaire</w:t>
            </w:r>
          </w:p>
        </w:tc>
      </w:tr>
      <w:tr>
        <w:trPr>
          <w:cantSplit/>
        </w:trPr>
        <w:tc>
          <w:tcPr>
            <w:tcW w:type="dxa" w:w="85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C03</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FW1 Hillstone</w:t>
              <w:br/>
              <w:t>e0/2</w:t>
            </w:r>
          </w:p>
        </w:tc>
        <w:tc>
          <w:tcPr>
            <w:tcW w:type="dxa" w:w="345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SW1 Cisco</w:t>
              <w:br/>
              <w:t>Port 24</w:t>
            </w:r>
          </w:p>
        </w:tc>
        <w:tc>
          <w:tcPr>
            <w:tcW w:type="dxa" w:w="322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Transit 10.0.10.248/29</w:t>
            </w:r>
          </w:p>
        </w:tc>
      </w:tr>
      <w:tr>
        <w:trPr>
          <w:cantSplit/>
        </w:trPr>
        <w:tc>
          <w:tcPr>
            <w:tcW w:type="dxa" w:w="85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C04</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FW1 Hillstone</w:t>
              <w:br/>
              <w:t>e0/3</w:t>
            </w:r>
          </w:p>
        </w:tc>
        <w:tc>
          <w:tcPr>
            <w:tcW w:type="dxa" w:w="345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SRV1 ProLiant</w:t>
              <w:br/>
              <w:t>Carte Ethernet reliée</w:t>
            </w:r>
          </w:p>
        </w:tc>
        <w:tc>
          <w:tcPr>
            <w:tcW w:type="dxa" w:w="322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DMZ 10.0.20.0/24</w:t>
            </w:r>
          </w:p>
        </w:tc>
      </w:tr>
      <w:tr>
        <w:trPr>
          <w:cantSplit/>
        </w:trPr>
        <w:tc>
          <w:tcPr>
            <w:tcW w:type="dxa" w:w="85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C05</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SW1 Cisco</w:t>
              <w:br/>
              <w:t>Port 1</w:t>
            </w:r>
          </w:p>
        </w:tc>
        <w:tc>
          <w:tcPr>
            <w:tcW w:type="dxa" w:w="345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PC01 Dell</w:t>
              <w:br/>
              <w:t>Interface Ethernet</w:t>
            </w:r>
          </w:p>
        </w:tc>
        <w:tc>
          <w:tcPr>
            <w:tcW w:type="dxa" w:w="322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Accès VLAN 10</w:t>
            </w:r>
          </w:p>
        </w:tc>
      </w:tr>
      <w:tr>
        <w:trPr>
          <w:cantSplit/>
        </w:trPr>
        <w:tc>
          <w:tcPr>
            <w:tcW w:type="dxa" w:w="85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C06</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SW1 Cisco</w:t>
              <w:br/>
              <w:t>Port 5</w:t>
            </w:r>
          </w:p>
        </w:tc>
        <w:tc>
          <w:tcPr>
            <w:tcW w:type="dxa" w:w="345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PC02 Dell</w:t>
              <w:br/>
              <w:t>Interface Ethernet</w:t>
            </w:r>
          </w:p>
        </w:tc>
        <w:tc>
          <w:tcPr>
            <w:tcW w:type="dxa" w:w="322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Accès VLAN 20</w:t>
            </w:r>
          </w:p>
        </w:tc>
      </w:tr>
      <w:tr>
        <w:trPr>
          <w:cantSplit/>
        </w:trPr>
        <w:tc>
          <w:tcPr>
            <w:tcW w:type="dxa" w:w="85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C07</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SW1 Cisco</w:t>
              <w:br/>
              <w:t>Port 15</w:t>
            </w:r>
          </w:p>
        </w:tc>
        <w:tc>
          <w:tcPr>
            <w:tcW w:type="dxa" w:w="345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PC03 Dell</w:t>
              <w:br/>
              <w:t>Interface Ethernet</w:t>
            </w:r>
          </w:p>
        </w:tc>
        <w:tc>
          <w:tcPr>
            <w:tcW w:type="dxa" w:w="322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Accès VLAN 40</w:t>
            </w:r>
          </w:p>
        </w:tc>
      </w:tr>
      <w:tr>
        <w:trPr>
          <w:cantSplit/>
        </w:trPr>
        <w:tc>
          <w:tcPr>
            <w:tcW w:type="dxa" w:w="85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C08</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SW1 Cisco</w:t>
              <w:br/>
              <w:t>Port 10</w:t>
            </w:r>
          </w:p>
        </w:tc>
        <w:tc>
          <w:tcPr>
            <w:tcW w:type="dxa" w:w="345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AP1 Netis</w:t>
              <w:br/>
              <w:t>Port LAN</w:t>
            </w:r>
          </w:p>
        </w:tc>
        <w:tc>
          <w:tcPr>
            <w:tcW w:type="dxa" w:w="322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Accès VLAN 30</w:t>
            </w:r>
          </w:p>
        </w:tc>
      </w:tr>
      <w:tr>
        <w:trPr>
          <w:cantSplit/>
        </w:trPr>
        <w:tc>
          <w:tcPr>
            <w:tcW w:type="dxa" w:w="85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C09</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SW1 Cisco</w:t>
              <w:br/>
              <w:t>Port 23</w:t>
            </w:r>
          </w:p>
        </w:tc>
        <w:tc>
          <w:tcPr>
            <w:tcW w:type="dxa" w:w="345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PC04 Dell Proxmox</w:t>
              <w:br/>
              <w:t>Carte Ethernet reliée</w:t>
            </w:r>
          </w:p>
        </w:tc>
        <w:tc>
          <w:tcPr>
            <w:tcW w:type="dxa" w:w="322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Accès VLAN 50</w:t>
            </w:r>
          </w:p>
        </w:tc>
      </w:tr>
    </w:tbl>
    <w:p w:rsidR="00000000" w:rsidDel="00000000" w:rsidP="00000000" w:rsidRDefault="00000000" w:rsidRPr="00000000" w14:paraId="000000F3">
      <w:pPr>
        <w:spacing w:after="120" w:line="259" w:lineRule="auto" w:before="120"/>
        <w:rPr/>
      </w:pPr>
      <w:r w:rsidDel="00000000" w:rsidR="00000000" w:rsidRPr="00000000">
        <w:rPr>
          <w:rFonts w:ascii="Arial" w:hAnsi="Arial"/>
          <w:sz w:val="21"/>
          <w:rtl w:val="0"/>
        </w:rPr>
      </w:r>
    </w:p>
    <w:p w:rsidR="00000000" w:rsidDel="00000000" w:rsidP="00000000" w:rsidRDefault="00000000" w:rsidRPr="00000000" w14:paraId="000000F4">
      <w:pPr>
        <w:pStyle w:val="Heading2"/>
        <w:keepNext/>
        <w:pageBreakBefore w:val="0"/>
        <w:rPr/>
      </w:pPr>
      <w:r w:rsidDel="00000000" w:rsidR="00000000" w:rsidRPr="00000000">
        <w:rPr>
          <w:color w:val="000000"/>
          <w:rtl w:val="0"/>
        </w:rPr>
        <w:t xml:space="preserve">Raccordement des hyperviseurs</w:t>
      </w:r>
    </w:p>
    <w:p w:rsidR="00000000" w:rsidDel="00000000" w:rsidP="00000000" w:rsidRDefault="00000000" w:rsidRPr="00000000" w14:paraId="000000F5">
      <w:pPr>
        <w:spacing w:after="120" w:line="259" w:lineRule="auto"/>
        <w:rPr/>
      </w:pPr>
      <w:r w:rsidDel="00000000" w:rsidR="00000000" w:rsidRPr="00000000">
        <w:rPr>
          <w:rFonts w:ascii="Arial" w:hAnsi="Arial"/>
          <w:sz w:val="21"/>
          <w:rtl w:val="0"/>
        </w:rPr>
        <w:t xml:space="preserve">Le port 23 de SW1 est en accès VLAN 50. PC04 et ses VM communiquent sur ce VLAN sans étiquette 802.1Q sur le câble C09. Le pont réseau Proxmox relie leurs interfaces virtuelles à la carte physique. Aucun trunk n’est nécessaire tant que ce lien ne transporte qu’un VLAN.</w:t>
      </w:r>
    </w:p>
    <w:p w:rsidR="00000000" w:rsidDel="00000000" w:rsidP="00000000" w:rsidRDefault="00000000" w:rsidRPr="00000000" w14:paraId="000000F6">
      <w:pPr>
        <w:spacing w:after="120" w:line="259" w:lineRule="auto"/>
        <w:rPr/>
      </w:pPr>
      <w:r>
        <w:rPr>
          <w:rFonts w:ascii="Arial" w:hAnsi="Arial"/>
          <w:sz w:val="21"/>
        </w:rPr>
        <w:t>Sur SRV1, C04 relie directement la carte physique au port e0/3 de FW1. Le pont Proxmox et les VM utilisent la DMZ non étiquetée 10.0.20.0/24. SRV1 et chaque VM ont pour passerelle 10.0.20.254. Aucune route de VM vers 10.0.0.253 n’est nécessaire ; cette adresse n’est pas sur leur réseau local.</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sz w:val="21"/>
        </w:rPr>
        <w:t>Les ports de SW2 ne sont plus utilisés. Le port 3 de R1 doit appartenir au réseau de transit /29 et être isolé de tout autre LAN ou Wi-Fi non prévu. Les capacités du TP-Link à appliquer ce masque, les routes et le NAT doivent être contrôlées.</w:t>
      </w:r>
    </w:p>
    <w:p w:rsidR="00000000" w:rsidDel="00000000" w:rsidP="00000000" w:rsidRDefault="00000000" w:rsidRPr="00000000" w14:paraId="000000F9">
      <w:pPr>
        <w:pStyle w:val="Heading1"/>
        <w:keepNext/>
        <w:pageBreakBefore w:val="0"/>
        <w:rPr/>
      </w:pPr>
      <w:r w:rsidDel="00000000" w:rsidR="00000000" w:rsidRPr="00000000">
        <w:rPr>
          <w:color w:val="000000"/>
          <w:rtl w:val="0"/>
        </w:rPr>
        <w:t xml:space="preserve">6 Répartition des ports et besoins matériels</w:t>
      </w:r>
    </w:p>
    <w:p w:rsidR="00000000" w:rsidDel="00000000" w:rsidP="00000000" w:rsidRDefault="00000000" w:rsidRPr="00000000" w14:paraId="000000FA">
      <w:pPr>
        <w:pStyle w:val="Heading2"/>
        <w:keepNext/>
        <w:pageBreakBefore w:val="0"/>
        <w:rPr/>
      </w:pPr>
      <w:r w:rsidDel="00000000" w:rsidR="00000000" w:rsidRPr="00000000">
        <w:rPr>
          <w:color w:val="000000"/>
          <w:rtl w:val="0"/>
        </w:rPr>
        <w:t xml:space="preserve">Ports du switch Cisco SW1</w:t>
      </w:r>
    </w:p>
    <w:tbl>
      <w:tblPr>
        <w:tblStyle w:val="Table9"/>
        <w:tblW w:w="10368.000000000002" w:type="dxa"/>
        <w:jc w:val="center"/>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1757"/>
        <w:gridCol w:w="1134"/>
        <w:gridCol w:w="6286"/>
        <w:tblGridChange w:id="0">
          <w:tblGrid>
            <w:gridCol w:w="1224"/>
            <w:gridCol w:w="1872"/>
            <w:gridCol w:w="1440"/>
            <w:gridCol w:w="5832"/>
          </w:tblGrid>
        </w:tblGridChange>
      </w:tblGrid>
      <w:tr>
        <w:trPr>
          <w:cantSplit/>
          <w:tblHeader/>
        </w:trPr>
        <w:tc>
          <w:tcPr>
            <w:tcW w:type="dxa" w:w="1191"/>
            <w:vAlign w:val="center"/>
            <w:shd w:fill="DCE6EF"/>
            <w:tcMar>
              <w:top w:w="75" w:type="dxa"/>
              <w:bottom w:w="75" w:type="dxa"/>
              <w:left w:w="85" w:type="dxa"/>
              <w:right w:w="85" w:type="dxa"/>
            </w:tcMar>
          </w:tcPr>
          <w:p w:rsidR="00000000" w:rsidDel="00000000" w:rsidP="00000000" w:rsidRDefault="00000000" w:rsidRPr="00000000" w14:paraId="000000FB">
            <w:pPr>
              <w:keepNext/>
              <w:keepLines/>
              <w:spacing w:after="0" w:before="0" w:line="252" w:lineRule="auto"/>
              <w:jc w:val="center"/>
              <w:rPr/>
            </w:pPr>
            <w:r w:rsidDel="00000000" w:rsidR="00000000" w:rsidRPr="00000000">
              <w:rPr>
                <w:rFonts w:ascii="Arial" w:hAnsi="Arial"/>
                <w:b/>
                <w:bCs w:val="1"/>
                <w:color w:val="000000"/>
                <w:sz w:val="19"/>
                <w:szCs w:val="19"/>
                <w:rtl w:val="0"/>
              </w:rPr>
              <w:t xml:space="preserve">Ports</w:t>
            </w:r>
            <w:r w:rsidDel="00000000" w:rsidR="00000000" w:rsidRPr="00000000">
              <w:rPr>
                <w:rFonts w:ascii="Arial" w:hAnsi="Arial"/>
                <w:b/>
                <w:color w:val="000000"/>
                <w:sz w:val="19"/>
                <w:rtl w:val="0"/>
              </w:rPr>
            </w:r>
          </w:p>
        </w:tc>
        <w:tc>
          <w:tcPr>
            <w:tcW w:type="dxa" w:w="1757"/>
            <w:vAlign w:val="center"/>
            <w:shd w:fill="DCE6EF"/>
            <w:tcMar>
              <w:top w:w="75" w:type="dxa"/>
              <w:bottom w:w="75" w:type="dxa"/>
              <w:left w:w="85" w:type="dxa"/>
              <w:right w:w="85" w:type="dxa"/>
            </w:tcMar>
          </w:tcPr>
          <w:p w:rsidR="00000000" w:rsidDel="00000000" w:rsidP="00000000" w:rsidRDefault="00000000" w:rsidRPr="00000000" w14:paraId="000000FC">
            <w:pPr>
              <w:keepNext/>
              <w:keepLines/>
              <w:spacing w:after="0" w:before="0" w:line="252" w:lineRule="auto"/>
              <w:rPr/>
            </w:pPr>
            <w:r w:rsidDel="00000000" w:rsidR="00000000" w:rsidRPr="00000000">
              <w:rPr>
                <w:rFonts w:ascii="Arial" w:hAnsi="Arial"/>
                <w:b/>
                <w:bCs w:val="1"/>
                <w:color w:val="000000"/>
                <w:sz w:val="19"/>
                <w:szCs w:val="19"/>
                <w:rtl w:val="0"/>
              </w:rPr>
              <w:t xml:space="preserve">Mode</w:t>
            </w:r>
            <w:r w:rsidDel="00000000" w:rsidR="00000000" w:rsidRPr="00000000">
              <w:rPr>
                <w:rFonts w:ascii="Arial" w:hAnsi="Arial"/>
                <w:b/>
                <w:color w:val="000000"/>
                <w:sz w:val="19"/>
                <w:rtl w:val="0"/>
              </w:rPr>
            </w:r>
          </w:p>
        </w:tc>
        <w:tc>
          <w:tcPr>
            <w:tcW w:type="dxa" w:w="1134"/>
            <w:vAlign w:val="center"/>
            <w:shd w:fill="DCE6EF"/>
            <w:tcMar>
              <w:top w:w="75" w:type="dxa"/>
              <w:bottom w:w="75" w:type="dxa"/>
              <w:left w:w="85" w:type="dxa"/>
              <w:right w:w="85" w:type="dxa"/>
            </w:tcMar>
          </w:tcPr>
          <w:p w:rsidR="00000000" w:rsidDel="00000000" w:rsidP="00000000" w:rsidRDefault="00000000" w:rsidRPr="00000000" w14:paraId="000000FD">
            <w:pPr>
              <w:keepNext/>
              <w:keepLines/>
              <w:spacing w:after="0" w:before="0" w:line="252" w:lineRule="auto"/>
              <w:jc w:val="center"/>
              <w:rPr/>
            </w:pPr>
            <w:r w:rsidDel="00000000" w:rsidR="00000000" w:rsidRPr="00000000">
              <w:rPr>
                <w:rFonts w:ascii="Arial" w:hAnsi="Arial"/>
                <w:b/>
                <w:bCs w:val="1"/>
                <w:color w:val="000000"/>
                <w:sz w:val="19"/>
                <w:szCs w:val="19"/>
                <w:rtl w:val="0"/>
              </w:rPr>
              <w:t xml:space="preserve">VLAN</w:t>
            </w:r>
            <w:r w:rsidDel="00000000" w:rsidR="00000000" w:rsidRPr="00000000">
              <w:rPr>
                <w:rFonts w:ascii="Arial" w:hAnsi="Arial"/>
                <w:b/>
                <w:color w:val="000000"/>
                <w:sz w:val="19"/>
                <w:rtl w:val="0"/>
              </w:rPr>
            </w:r>
          </w:p>
        </w:tc>
        <w:tc>
          <w:tcPr>
            <w:tcW w:type="dxa" w:w="6286"/>
            <w:vAlign w:val="center"/>
            <w:shd w:fill="DCE6EF"/>
            <w:tcMar>
              <w:top w:w="75" w:type="dxa"/>
              <w:bottom w:w="75" w:type="dxa"/>
              <w:left w:w="85" w:type="dxa"/>
              <w:right w:w="85" w:type="dxa"/>
            </w:tcMar>
          </w:tcPr>
          <w:p w:rsidR="00000000" w:rsidDel="00000000" w:rsidP="00000000" w:rsidRDefault="00000000" w:rsidRPr="00000000" w14:paraId="000000FE">
            <w:pPr>
              <w:keepNext/>
              <w:keepLines/>
              <w:spacing w:after="0" w:before="0" w:line="252" w:lineRule="auto"/>
              <w:rPr/>
            </w:pPr>
            <w:r w:rsidDel="00000000" w:rsidR="00000000" w:rsidRPr="00000000">
              <w:rPr>
                <w:rFonts w:ascii="Arial" w:hAnsi="Arial"/>
                <w:b/>
                <w:bCs w:val="1"/>
                <w:color w:val="000000"/>
                <w:sz w:val="19"/>
                <w:szCs w:val="19"/>
                <w:rtl w:val="0"/>
              </w:rPr>
              <w:t xml:space="preserve">Affectation</w:t>
            </w:r>
            <w:r w:rsidDel="00000000" w:rsidR="00000000" w:rsidRPr="00000000">
              <w:rPr>
                <w:rFonts w:ascii="Arial" w:hAnsi="Arial"/>
                <w:b/>
                <w:color w:val="000000"/>
                <w:sz w:val="19"/>
                <w:rtl w:val="0"/>
              </w:rPr>
            </w:r>
          </w:p>
        </w:tc>
      </w:tr>
      <w:tr>
        <w:trPr>
          <w:cantSplit/>
        </w:trPr>
        <w:tc>
          <w:tcPr>
            <w:tcW w:type="dxa" w:w="1191"/>
            <w:vAlign w:val="center"/>
            <w:shd w:fill="FFFFFF"/>
            <w:tcMar>
              <w:top w:w="75" w:type="dxa"/>
              <w:bottom w:w="75" w:type="dxa"/>
              <w:left w:w="85" w:type="dxa"/>
              <w:right w:w="85" w:type="dxa"/>
            </w:tcMar>
          </w:tcPr>
          <w:p w:rsidR="00000000" w:rsidDel="00000000" w:rsidP="00000000" w:rsidRDefault="00000000" w:rsidRPr="00000000" w14:paraId="000000FF">
            <w:pPr>
              <w:keepNext/>
              <w:keepLines/>
              <w:spacing w:after="0" w:before="0" w:line="252" w:lineRule="auto"/>
              <w:jc w:val="center"/>
              <w:rPr/>
            </w:pPr>
            <w:r w:rsidDel="00000000" w:rsidR="00000000" w:rsidRPr="00000000">
              <w:rPr>
                <w:rFonts w:ascii="Arial" w:hAnsi="Arial"/>
                <w:b w:val="0"/>
                <w:bCs w:val="0"/>
                <w:color w:val="000000"/>
                <w:sz w:val="19"/>
                <w:szCs w:val="19"/>
                <w:rtl w:val="0"/>
              </w:rPr>
              <w:t xml:space="preserve">1 à 4</w:t>
            </w:r>
            <w:r w:rsidDel="00000000" w:rsidR="00000000" w:rsidRPr="00000000">
              <w:rPr>
                <w:rFonts w:ascii="Arial" w:hAnsi="Arial"/>
                <w:b w:val="0"/>
                <w:color w:val="000000"/>
                <w:sz w:val="19"/>
                <w:rtl w:val="0"/>
              </w:rPr>
            </w:r>
          </w:p>
        </w:tc>
        <w:tc>
          <w:tcPr>
            <w:tcW w:type="dxa" w:w="1757"/>
            <w:vAlign w:val="center"/>
            <w:shd w:fill="FFFFFF"/>
            <w:tcMar>
              <w:top w:w="75" w:type="dxa"/>
              <w:bottom w:w="75" w:type="dxa"/>
              <w:left w:w="85" w:type="dxa"/>
              <w:right w:w="85" w:type="dxa"/>
            </w:tcMar>
          </w:tcPr>
          <w:p w:rsidR="00000000" w:rsidDel="00000000" w:rsidP="00000000" w:rsidRDefault="00000000" w:rsidRPr="00000000" w14:paraId="00000100">
            <w:pPr>
              <w:keepNext/>
              <w:keepLines/>
              <w:spacing w:after="0" w:before="0" w:line="252" w:lineRule="auto"/>
              <w:rPr/>
            </w:pPr>
            <w:r w:rsidDel="00000000" w:rsidR="00000000" w:rsidRPr="00000000">
              <w:rPr>
                <w:rFonts w:ascii="Arial" w:hAnsi="Arial"/>
                <w:b w:val="0"/>
                <w:bCs w:val="0"/>
                <w:color w:val="000000"/>
                <w:sz w:val="19"/>
                <w:szCs w:val="19"/>
                <w:rtl w:val="0"/>
              </w:rPr>
              <w:t xml:space="preserve">Accès</w:t>
            </w:r>
            <w:r w:rsidDel="00000000" w:rsidR="00000000" w:rsidRPr="00000000">
              <w:rPr>
                <w:rFonts w:ascii="Arial" w:hAnsi="Arial"/>
                <w:b w:val="0"/>
                <w:color w:val="000000"/>
                <w:sz w:val="19"/>
                <w:rtl w:val="0"/>
              </w:rPr>
            </w:r>
          </w:p>
        </w:tc>
        <w:tc>
          <w:tcPr>
            <w:tcW w:type="dxa" w:w="1134"/>
            <w:vAlign w:val="center"/>
            <w:shd w:fill="FFFFFF"/>
            <w:tcMar>
              <w:top w:w="75" w:type="dxa"/>
              <w:bottom w:w="75" w:type="dxa"/>
              <w:left w:w="85" w:type="dxa"/>
              <w:right w:w="85" w:type="dxa"/>
            </w:tcMar>
          </w:tcPr>
          <w:p w:rsidR="00000000" w:rsidDel="00000000" w:rsidP="00000000" w:rsidRDefault="00000000" w:rsidRPr="00000000" w14:paraId="00000101">
            <w:pPr>
              <w:keepNext/>
              <w:keepLines/>
              <w:spacing w:after="0" w:before="0" w:line="252" w:lineRule="auto"/>
              <w:jc w:val="center"/>
              <w:rPr/>
            </w:pPr>
            <w:r w:rsidDel="00000000" w:rsidR="00000000" w:rsidRPr="00000000">
              <w:rPr>
                <w:rFonts w:ascii="Arial" w:hAnsi="Arial"/>
                <w:b w:val="0"/>
                <w:bCs w:val="0"/>
                <w:color w:val="000000"/>
                <w:sz w:val="19"/>
                <w:szCs w:val="19"/>
                <w:rtl w:val="0"/>
              </w:rPr>
              <w:t xml:space="preserve">10</w:t>
            </w:r>
            <w:r w:rsidDel="00000000" w:rsidR="00000000" w:rsidRPr="00000000">
              <w:rPr>
                <w:rFonts w:ascii="Arial" w:hAnsi="Arial"/>
                <w:b w:val="0"/>
                <w:color w:val="000000"/>
                <w:sz w:val="19"/>
                <w:rtl w:val="0"/>
              </w:rPr>
            </w:r>
          </w:p>
        </w:tc>
        <w:tc>
          <w:tcPr>
            <w:tcW w:type="dxa" w:w="6286"/>
            <w:vAlign w:val="center"/>
            <w:shd w:fill="FFFFFF"/>
            <w:tcMar>
              <w:top w:w="75" w:type="dxa"/>
              <w:bottom w:w="75" w:type="dxa"/>
              <w:left w:w="85" w:type="dxa"/>
              <w:right w:w="85" w:type="dxa"/>
            </w:tcMar>
          </w:tcPr>
          <w:p w:rsidR="00000000" w:rsidDel="00000000" w:rsidP="00000000" w:rsidRDefault="00000000" w:rsidRPr="00000000" w14:paraId="00000102">
            <w:pPr>
              <w:keepNext/>
              <w:keepLines/>
              <w:spacing w:after="0" w:before="0" w:line="252" w:lineRule="auto"/>
              <w:rPr/>
            </w:pPr>
            <w:r w:rsidDel="00000000" w:rsidR="00000000" w:rsidRPr="00000000">
              <w:rPr>
                <w:rFonts w:ascii="Arial" w:hAnsi="Arial"/>
                <w:b w:val="0"/>
                <w:bCs w:val="0"/>
                <w:color w:val="000000"/>
                <w:sz w:val="19"/>
                <w:szCs w:val="19"/>
                <w:rtl w:val="0"/>
              </w:rPr>
              <w:t xml:space="preserve">1 : PC01 ; 2 à 4 libres</w:t>
            </w:r>
            <w:r w:rsidDel="00000000" w:rsidR="00000000" w:rsidRPr="00000000">
              <w:rPr>
                <w:rFonts w:ascii="Arial" w:hAnsi="Arial"/>
                <w:b w:val="0"/>
                <w:color w:val="000000"/>
                <w:sz w:val="19"/>
                <w:rtl w:val="0"/>
              </w:rPr>
            </w:r>
          </w:p>
        </w:tc>
      </w:tr>
      <w:tr>
        <w:trPr>
          <w:cantSplit/>
        </w:trPr>
        <w:tc>
          <w:tcPr>
            <w:tcW w:type="dxa" w:w="1191"/>
            <w:vAlign w:val="center"/>
            <w:shd w:fill="FFFFFF"/>
            <w:tcMar>
              <w:top w:w="75" w:type="dxa"/>
              <w:bottom w:w="75" w:type="dxa"/>
              <w:left w:w="85" w:type="dxa"/>
              <w:right w:w="85" w:type="dxa"/>
            </w:tcMar>
          </w:tcPr>
          <w:p w:rsidR="00000000" w:rsidDel="00000000" w:rsidP="00000000" w:rsidRDefault="00000000" w:rsidRPr="00000000" w14:paraId="00000103">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5 à 9</w:t>
            </w:r>
            <w:r w:rsidDel="00000000" w:rsidR="00000000" w:rsidRPr="00000000">
              <w:rPr>
                <w:rFonts w:ascii="Arial" w:hAnsi="Arial"/>
                <w:b w:val="0"/>
                <w:color w:val="000000"/>
                <w:sz w:val="19"/>
                <w:rtl w:val="0"/>
              </w:rPr>
            </w:r>
          </w:p>
        </w:tc>
        <w:tc>
          <w:tcPr>
            <w:tcW w:type="dxa" w:w="1757"/>
            <w:vAlign w:val="center"/>
            <w:shd w:fill="FFFFFF"/>
            <w:tcMar>
              <w:top w:w="75" w:type="dxa"/>
              <w:bottom w:w="75" w:type="dxa"/>
              <w:left w:w="85" w:type="dxa"/>
              <w:right w:w="85" w:type="dxa"/>
            </w:tcMar>
          </w:tcPr>
          <w:p w:rsidR="00000000" w:rsidDel="00000000" w:rsidP="00000000" w:rsidRDefault="00000000" w:rsidRPr="00000000" w14:paraId="00000104">
            <w:pPr>
              <w:keepNext w:val="0"/>
              <w:keepLines/>
              <w:spacing w:after="0" w:before="0" w:line="252" w:lineRule="auto"/>
              <w:rPr/>
            </w:pPr>
            <w:r w:rsidDel="00000000" w:rsidR="00000000" w:rsidRPr="00000000">
              <w:rPr>
                <w:rFonts w:ascii="Arial" w:hAnsi="Arial"/>
                <w:b w:val="0"/>
                <w:bCs w:val="0"/>
                <w:color w:val="000000"/>
                <w:sz w:val="19"/>
                <w:szCs w:val="19"/>
                <w:rtl w:val="0"/>
              </w:rPr>
              <w:t xml:space="preserve">Accès</w:t>
            </w:r>
            <w:r w:rsidDel="00000000" w:rsidR="00000000" w:rsidRPr="00000000">
              <w:rPr>
                <w:rFonts w:ascii="Arial" w:hAnsi="Arial"/>
                <w:b w:val="0"/>
                <w:color w:val="000000"/>
                <w:sz w:val="19"/>
                <w:rtl w:val="0"/>
              </w:rPr>
            </w:r>
          </w:p>
        </w:tc>
        <w:tc>
          <w:tcPr>
            <w:tcW w:type="dxa" w:w="1134"/>
            <w:vAlign w:val="center"/>
            <w:shd w:fill="FFFFFF"/>
            <w:tcMar>
              <w:top w:w="75" w:type="dxa"/>
              <w:bottom w:w="75" w:type="dxa"/>
              <w:left w:w="85" w:type="dxa"/>
              <w:right w:w="85" w:type="dxa"/>
            </w:tcMar>
          </w:tcPr>
          <w:p w:rsidR="00000000" w:rsidDel="00000000" w:rsidP="00000000" w:rsidRDefault="00000000" w:rsidRPr="00000000" w14:paraId="00000105">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20</w:t>
            </w:r>
            <w:r w:rsidDel="00000000" w:rsidR="00000000" w:rsidRPr="00000000">
              <w:rPr>
                <w:rFonts w:ascii="Arial" w:hAnsi="Arial"/>
                <w:b w:val="0"/>
                <w:color w:val="000000"/>
                <w:sz w:val="19"/>
                <w:rtl w:val="0"/>
              </w:rPr>
            </w:r>
          </w:p>
        </w:tc>
        <w:tc>
          <w:tcPr>
            <w:tcW w:type="dxa" w:w="6286"/>
            <w:vAlign w:val="center"/>
            <w:shd w:fill="FFFFFF"/>
            <w:tcMar>
              <w:top w:w="75" w:type="dxa"/>
              <w:bottom w:w="75" w:type="dxa"/>
              <w:left w:w="85" w:type="dxa"/>
              <w:right w:w="85" w:type="dxa"/>
            </w:tcMar>
          </w:tcPr>
          <w:p w:rsidR="00000000" w:rsidDel="00000000" w:rsidP="00000000" w:rsidRDefault="00000000" w:rsidRPr="00000000" w14:paraId="00000106">
            <w:pPr>
              <w:keepNext w:val="0"/>
              <w:keepLines/>
              <w:spacing w:after="0" w:before="0" w:line="252" w:lineRule="auto"/>
              <w:rPr/>
            </w:pPr>
            <w:r w:rsidDel="00000000" w:rsidR="00000000" w:rsidRPr="00000000">
              <w:rPr>
                <w:rFonts w:ascii="Arial" w:hAnsi="Arial"/>
                <w:b w:val="0"/>
                <w:bCs w:val="0"/>
                <w:color w:val="000000"/>
                <w:sz w:val="19"/>
                <w:szCs w:val="19"/>
                <w:rtl w:val="0"/>
              </w:rPr>
              <w:t xml:space="preserve">5 : PC02 ; 6 à 9 libres</w:t>
            </w:r>
            <w:r w:rsidDel="00000000" w:rsidR="00000000" w:rsidRPr="00000000">
              <w:rPr>
                <w:rFonts w:ascii="Arial" w:hAnsi="Arial"/>
                <w:b w:val="0"/>
                <w:color w:val="000000"/>
                <w:sz w:val="19"/>
                <w:rtl w:val="0"/>
              </w:rPr>
            </w:r>
          </w:p>
        </w:tc>
      </w:tr>
      <w:tr>
        <w:trPr>
          <w:cantSplit/>
        </w:trPr>
        <w:tc>
          <w:tcPr>
            <w:tcW w:type="dxa" w:w="1191"/>
            <w:vAlign w:val="center"/>
            <w:shd w:fill="FFFFFF"/>
            <w:tcMar>
              <w:top w:w="75" w:type="dxa"/>
              <w:bottom w:w="75" w:type="dxa"/>
              <w:left w:w="85" w:type="dxa"/>
              <w:right w:w="85" w:type="dxa"/>
            </w:tcMar>
          </w:tcPr>
          <w:p w:rsidR="00000000" w:rsidDel="00000000" w:rsidP="00000000" w:rsidRDefault="00000000" w:rsidRPr="00000000" w14:paraId="00000107">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10 à 14</w:t>
            </w:r>
            <w:r w:rsidDel="00000000" w:rsidR="00000000" w:rsidRPr="00000000">
              <w:rPr>
                <w:rFonts w:ascii="Arial" w:hAnsi="Arial"/>
                <w:b w:val="0"/>
                <w:color w:val="000000"/>
                <w:sz w:val="19"/>
                <w:rtl w:val="0"/>
              </w:rPr>
            </w:r>
          </w:p>
        </w:tc>
        <w:tc>
          <w:tcPr>
            <w:tcW w:type="dxa" w:w="1757"/>
            <w:vAlign w:val="center"/>
            <w:shd w:fill="FFFFFF"/>
            <w:tcMar>
              <w:top w:w="75" w:type="dxa"/>
              <w:bottom w:w="75" w:type="dxa"/>
              <w:left w:w="85" w:type="dxa"/>
              <w:right w:w="85" w:type="dxa"/>
            </w:tcMar>
          </w:tcPr>
          <w:p w:rsidR="00000000" w:rsidDel="00000000" w:rsidP="00000000" w:rsidRDefault="00000000" w:rsidRPr="00000000" w14:paraId="00000108">
            <w:pPr>
              <w:keepNext w:val="0"/>
              <w:keepLines/>
              <w:spacing w:after="0" w:before="0" w:line="252" w:lineRule="auto"/>
              <w:rPr/>
            </w:pPr>
            <w:r w:rsidDel="00000000" w:rsidR="00000000" w:rsidRPr="00000000">
              <w:rPr>
                <w:rFonts w:ascii="Arial" w:hAnsi="Arial"/>
                <w:b w:val="0"/>
                <w:bCs w:val="0"/>
                <w:color w:val="000000"/>
                <w:sz w:val="19"/>
                <w:szCs w:val="19"/>
                <w:rtl w:val="0"/>
              </w:rPr>
              <w:t xml:space="preserve">Accès</w:t>
            </w:r>
            <w:r w:rsidDel="00000000" w:rsidR="00000000" w:rsidRPr="00000000">
              <w:rPr>
                <w:rFonts w:ascii="Arial" w:hAnsi="Arial"/>
                <w:b w:val="0"/>
                <w:color w:val="000000"/>
                <w:sz w:val="19"/>
                <w:rtl w:val="0"/>
              </w:rPr>
            </w:r>
          </w:p>
        </w:tc>
        <w:tc>
          <w:tcPr>
            <w:tcW w:type="dxa" w:w="1134"/>
            <w:vAlign w:val="center"/>
            <w:shd w:fill="FFFFFF"/>
            <w:tcMar>
              <w:top w:w="75" w:type="dxa"/>
              <w:bottom w:w="75" w:type="dxa"/>
              <w:left w:w="85" w:type="dxa"/>
              <w:right w:w="85" w:type="dxa"/>
            </w:tcMar>
          </w:tcPr>
          <w:p w:rsidR="00000000" w:rsidDel="00000000" w:rsidP="00000000" w:rsidRDefault="00000000" w:rsidRPr="00000000" w14:paraId="00000109">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30</w:t>
            </w:r>
            <w:r w:rsidDel="00000000" w:rsidR="00000000" w:rsidRPr="00000000">
              <w:rPr>
                <w:rFonts w:ascii="Arial" w:hAnsi="Arial"/>
                <w:b w:val="0"/>
                <w:color w:val="000000"/>
                <w:sz w:val="19"/>
                <w:rtl w:val="0"/>
              </w:rPr>
            </w:r>
          </w:p>
        </w:tc>
        <w:tc>
          <w:tcPr>
            <w:tcW w:type="dxa" w:w="6286"/>
            <w:vAlign w:val="center"/>
            <w:shd w:fill="FFFFFF"/>
            <w:tcMar>
              <w:top w:w="75" w:type="dxa"/>
              <w:bottom w:w="75" w:type="dxa"/>
              <w:left w:w="85" w:type="dxa"/>
              <w:right w:w="85" w:type="dxa"/>
            </w:tcMar>
          </w:tcPr>
          <w:p w:rsidR="00000000" w:rsidDel="00000000" w:rsidP="00000000" w:rsidRDefault="00000000" w:rsidRPr="00000000" w14:paraId="0000010A">
            <w:pPr>
              <w:keepNext w:val="0"/>
              <w:keepLines/>
              <w:spacing w:after="0" w:before="0" w:line="252" w:lineRule="auto"/>
              <w:rPr/>
            </w:pPr>
            <w:r w:rsidDel="00000000" w:rsidR="00000000" w:rsidRPr="00000000">
              <w:rPr>
                <w:rFonts w:ascii="Arial" w:hAnsi="Arial"/>
                <w:b w:val="0"/>
                <w:bCs w:val="0"/>
                <w:color w:val="000000"/>
                <w:sz w:val="19"/>
                <w:szCs w:val="19"/>
                <w:rtl w:val="0"/>
              </w:rPr>
              <w:t xml:space="preserve">10 : AP1 ; 11 à 14 libres</w:t>
            </w:r>
            <w:r w:rsidDel="00000000" w:rsidR="00000000" w:rsidRPr="00000000">
              <w:rPr>
                <w:rFonts w:ascii="Arial" w:hAnsi="Arial"/>
                <w:b w:val="0"/>
                <w:color w:val="000000"/>
                <w:sz w:val="19"/>
                <w:rtl w:val="0"/>
              </w:rPr>
            </w:r>
          </w:p>
        </w:tc>
      </w:tr>
      <w:tr>
        <w:trPr>
          <w:cantSplit/>
        </w:trPr>
        <w:tc>
          <w:tcPr>
            <w:tcW w:type="dxa" w:w="1191"/>
            <w:vAlign w:val="center"/>
            <w:shd w:fill="FFFFFF"/>
            <w:tcMar>
              <w:top w:w="75" w:type="dxa"/>
              <w:bottom w:w="75" w:type="dxa"/>
              <w:left w:w="85" w:type="dxa"/>
              <w:right w:w="85" w:type="dxa"/>
            </w:tcMar>
          </w:tcPr>
          <w:p w:rsidR="00000000" w:rsidDel="00000000" w:rsidP="00000000" w:rsidRDefault="00000000" w:rsidRPr="00000000" w14:paraId="0000010B">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15 à 18</w:t>
            </w:r>
            <w:r w:rsidDel="00000000" w:rsidR="00000000" w:rsidRPr="00000000">
              <w:rPr>
                <w:rFonts w:ascii="Arial" w:hAnsi="Arial"/>
                <w:b w:val="0"/>
                <w:color w:val="000000"/>
                <w:sz w:val="19"/>
                <w:rtl w:val="0"/>
              </w:rPr>
            </w:r>
          </w:p>
        </w:tc>
        <w:tc>
          <w:tcPr>
            <w:tcW w:type="dxa" w:w="1757"/>
            <w:vAlign w:val="center"/>
            <w:shd w:fill="FFFFFF"/>
            <w:tcMar>
              <w:top w:w="75" w:type="dxa"/>
              <w:bottom w:w="75" w:type="dxa"/>
              <w:left w:w="85" w:type="dxa"/>
              <w:right w:w="85" w:type="dxa"/>
            </w:tcMar>
          </w:tcPr>
          <w:p w:rsidR="00000000" w:rsidDel="00000000" w:rsidP="00000000" w:rsidRDefault="00000000" w:rsidRPr="00000000" w14:paraId="0000010C">
            <w:pPr>
              <w:keepNext w:val="0"/>
              <w:keepLines/>
              <w:spacing w:after="0" w:before="0" w:line="252" w:lineRule="auto"/>
              <w:rPr/>
            </w:pPr>
            <w:r w:rsidDel="00000000" w:rsidR="00000000" w:rsidRPr="00000000">
              <w:rPr>
                <w:rFonts w:ascii="Arial" w:hAnsi="Arial"/>
                <w:b w:val="0"/>
                <w:bCs w:val="0"/>
                <w:color w:val="000000"/>
                <w:sz w:val="19"/>
                <w:szCs w:val="19"/>
                <w:rtl w:val="0"/>
              </w:rPr>
              <w:t xml:space="preserve">Accès</w:t>
            </w:r>
            <w:r w:rsidDel="00000000" w:rsidR="00000000" w:rsidRPr="00000000">
              <w:rPr>
                <w:rFonts w:ascii="Arial" w:hAnsi="Arial"/>
                <w:b w:val="0"/>
                <w:color w:val="000000"/>
                <w:sz w:val="19"/>
                <w:rtl w:val="0"/>
              </w:rPr>
            </w:r>
          </w:p>
        </w:tc>
        <w:tc>
          <w:tcPr>
            <w:tcW w:type="dxa" w:w="1134"/>
            <w:vAlign w:val="center"/>
            <w:shd w:fill="FFFFFF"/>
            <w:tcMar>
              <w:top w:w="75" w:type="dxa"/>
              <w:bottom w:w="75" w:type="dxa"/>
              <w:left w:w="85" w:type="dxa"/>
              <w:right w:w="85" w:type="dxa"/>
            </w:tcMar>
          </w:tcPr>
          <w:p w:rsidR="00000000" w:rsidDel="00000000" w:rsidP="00000000" w:rsidRDefault="00000000" w:rsidRPr="00000000" w14:paraId="0000010D">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40</w:t>
            </w:r>
            <w:r w:rsidDel="00000000" w:rsidR="00000000" w:rsidRPr="00000000">
              <w:rPr>
                <w:rFonts w:ascii="Arial" w:hAnsi="Arial"/>
                <w:b w:val="0"/>
                <w:color w:val="000000"/>
                <w:sz w:val="19"/>
                <w:rtl w:val="0"/>
              </w:rPr>
            </w:r>
          </w:p>
        </w:tc>
        <w:tc>
          <w:tcPr>
            <w:tcW w:type="dxa" w:w="6286"/>
            <w:vAlign w:val="center"/>
            <w:shd w:fill="FFFFFF"/>
            <w:tcMar>
              <w:top w:w="75" w:type="dxa"/>
              <w:bottom w:w="75" w:type="dxa"/>
              <w:left w:w="85" w:type="dxa"/>
              <w:right w:w="85" w:type="dxa"/>
            </w:tcMar>
          </w:tcPr>
          <w:p w:rsidR="00000000" w:rsidDel="00000000" w:rsidP="00000000" w:rsidRDefault="00000000" w:rsidRPr="00000000" w14:paraId="0000010E">
            <w:pPr>
              <w:keepNext w:val="0"/>
              <w:keepLines/>
              <w:spacing w:after="0" w:before="0" w:line="252" w:lineRule="auto"/>
              <w:rPr/>
            </w:pPr>
            <w:r w:rsidDel="00000000" w:rsidR="00000000" w:rsidRPr="00000000">
              <w:rPr>
                <w:rFonts w:ascii="Arial" w:hAnsi="Arial"/>
                <w:b w:val="0"/>
                <w:bCs w:val="0"/>
                <w:color w:val="000000"/>
                <w:sz w:val="19"/>
                <w:szCs w:val="19"/>
                <w:rtl w:val="0"/>
              </w:rPr>
              <w:t xml:space="preserve">15 : PC03 ; 16 à 18 libres</w:t>
            </w:r>
            <w:r w:rsidDel="00000000" w:rsidR="00000000" w:rsidRPr="00000000">
              <w:rPr>
                <w:rFonts w:ascii="Arial" w:hAnsi="Arial"/>
                <w:b w:val="0"/>
                <w:color w:val="000000"/>
                <w:sz w:val="19"/>
                <w:rtl w:val="0"/>
              </w:rPr>
            </w:r>
          </w:p>
        </w:tc>
      </w:tr>
      <w:tr>
        <w:trPr>
          <w:cantSplit/>
        </w:trPr>
        <w:tc>
          <w:tcPr>
            <w:tcW w:type="dxa" w:w="1191"/>
            <w:vAlign w:val="center"/>
            <w:shd w:fill="FFFFFF"/>
            <w:tcMar>
              <w:top w:w="75" w:type="dxa"/>
              <w:bottom w:w="75" w:type="dxa"/>
              <w:left w:w="85" w:type="dxa"/>
              <w:right w:w="85" w:type="dxa"/>
            </w:tcMar>
          </w:tcPr>
          <w:p w:rsidR="00000000" w:rsidDel="00000000" w:rsidP="00000000" w:rsidRDefault="00000000" w:rsidRPr="00000000" w14:paraId="0000010F">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19 à 23</w:t>
            </w:r>
            <w:r w:rsidDel="00000000" w:rsidR="00000000" w:rsidRPr="00000000">
              <w:rPr>
                <w:rFonts w:ascii="Arial" w:hAnsi="Arial"/>
                <w:b w:val="0"/>
                <w:color w:val="000000"/>
                <w:sz w:val="19"/>
                <w:rtl w:val="0"/>
              </w:rPr>
            </w:r>
          </w:p>
        </w:tc>
        <w:tc>
          <w:tcPr>
            <w:tcW w:type="dxa" w:w="1757"/>
            <w:vAlign w:val="center"/>
            <w:shd w:fill="FFFFFF"/>
            <w:tcMar>
              <w:top w:w="75" w:type="dxa"/>
              <w:bottom w:w="75" w:type="dxa"/>
              <w:left w:w="85" w:type="dxa"/>
              <w:right w:w="85" w:type="dxa"/>
            </w:tcMar>
          </w:tcPr>
          <w:p w:rsidR="00000000" w:rsidDel="00000000" w:rsidP="00000000" w:rsidRDefault="00000000" w:rsidRPr="00000000" w14:paraId="00000110">
            <w:pPr>
              <w:keepNext w:val="0"/>
              <w:keepLines/>
              <w:spacing w:after="0" w:before="0" w:line="252" w:lineRule="auto"/>
              <w:rPr/>
            </w:pPr>
            <w:r w:rsidDel="00000000" w:rsidR="00000000" w:rsidRPr="00000000">
              <w:rPr>
                <w:rFonts w:ascii="Arial" w:hAnsi="Arial"/>
                <w:b w:val="0"/>
                <w:bCs w:val="0"/>
                <w:color w:val="000000"/>
                <w:sz w:val="19"/>
                <w:szCs w:val="19"/>
                <w:rtl w:val="0"/>
              </w:rPr>
              <w:t xml:space="preserve">Accès</w:t>
            </w:r>
            <w:r w:rsidDel="00000000" w:rsidR="00000000" w:rsidRPr="00000000">
              <w:rPr>
                <w:rFonts w:ascii="Arial" w:hAnsi="Arial"/>
                <w:b w:val="0"/>
                <w:color w:val="000000"/>
                <w:sz w:val="19"/>
                <w:rtl w:val="0"/>
              </w:rPr>
            </w:r>
          </w:p>
        </w:tc>
        <w:tc>
          <w:tcPr>
            <w:tcW w:type="dxa" w:w="1134"/>
            <w:vAlign w:val="center"/>
            <w:shd w:fill="FFFFFF"/>
            <w:tcMar>
              <w:top w:w="75" w:type="dxa"/>
              <w:bottom w:w="75" w:type="dxa"/>
              <w:left w:w="85" w:type="dxa"/>
              <w:right w:w="85" w:type="dxa"/>
            </w:tcMar>
          </w:tcPr>
          <w:p w:rsidR="00000000" w:rsidDel="00000000" w:rsidP="00000000" w:rsidRDefault="00000000" w:rsidRPr="00000000" w14:paraId="00000111">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50</w:t>
            </w:r>
            <w:r w:rsidDel="00000000" w:rsidR="00000000" w:rsidRPr="00000000">
              <w:rPr>
                <w:rFonts w:ascii="Arial" w:hAnsi="Arial"/>
                <w:b w:val="0"/>
                <w:color w:val="000000"/>
                <w:sz w:val="19"/>
                <w:rtl w:val="0"/>
              </w:rPr>
            </w:r>
          </w:p>
        </w:tc>
        <w:tc>
          <w:tcPr>
            <w:tcW w:type="dxa" w:w="6286"/>
            <w:vAlign w:val="center"/>
            <w:shd w:fill="FFFFFF"/>
            <w:tcMar>
              <w:top w:w="75" w:type="dxa"/>
              <w:bottom w:w="75" w:type="dxa"/>
              <w:left w:w="85" w:type="dxa"/>
              <w:right w:w="85" w:type="dxa"/>
            </w:tcMar>
          </w:tcPr>
          <w:p w:rsidR="00000000" w:rsidDel="00000000" w:rsidP="00000000" w:rsidRDefault="00000000" w:rsidRPr="00000000" w14:paraId="00000112">
            <w:pPr>
              <w:keepNext w:val="0"/>
              <w:keepLines/>
              <w:spacing w:after="0" w:before="0" w:line="252" w:lineRule="auto"/>
              <w:rPr/>
            </w:pPr>
            <w:r w:rsidDel="00000000" w:rsidR="00000000" w:rsidRPr="00000000">
              <w:rPr>
                <w:rFonts w:ascii="Arial" w:hAnsi="Arial"/>
                <w:b w:val="0"/>
                <w:bCs w:val="0"/>
                <w:color w:val="000000"/>
                <w:sz w:val="19"/>
                <w:szCs w:val="19"/>
                <w:rtl w:val="0"/>
              </w:rPr>
              <w:t xml:space="preserve">23 : PC04 ; 19 à 22 libres</w:t>
            </w:r>
            <w:r w:rsidDel="00000000" w:rsidR="00000000" w:rsidRPr="00000000">
              <w:rPr>
                <w:rFonts w:ascii="Arial" w:hAnsi="Arial"/>
                <w:b w:val="0"/>
                <w:color w:val="000000"/>
                <w:sz w:val="19"/>
                <w:rtl w:val="0"/>
              </w:rPr>
            </w:r>
          </w:p>
        </w:tc>
      </w:tr>
      <w:tr>
        <w:trPr>
          <w:cantSplit/>
        </w:trPr>
        <w:tc>
          <w:tcPr>
            <w:tcW w:type="dxa" w:w="1191"/>
            <w:vAlign w:val="center"/>
            <w:shd w:fill="FFFFFF"/>
            <w:tcMar>
              <w:top w:w="75" w:type="dxa"/>
              <w:bottom w:w="75" w:type="dxa"/>
              <w:left w:w="85" w:type="dxa"/>
              <w:right w:w="85" w:type="dxa"/>
            </w:tcMar>
          </w:tcPr>
          <w:p w:rsidR="00000000" w:rsidDel="00000000" w:rsidP="00000000" w:rsidRDefault="00000000" w:rsidRPr="00000000" w14:paraId="00000113">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24</w:t>
            </w:r>
            <w:r w:rsidDel="00000000" w:rsidR="00000000" w:rsidRPr="00000000">
              <w:rPr>
                <w:rFonts w:ascii="Arial" w:hAnsi="Arial"/>
                <w:b w:val="0"/>
                <w:color w:val="000000"/>
                <w:sz w:val="19"/>
                <w:rtl w:val="0"/>
              </w:rPr>
            </w:r>
          </w:p>
        </w:tc>
        <w:tc>
          <w:tcPr>
            <w:tcW w:type="dxa" w:w="1757"/>
            <w:vAlign w:val="center"/>
            <w:shd w:fill="FFFFFF"/>
            <w:tcMar>
              <w:top w:w="75" w:type="dxa"/>
              <w:bottom w:w="75" w:type="dxa"/>
              <w:left w:w="85" w:type="dxa"/>
              <w:right w:w="85" w:type="dxa"/>
            </w:tcMar>
          </w:tcPr>
          <w:p w:rsidR="00000000" w:rsidDel="00000000" w:rsidP="00000000" w:rsidRDefault="00000000" w:rsidRPr="00000000" w14:paraId="00000114">
            <w:pPr>
              <w:keepNext w:val="0"/>
              <w:keepLines/>
              <w:spacing w:after="0" w:before="0" w:line="252" w:lineRule="auto"/>
              <w:rPr/>
            </w:pPr>
            <w:r w:rsidDel="00000000" w:rsidR="00000000" w:rsidRPr="00000000">
              <w:rPr>
                <w:rFonts w:ascii="Arial" w:hAnsi="Arial"/>
                <w:b w:val="0"/>
                <w:bCs w:val="0"/>
                <w:color w:val="000000"/>
                <w:sz w:val="19"/>
                <w:szCs w:val="19"/>
                <w:rtl w:val="0"/>
              </w:rPr>
              <w:t xml:space="preserve">Routé L3</w:t>
            </w:r>
            <w:r w:rsidDel="00000000" w:rsidR="00000000" w:rsidRPr="00000000">
              <w:rPr>
                <w:rFonts w:ascii="Arial" w:hAnsi="Arial"/>
                <w:b w:val="0"/>
                <w:color w:val="000000"/>
                <w:sz w:val="19"/>
                <w:rtl w:val="0"/>
              </w:rPr>
            </w:r>
          </w:p>
        </w:tc>
        <w:tc>
          <w:tcPr>
            <w:tcW w:type="dxa" w:w="1134"/>
            <w:vAlign w:val="center"/>
            <w:shd w:fill="FFFFFF"/>
            <w:tcMar>
              <w:top w:w="75" w:type="dxa"/>
              <w:bottom w:w="75" w:type="dxa"/>
              <w:left w:w="85" w:type="dxa"/>
              <w:right w:w="85" w:type="dxa"/>
            </w:tcMar>
          </w:tcPr>
          <w:p w:rsidR="00000000" w:rsidDel="00000000" w:rsidP="00000000" w:rsidRDefault="00000000" w:rsidRPr="00000000" w14:paraId="00000115">
            <w:pPr>
              <w:keepNext w:val="0"/>
              <w:keepLines/>
              <w:spacing w:after="0" w:before="0" w:line="252" w:lineRule="auto"/>
              <w:jc w:val="center"/>
              <w:rPr/>
            </w:pPr>
            <w:r w:rsidDel="00000000" w:rsidR="00000000" w:rsidRPr="00000000">
              <w:rPr>
                <w:rFonts w:ascii="Arial" w:hAnsi="Arial"/>
                <w:b w:val="0"/>
                <w:bCs w:val="0"/>
                <w:color w:val="000000"/>
                <w:sz w:val="19"/>
                <w:szCs w:val="19"/>
                <w:rtl w:val="0"/>
              </w:rPr>
              <w:t xml:space="preserve">Sans objet</w:t>
            </w:r>
            <w:r w:rsidDel="00000000" w:rsidR="00000000" w:rsidRPr="00000000">
              <w:rPr>
                <w:rFonts w:ascii="Arial" w:hAnsi="Arial"/>
                <w:b w:val="0"/>
                <w:color w:val="000000"/>
                <w:sz w:val="19"/>
                <w:rtl w:val="0"/>
              </w:rPr>
            </w:r>
          </w:p>
        </w:tc>
        <w:tc>
          <w:tcPr>
            <w:tcW w:type="dxa" w:w="6286"/>
            <w:vAlign w:val="center"/>
            <w:shd w:fill="FFFFFF"/>
            <w:tcMar>
              <w:top w:w="75" w:type="dxa"/>
              <w:bottom w:w="75" w:type="dxa"/>
              <w:left w:w="85" w:type="dxa"/>
              <w:right w:w="85" w:type="dxa"/>
            </w:tcMar>
          </w:tcPr>
          <w:p w:rsidR="00000000" w:rsidDel="00000000" w:rsidP="00000000" w:rsidRDefault="00000000" w:rsidRPr="00000000" w14:paraId="00000116">
            <w:pPr>
              <w:keepNext w:val="0"/>
              <w:keepLines/>
              <w:spacing w:after="0" w:before="0" w:line="252" w:lineRule="auto"/>
              <w:rPr/>
            </w:pPr>
            <w:r w:rsidDel="00000000" w:rsidR="00000000" w:rsidRPr="00000000">
              <w:rPr>
                <w:rFonts w:ascii="Arial" w:hAnsi="Arial"/>
                <w:b w:val="0"/>
                <w:bCs w:val="0"/>
                <w:color w:val="000000"/>
                <w:sz w:val="19"/>
                <w:szCs w:val="19"/>
                <w:rtl w:val="0"/>
              </w:rPr>
              <w:t xml:space="preserve">FW1 e0/2 ; SW1 10.0.10.253/29</w:t>
            </w:r>
            <w:r w:rsidDel="00000000" w:rsidR="00000000" w:rsidRPr="00000000">
              <w:rPr>
                <w:rFonts w:ascii="Arial" w:hAnsi="Arial"/>
                <w:b w:val="0"/>
                <w:color w:val="000000"/>
                <w:sz w:val="19"/>
                <w:rtl w:val="0"/>
              </w:rPr>
            </w:r>
          </w:p>
        </w:tc>
      </w:tr>
    </w:tbl>
    <w:p w:rsidR="00000000" w:rsidDel="00000000" w:rsidP="00000000" w:rsidRDefault="00000000" w:rsidRPr="00000000" w14:paraId="00000117">
      <w:pPr>
        <w:spacing w:after="120" w:line="259" w:lineRule="auto" w:before="120"/>
        <w:rPr/>
      </w:pPr>
      <w:r w:rsidDel="00000000" w:rsidR="00000000" w:rsidRPr="00000000">
        <w:rPr>
          <w:rFonts w:ascii="Arial" w:hAnsi="Arial"/>
          <w:sz w:val="21"/>
          <w:rtl w:val="0"/>
        </w:rPr>
      </w:r>
    </w:p>
    <w:p w:rsidR="00000000" w:rsidDel="00000000" w:rsidP="00000000" w:rsidRDefault="00000000" w:rsidRPr="00000000" w14:paraId="00000118">
      <w:pPr>
        <w:pStyle w:val="Heading2"/>
        <w:keepNext/>
        <w:pageBreakBefore w:val="0"/>
        <w:rPr/>
      </w:pPr>
      <w:r>
        <w:rPr>
          <w:color w:val="000000"/>
        </w:rPr>
        <w:t>État du switch Zyxel SW2</w:t>
      </w:r>
    </w:p>
    <w:tbl>
      <w:tblPr>
        <w:tblStyle w:val="Table10"/>
        <w:tblW w:w="10368.000000000002" w:type="dxa"/>
        <w:jc w:val="center"/>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268"/>
        <w:gridCol w:w="6399"/>
        <w:tblGridChange w:id="0">
          <w:tblGrid>
            <w:gridCol w:w="1008"/>
            <w:gridCol w:w="3528"/>
            <w:gridCol w:w="5832"/>
          </w:tblGrid>
        </w:tblGridChange>
      </w:tblGrid>
      <w:tr>
        <w:trPr>
          <w:cantSplit/>
          <w:tblHeader/>
        </w:trPr>
        <w:tc>
          <w:tcPr>
            <w:tcW w:type="dxa" w:w="1701"/>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Équipement</w:t>
            </w:r>
          </w:p>
        </w:tc>
        <w:tc>
          <w:tcPr>
            <w:tcW w:type="dxa" w:w="2268"/>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État</w:t>
            </w:r>
          </w:p>
        </w:tc>
        <w:tc>
          <w:tcPr>
            <w:tcW w:type="dxa" w:w="6399"/>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Consigne</w:t>
            </w:r>
          </w:p>
        </w:tc>
      </w:tr>
      <w:tr>
        <w:trPr>
          <w:cantSplit/>
        </w:trPr>
        <w:tc>
          <w:tcPr>
            <w:tcW w:type="dxa" w:w="1701"/>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SW2 Zyxel</w:t>
            </w:r>
          </w:p>
        </w:tc>
        <w:tc>
          <w:tcPr>
            <w:tcW w:type="dxa" w:w="2268"/>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En réserve, non raccordé</w:t>
            </w:r>
          </w:p>
        </w:tc>
        <w:tc>
          <w:tcPr>
            <w:tcW w:type="dxa" w:w="6399"/>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Aucune configuration requise dans cette architecture ; conserver sa configuration sauvegardée.</w:t>
            </w:r>
          </w:p>
        </w:tc>
      </w:tr>
    </w:tbl>
    <w:p w:rsidR="00000000" w:rsidDel="00000000" w:rsidP="00000000" w:rsidRDefault="00000000" w:rsidRPr="00000000" w14:paraId="00000125">
      <w:pPr>
        <w:spacing w:after="120" w:line="259" w:lineRule="auto" w:before="120"/>
        <w:rPr/>
      </w:pPr>
      <w:r w:rsidDel="00000000" w:rsidR="00000000" w:rsidRPr="00000000">
        <w:rPr>
          <w:rFonts w:ascii="Arial" w:hAnsi="Arial"/>
          <w:sz w:val="21"/>
          <w:rtl w:val="0"/>
        </w:rPr>
      </w:r>
    </w:p>
    <w:p w:rsidR="00000000" w:rsidDel="00000000" w:rsidP="00000000" w:rsidRDefault="00000000" w:rsidRPr="00000000" w14:paraId="00000126">
      <w:pPr>
        <w:spacing w:after="120" w:line="259" w:lineRule="auto"/>
        <w:rPr/>
      </w:pPr>
      <w:r>
        <w:rPr>
          <w:rFonts w:ascii="Arial" w:hAnsi="Arial"/>
          <w:sz w:val="21"/>
        </w:rPr>
        <w:t>Le retrait de SW2 place le serveur DMZ derrière FW1. Les échanges entre DMZ et amont passent désormais par le pare-feu. Les VM partageant un même pont Proxmox restent dans le même domaine L2 ; leurs échanges locaux nécessitent le pare-feu des hôtes ou de Proxmox.</w:t>
      </w:r>
    </w:p>
    <w:p w:rsidR="00000000" w:rsidDel="00000000" w:rsidP="00000000" w:rsidRDefault="00000000" w:rsidRPr="00000000" w14:paraId="00000127">
      <w:pPr>
        <w:pStyle w:val="Heading2"/>
        <w:keepNext/>
        <w:pageBreakBefore w:val="0"/>
        <w:rPr/>
      </w:pPr>
      <w:r w:rsidDel="00000000" w:rsidR="00000000" w:rsidRPr="00000000">
        <w:rPr>
          <w:color w:val="000000"/>
          <w:rtl w:val="0"/>
        </w:rPr>
        <w:t xml:space="preserve">Gestion des équipements</w:t>
      </w:r>
    </w:p>
    <w:p w:rsidR="00000000" w:rsidDel="00000000" w:rsidP="00000000" w:rsidRDefault="00000000" w:rsidRPr="00000000" w14:paraId="00000128">
      <w:pPr>
        <w:spacing w:after="120" w:line="259" w:lineRule="auto"/>
        <w:rPr/>
      </w:pPr>
      <w:r>
        <w:rPr>
          <w:rFonts w:ascii="Arial" w:hAnsi="Arial"/>
          <w:sz w:val="21"/>
        </w:rPr>
        <w:t>Le VLAN 99 reste réservé à la gestion de SW1 avec l’adresse du schéma 192.168.99.10/24. Aucun port d’accès, trunk, SVI opérationnelle ni route vers ce réseau n’est activé dans la configuration de base. Le lien routé C03 ne transporte pas de VLAN 99 étiqueté.</w:t>
      </w:r>
    </w:p>
    <w:p w:rsidR="00000000" w:rsidDel="00000000" w:rsidP="00000000" w:rsidRDefault="00000000" w:rsidRPr="00000000" w14:paraId="00000129">
      <w:pPr>
        <w:spacing w:after="120" w:line="259" w:lineRule="auto"/>
        <w:rPr/>
      </w:pPr>
      <w:r>
        <w:rPr>
          <w:rFonts w:ascii="Arial" w:hAnsi="Arial"/>
          <w:sz w:val="21"/>
        </w:rPr>
        <w:t>Le dernier schéma ajoute R1 port 5 à 192.168.0.1/24 et FW1 e0/0 à 192.168.1.1/24 pour la gestion locale. Aucun câble permanent ni route vers ces réseaux n’est représenté. PC03 utilise temporairement une liaison directe et une adresse du réseau concerné, comme décrit à la section 8. Depuis le VLAN 40, SW1 reste administrable via 192.168.40.254 ; l’accès à FW1 10.0.10.254 et R1 10.0.0.254 est une possibilité complémentaire à autoriser explicitement.</w:t>
      </w:r>
    </w:p>
    <w:p w:rsidR="00000000" w:rsidDel="00000000" w:rsidP="00000000" w:rsidRDefault="00000000" w:rsidRPr="00000000" w14:paraId="0000012A">
      <w:pPr>
        <w:pStyle w:val="Heading2"/>
        <w:keepNext/>
        <w:pageBreakBefore w:val="0"/>
        <w:rPr/>
      </w:pPr>
      <w:r w:rsidDel="00000000" w:rsidR="00000000" w:rsidRPr="00000000">
        <w:rPr>
          <w:color w:val="000000"/>
          <w:rtl w:val="0"/>
        </w:rPr>
        <w:t xml:space="preserve">Bilan matériel</w:t>
      </w:r>
    </w:p>
    <w:p w:rsidR="00000000" w:rsidDel="00000000" w:rsidP="00000000" w:rsidRDefault="00000000" w:rsidRPr="00000000" w14:paraId="0000012B">
      <w:pPr>
        <w:spacing w:after="120" w:line="259" w:lineRule="auto"/>
        <w:rPr/>
      </w:pPr>
      <w:r>
        <w:rPr>
          <w:rFonts w:ascii="Arial" w:hAnsi="Arial"/>
          <w:sz w:val="21"/>
        </w:rPr>
        <w:t>Le plan utilise huit câbles sur les neuf disponibles. C02 reste en réserve ou peut servir au WAN de R1 si nécessaire. Les trois écrans et trois souris sont affectés aux trois postes clients ; le quatrième clavier reste disponible pour la maintenance.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sz w:val="21"/>
        </w:rPr>
        <w:t>Relever avant installation les modèles, versions, capacités L3 de SW1, noms réels d’interfaces, longueurs des câbles et associations d’alimentation. SW1 doit prendre en charge le routage IP, les SVI, le port routé, le relais DHCP et les ACL. La mention 10 A / 240 V ne suffit pas à identifier une alimentation compatible.</w:t>
      </w:r>
    </w:p>
    <w:p w:rsidR="00000000" w:rsidDel="00000000" w:rsidP="00000000" w:rsidRDefault="00000000" w:rsidRPr="00000000" w14:paraId="0000012E">
      <w:pPr>
        <w:pStyle w:val="Heading1"/>
        <w:keepNext/>
        <w:pageBreakBefore w:val="0"/>
        <w:rPr/>
      </w:pPr>
      <w:r w:rsidDel="00000000" w:rsidR="00000000" w:rsidRPr="00000000">
        <w:rPr>
          <w:color w:val="000000"/>
          <w:rtl w:val="0"/>
        </w:rPr>
        <w:t xml:space="preserve">7 Routage et filtrage</w:t>
      </w:r>
    </w:p>
    <w:p w:rsidR="00000000" w:rsidDel="00000000" w:rsidP="00000000" w:rsidRDefault="00000000" w:rsidRPr="00000000" w14:paraId="0000012F">
      <w:pPr>
        <w:pStyle w:val="Heading2"/>
        <w:keepNext/>
        <w:pageBreakBefore w:val="0"/>
        <w:rPr/>
      </w:pPr>
      <w:r>
        <w:rPr>
          <w:color w:val="000000"/>
        </w:rPr>
        <w:t>Routes statiques et routes par défaut</w:t>
      </w:r>
    </w:p>
    <w:tbl>
      <w:tblPr>
        <w:tblStyle w:val="Table11"/>
        <w:tblW w:w="10368.0" w:type="dxa"/>
        <w:jc w:val="center"/>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5669"/>
        <w:gridCol w:w="2885"/>
        <w:tblGridChange w:id="0">
          <w:tblGrid>
            <w:gridCol w:w="1944"/>
            <w:gridCol w:w="6120"/>
            <w:gridCol w:w="2304"/>
          </w:tblGrid>
        </w:tblGridChange>
      </w:tblGrid>
      <w:tr>
        <w:trPr>
          <w:cantSplit/>
          <w:tblHeader/>
        </w:trPr>
        <w:tc>
          <w:tcPr>
            <w:tcW w:type="dxa" w:w="1814"/>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Équipement</w:t>
            </w:r>
          </w:p>
        </w:tc>
        <w:tc>
          <w:tcPr>
            <w:tcW w:type="dxa" w:w="5669"/>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Destination</w:t>
            </w:r>
          </w:p>
        </w:tc>
        <w:tc>
          <w:tcPr>
            <w:tcW w:type="dxa" w:w="2885"/>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Prochain saut</w:t>
            </w:r>
          </w:p>
        </w:tc>
      </w:tr>
      <w:tr>
        <w:trPr>
          <w:cantSplit/>
        </w:trPr>
        <w:tc>
          <w:tcPr>
            <w:tcW w:type="dxa" w:w="1814"/>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SW1</w:t>
            </w:r>
          </w:p>
        </w:tc>
        <w:tc>
          <w:tcPr>
            <w:tcW w:type="dxa" w:w="5669"/>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0.0.0.0/0</w:t>
            </w:r>
          </w:p>
        </w:tc>
        <w:tc>
          <w:tcPr>
            <w:tcW w:type="dxa" w:w="2885"/>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10.0.10.254</w:t>
            </w:r>
          </w:p>
        </w:tc>
      </w:tr>
      <w:tr>
        <w:trPr>
          <w:cantSplit/>
        </w:trPr>
        <w:tc>
          <w:tcPr>
            <w:tcW w:type="dxa" w:w="181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FW1</w:t>
            </w:r>
          </w:p>
        </w:tc>
        <w:tc>
          <w:tcPr>
            <w:tcW w:type="dxa" w:w="5669"/>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192.168.10.0/24 ; 192.168.20.0/24</w:t>
              <w:br/>
              <w:t>192.168.30.0/24 ; 192.168.40.0/24</w:t>
              <w:br/>
              <w:t>192.168.50.0/24</w:t>
            </w:r>
          </w:p>
        </w:tc>
        <w:tc>
          <w:tcPr>
            <w:tcW w:type="dxa" w:w="288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10.0.10.253</w:t>
            </w:r>
          </w:p>
        </w:tc>
      </w:tr>
      <w:tr>
        <w:trPr>
          <w:cantSplit/>
        </w:trPr>
        <w:tc>
          <w:tcPr>
            <w:tcW w:type="dxa" w:w="181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FW1</w:t>
            </w:r>
          </w:p>
        </w:tc>
        <w:tc>
          <w:tcPr>
            <w:tcW w:type="dxa" w:w="5669"/>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0.0.0.0/0</w:t>
            </w:r>
          </w:p>
        </w:tc>
        <w:tc>
          <w:tcPr>
            <w:tcW w:type="dxa" w:w="288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10.0.0.254</w:t>
            </w:r>
          </w:p>
        </w:tc>
      </w:tr>
      <w:tr>
        <w:trPr>
          <w:cantSplit/>
        </w:trPr>
        <w:tc>
          <w:tcPr>
            <w:tcW w:type="dxa" w:w="181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R1</w:t>
            </w:r>
          </w:p>
        </w:tc>
        <w:tc>
          <w:tcPr>
            <w:tcW w:type="dxa" w:w="5669"/>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Les cinq /24 internes ci-dessus</w:t>
              <w:br/>
              <w:t>10.0.10.248/29 ; 10.0.20.0/24</w:t>
            </w:r>
          </w:p>
        </w:tc>
        <w:tc>
          <w:tcPr>
            <w:tcW w:type="dxa" w:w="288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10.0.0.253</w:t>
            </w:r>
          </w:p>
        </w:tc>
      </w:tr>
      <w:tr>
        <w:trPr>
          <w:cantSplit/>
        </w:trPr>
        <w:tc>
          <w:tcPr>
            <w:tcW w:type="dxa" w:w="181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R1</w:t>
            </w:r>
          </w:p>
        </w:tc>
        <w:tc>
          <w:tcPr>
            <w:tcW w:type="dxa" w:w="5669"/>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0.0.0.0/0</w:t>
            </w:r>
          </w:p>
        </w:tc>
        <w:tc>
          <w:tcPr>
            <w:tcW w:type="dxa" w:w="288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Passerelle WAN fournie par le réseau amont</w:t>
            </w:r>
          </w:p>
        </w:tc>
      </w:tr>
      <w:tr>
        <w:trPr>
          <w:cantSplit/>
        </w:trPr>
        <w:tc>
          <w:tcPr>
            <w:tcW w:type="dxa" w:w="181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SRV1 et chaque VM DMZ</w:t>
            </w:r>
          </w:p>
        </w:tc>
        <w:tc>
          <w:tcPr>
            <w:tcW w:type="dxa" w:w="5669"/>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0.0.0.0/0</w:t>
            </w:r>
          </w:p>
        </w:tc>
        <w:tc>
          <w:tcPr>
            <w:tcW w:type="dxa" w:w="288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10.0.20.254</w:t>
            </w:r>
          </w:p>
        </w:tc>
      </w:tr>
      <w:tr>
        <w:trPr>
          <w:cantSplit/>
        </w:trPr>
        <w:tc>
          <w:tcPr>
            <w:tcW w:type="dxa" w:w="181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PC04 et VM internes</w:t>
            </w:r>
          </w:p>
        </w:tc>
        <w:tc>
          <w:tcPr>
            <w:tcW w:type="dxa" w:w="5669"/>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0.0.0.0/0</w:t>
            </w:r>
          </w:p>
        </w:tc>
        <w:tc>
          <w:tcPr>
            <w:tcW w:type="dxa" w:w="288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192.168.50.254</w:t>
            </w:r>
          </w:p>
        </w:tc>
      </w:tr>
    </w:tbl>
    <w:p>
      <w:pPr>
        <w:spacing w:after="120" w:before="120" w:line="259" w:lineRule="auto"/>
      </w:pPr>
      <w:r>
        <w:rPr>
          <w:rFonts w:ascii="Arial" w:hAnsi="Arial"/>
          <w:sz w:val="21"/>
        </w:rPr>
        <w:t>Les réseaux directement connectés à FW1 sont 10.0.0.248/29, 10.0.10.248/29 et 10.0.20.0/24. Les cinq VLAN sont directement connectés à SW1. Aucun équipement n’annonce de route vers le VLAN 99 réservé. Les routes de retour sur R1 restent nécessaires dans le mode NAT retenu ci-dessous.</w:t>
      </w:r>
    </w:p>
    <w:p>
      <w:pPr>
        <w:pStyle w:val="Heading2"/>
        <w:keepNext/>
        <w:pageBreakBefore w:val="0"/>
      </w:pPr>
      <w:r>
        <w:rPr>
          <w:color w:val="000000"/>
        </w:rPr>
        <w:t>Traduction des adresses et publication</w:t>
      </w:r>
    </w:p>
    <w:p>
      <w:pPr>
        <w:spacing w:after="120" w:line="259" w:lineRule="auto"/>
      </w:pPr>
      <w:r>
        <w:rPr>
          <w:rFonts w:ascii="Arial" w:hAnsi="Arial"/>
          <w:sz w:val="21"/>
        </w:rPr>
        <w:t>Le mode de référence place le NAT de sortie sur R1, vers son interface WAN, pour les cinq VLAN internes et la DMZ. FW1 ne traduit pas les échanges LAN vers DMZ. Si le TP-Link ne traduit pas les réseaux routés, utiliser un SNAT sur FW1 uniquement en sortie e0/1, suivi du NAT de R1 ; documenter alors ce double NAT et ses limites pour la visibilité des sources. Ne pas activer les deux variantes sans vérifier les règles.</w:t>
      </w:r>
    </w:p>
    <w:p>
      <w:pPr>
        <w:spacing w:after="120" w:line="259" w:lineRule="auto"/>
      </w:pPr>
      <w:r>
        <w:rPr>
          <w:rFonts w:ascii="Arial" w:hAnsi="Arial"/>
          <w:sz w:val="21"/>
        </w:rPr>
        <w:t>Aucune publication WAN n’est activée par défaut. Une publication Web ultérieure nécessite une adresse WAN joignable, un DNAT TCP 80/443 sur R1 vers 10.0.0.253, puis sur FW1 vers WEB01 10.0.20.10 et une règle AMONT vers DMZ limitée à ces ports. Ne pas publier les hyperviseurs, AD, GLPI ou un résolveur DNS récursif.</w:t>
      </w:r>
    </w:p>
    <w:p>
      <w:pPr>
        <w:pStyle w:val="Heading2"/>
        <w:keepNext/>
        <w:pageBreakBefore w:val="0"/>
      </w:pPr>
      <w:r>
        <w:rPr>
          <w:color w:val="000000"/>
        </w:rPr>
        <w:t>Services autorisés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8554"/>
      </w:tblGrid>
      <w:tr>
        <w:trPr>
          <w:cantSplit/>
          <w:tblHeader/>
        </w:trPr>
        <w:tc>
          <w:tcPr>
            <w:tcW w:type="dxa" w:w="1814"/>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Groupe</w:t>
            </w:r>
          </w:p>
        </w:tc>
        <w:tc>
          <w:tcPr>
            <w:tcW w:type="dxa" w:w="8554"/>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Protocoles et ports de destination</w:t>
            </w:r>
          </w:p>
        </w:tc>
      </w:tr>
      <w:tr>
        <w:trPr>
          <w:cantSplit/>
        </w:trPr>
        <w:tc>
          <w:tcPr>
            <w:tcW w:type="dxa" w:w="1814"/>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DNS</w:t>
            </w:r>
          </w:p>
        </w:tc>
        <w:tc>
          <w:tcPr>
            <w:tcW w:type="dxa" w:w="8554"/>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UDP et TCP 53</w:t>
            </w:r>
          </w:p>
        </w:tc>
      </w:tr>
      <w:tr>
        <w:trPr>
          <w:cantSplit/>
        </w:trPr>
        <w:tc>
          <w:tcPr>
            <w:tcW w:type="dxa" w:w="181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AD_CLIENT</w:t>
            </w:r>
          </w:p>
        </w:tc>
        <w:tc>
          <w:tcPr>
            <w:tcW w:type="dxa" w:w="855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TCP 88, 135, 389, 445, 464, 3268, 49152 à 65535 ; UDP 88, 123, 389, 464 ; DNS ; ICMP vers DC01</w:t>
            </w:r>
          </w:p>
        </w:tc>
      </w:tr>
      <w:tr>
        <w:trPr>
          <w:cantSplit/>
        </w:trPr>
        <w:tc>
          <w:tcPr>
            <w:tcW w:type="dxa" w:w="181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WEB</w:t>
            </w:r>
          </w:p>
        </w:tc>
        <w:tc>
          <w:tcPr>
            <w:tcW w:type="dxa" w:w="855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TCP 80 et 443 ; GLPI utilise TCP 443</w:t>
            </w:r>
          </w:p>
        </w:tc>
      </w:tr>
      <w:tr>
        <w:trPr>
          <w:cantSplit/>
        </w:trPr>
        <w:tc>
          <w:tcPr>
            <w:tcW w:type="dxa" w:w="181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ADMIN</w:t>
            </w:r>
          </w:p>
        </w:tc>
        <w:tc>
          <w:tcPr>
            <w:tcW w:type="dxa" w:w="855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TCP 22, 443 et 8006 pour les hyperviseurs et équipements selon service ; TCP 3389, 5986 et 9389 vers DC01 ; ICMP de diagnostic</w:t>
            </w:r>
          </w:p>
        </w:tc>
      </w:tr>
      <w:tr>
        <w:trPr>
          <w:cantSplit/>
        </w:trPr>
        <w:tc>
          <w:tcPr>
            <w:tcW w:type="dxa" w:w="181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DHCP</w:t>
            </w:r>
          </w:p>
        </w:tc>
        <w:tc>
          <w:tcPr>
            <w:tcW w:type="dxa" w:w="855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Client UDP 68 vers serveur UDP 67 ; relais UDP 67 vers serveur UDP 67 ; réponses en sens inverse</w:t>
            </w:r>
          </w:p>
        </w:tc>
      </w:tr>
      <w:tr>
        <w:trPr>
          <w:cantSplit/>
        </w:trPr>
        <w:tc>
          <w:tcPr>
            <w:tcW w:type="dxa" w:w="181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NTP</w:t>
            </w:r>
          </w:p>
        </w:tc>
        <w:tc>
          <w:tcPr>
            <w:tcW w:type="dxa" w:w="8554"/>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UDP 123 ; clients du domaine vers DC01</w:t>
            </w:r>
          </w:p>
        </w:tc>
      </w:tr>
    </w:tbl>
    <w:p>
      <w:pPr>
        <w:spacing w:after="120" w:before="120" w:line="259" w:lineRule="auto"/>
      </w:pPr>
    </w:p>
    <w:p>
      <w:pPr>
        <w:spacing w:after="120" w:line="259" w:lineRule="auto"/>
      </w:pPr>
      <w:r>
        <w:rPr>
          <w:rFonts w:ascii="Arial" w:hAnsi="Arial"/>
          <w:sz w:val="21"/>
        </w:rPr>
        <w:t>AD_CLIENT correspond aux postes membres d’un domaine Windows récent avec un contrôleur de domaine. Ajouter TCP 636 ou 3269 seulement si LDAPS est effectivement déployé ; les communications entre contrôleurs et les anciens protocoles NetBIOS ne sont pas présumés. Les ports dynamiques RPC doivent être vérifiés selon la version et la politique Windows.</w:t>
      </w:r>
    </w:p>
    <w:p>
      <w:pPr>
        <w:pStyle w:val="Heading2"/>
        <w:keepNext/>
        <w:pageBreakBefore w:val="0"/>
      </w:pPr>
      <w:r>
        <w:rPr>
          <w:color w:val="000000"/>
        </w:rPr>
        <w:t>Filtrage sur SW1</w:t>
      </w:r>
    </w:p>
    <w:p>
      <w:pPr>
        <w:spacing w:after="120" w:line="259" w:lineRule="auto"/>
      </w:pPr>
      <w:r>
        <w:rPr>
          <w:rFonts w:ascii="Arial" w:hAnsi="Arial"/>
          <w:sz w:val="21"/>
        </w:rPr>
        <w:t>Les ACL s’appliquent en entrée des interfaces VLAN 10, 20, 30, 40 et 50. SW1 route directement les échanges entre VLAN : FW1 ne les inspecte pas. La première règle correspondante décide du résultat. Placer les exceptions avant les refus de réseaux privés et le refus général en dernier ; un « deny any » placé en tête bloquerait toutes les autorisations suivantes.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5"/>
        <w:gridCol w:w="2835"/>
        <w:gridCol w:w="3005"/>
        <w:gridCol w:w="3763"/>
      </w:tblGrid>
      <w:tr>
        <w:trPr>
          <w:cantSplit/>
          <w:tblHeader/>
        </w:trPr>
        <w:tc>
          <w:tcPr>
            <w:tcW w:type="dxa" w:w="765"/>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Ordre</w:t>
            </w:r>
          </w:p>
        </w:tc>
        <w:tc>
          <w:tcPr>
            <w:tcW w:type="dxa" w:w="2835"/>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Source</w:t>
            </w:r>
          </w:p>
        </w:tc>
        <w:tc>
          <w:tcPr>
            <w:tcW w:type="dxa" w:w="3005"/>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Destination</w:t>
            </w:r>
          </w:p>
        </w:tc>
        <w:tc>
          <w:tcPr>
            <w:tcW w:type="dxa" w:w="3763"/>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Service et action</w:t>
            </w:r>
          </w:p>
        </w:tc>
      </w:tr>
      <w:tr>
        <w:trPr>
          <w:cantSplit/>
        </w:trPr>
        <w:tc>
          <w:tcPr>
            <w:tcW w:type="dxa" w:w="765"/>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10</w:t>
            </w:r>
          </w:p>
        </w:tc>
        <w:tc>
          <w:tcPr>
            <w:tcW w:type="dxa" w:w="2835"/>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Clients Wi-Fi et relais SW1</w:t>
            </w:r>
          </w:p>
        </w:tc>
        <w:tc>
          <w:tcPr>
            <w:tcW w:type="dxa" w:w="3005"/>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DC01 et diffusion DHCP</w:t>
            </w:r>
          </w:p>
        </w:tc>
        <w:tc>
          <w:tcPr>
            <w:tcW w:type="dxa" w:w="3763"/>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Autoriser DHCP, y compris attribution initiale et renouvellement</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20</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VLAN 10, 20, 30 et PC03</w:t>
            </w:r>
          </w:p>
        </w:tc>
        <w:tc>
          <w:tcPr>
            <w:tcW w:type="dxa" w:w="30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DC01 192.168.50.20</w:t>
            </w:r>
          </w:p>
        </w:tc>
        <w:tc>
          <w:tcPr>
            <w:tcW w:type="dxa" w:w="376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DNS ; Wi-Fi limité à ce service interne</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30</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VLAN 10, 20 et PC03</w:t>
            </w:r>
          </w:p>
        </w:tc>
        <w:tc>
          <w:tcPr>
            <w:tcW w:type="dxa" w:w="30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DC01 192.168.50.20</w:t>
            </w:r>
          </w:p>
        </w:tc>
        <w:tc>
          <w:tcPr>
            <w:tcW w:type="dxa" w:w="376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AD_CLIENT</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40</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VLAN 10, 20 et PC03</w:t>
            </w:r>
          </w:p>
        </w:tc>
        <w:tc>
          <w:tcPr>
            <w:tcW w:type="dxa" w:w="30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GLPI01 192.168.50.30</w:t>
            </w:r>
          </w:p>
        </w:tc>
        <w:tc>
          <w:tcPr>
            <w:tcW w:type="dxa" w:w="376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HTTPS TCP 443</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50</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PC03 192.168.40.10</w:t>
            </w:r>
          </w:p>
        </w:tc>
        <w:tc>
          <w:tcPr>
            <w:tcW w:type="dxa" w:w="30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Équipements, hyperviseurs et VM</w:t>
            </w:r>
          </w:p>
        </w:tc>
        <w:tc>
          <w:tcPr>
            <w:tcW w:type="dxa" w:w="376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ADMIN aux seules adresses inventoriées</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60</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VLAN 10, 20 et PC03</w:t>
            </w:r>
          </w:p>
        </w:tc>
        <w:tc>
          <w:tcPr>
            <w:tcW w:type="dxa" w:w="30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WEB01 10.0.20.10</w:t>
            </w:r>
          </w:p>
        </w:tc>
        <w:tc>
          <w:tcPr>
            <w:tcW w:type="dxa" w:w="376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WEB ; décision DMZ finale sur FW1</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70</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DC01</w:t>
            </w:r>
          </w:p>
        </w:tc>
        <w:tc>
          <w:tcPr>
            <w:tcW w:type="dxa" w:w="30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DNSDMZ01 10.0.20.53</w:t>
            </w:r>
          </w:p>
        </w:tc>
        <w:tc>
          <w:tcPr>
            <w:tcW w:type="dxa" w:w="376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DNS ; redirection des noms externes</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80</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Serveurs et postes administrés</w:t>
            </w:r>
          </w:p>
        </w:tc>
        <w:tc>
          <w:tcPr>
            <w:tcW w:type="dxa" w:w="30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Clients autorisés et PC03</w:t>
            </w:r>
          </w:p>
        </w:tc>
        <w:tc>
          <w:tcPr>
            <w:tcW w:type="dxa" w:w="376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les retours des flux précédents selon protocole</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90</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Hôtes de chaque VLAN</w:t>
            </w:r>
          </w:p>
        </w:tc>
        <w:tc>
          <w:tcPr>
            <w:tcW w:type="dxa" w:w="30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Leur propre passerelle</w:t>
            </w:r>
          </w:p>
        </w:tc>
        <w:tc>
          <w:tcPr>
            <w:tcW w:type="dxa" w:w="376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ICMP de diagnostic</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Chaque VLAN</w:t>
            </w:r>
          </w:p>
        </w:tc>
        <w:tc>
          <w:tcPr>
            <w:tcW w:type="dxa" w:w="30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Autres réseaux privés</w:t>
            </w:r>
          </w:p>
        </w:tc>
        <w:tc>
          <w:tcPr>
            <w:tcW w:type="dxa" w:w="376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Refuser les autres échanges ; journaliser</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110</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VLAN 10, 20, 30 et PC03 ; PC04, DC01, GLPI01</w:t>
            </w:r>
          </w:p>
        </w:tc>
        <w:tc>
          <w:tcPr>
            <w:tcW w:type="dxa" w:w="30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Internet via FW1</w:t>
            </w:r>
          </w:p>
        </w:tc>
        <w:tc>
          <w:tcPr>
            <w:tcW w:type="dxa" w:w="376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WEB ; DC01 et PC04 peuvent utiliser NTP vers la source approuvée</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999</w:t>
            </w:r>
          </w:p>
        </w:tc>
        <w:tc>
          <w:tcPr>
            <w:tcW w:type="dxa" w:w="28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Toute source</w:t>
            </w:r>
          </w:p>
        </w:tc>
        <w:tc>
          <w:tcPr>
            <w:tcW w:type="dxa" w:w="30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Toute destination</w:t>
            </w:r>
          </w:p>
        </w:tc>
        <w:tc>
          <w:tcPr>
            <w:tcW w:type="dxa" w:w="3763"/>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Refuser et journaliser le reste</w:t>
            </w:r>
          </w:p>
        </w:tc>
      </w:tr>
    </w:tbl>
    <w:p>
      <w:pPr>
        <w:spacing w:after="120" w:before="120" w:line="259" w:lineRule="auto"/>
      </w:pPr>
    </w:p>
    <w:p>
      <w:pPr>
        <w:spacing w:after="120" w:line="259" w:lineRule="auto"/>
      </w:pPr>
      <w:r>
        <w:rPr>
          <w:rFonts w:ascii="Arial" w:hAnsi="Arial"/>
          <w:sz w:val="21"/>
        </w:rPr>
        <w:t>Politique proposée : Direction et Comptabilité accèdent au domaine, à GLPI et au Web ; le Wi-Fi est isolé des autres VLAN et de la DMZ, avec uniquement DNS, DHCP et Web vers Internet. PC03 est le poste d’administration. Les communications entre machines d’un même VLAN ne traversent pas les SVI : activer les pare-feu locaux et l’isolation Wi-Fi pour ce périmètre.</w:t>
      </w:r>
    </w:p>
    <w:p>
      <w:pPr>
        <w:spacing w:after="120" w:line="259" w:lineRule="auto"/>
      </w:pPr>
      <w:r>
        <w:rPr>
          <w:rFonts w:ascii="Arial" w:hAnsi="Arial"/>
          <w:sz w:val="21"/>
        </w:rPr>
        <w:t>Les ACL IOS statiques ne suivent pas les sessions. La règle de retour doit être traduite en autorisations inverses TCP, UDP et ICMP : TCP established vérifie les indicateurs ACK/RST, sans constituer un pare-feu à états. Prévoir les réponses DNS, AD, DHCP et NTP, les réponses ICMP et les erreurs ICMP nécessaires. Valider les ACL par sens avec leurs compteurs. Le guide contient un exemple complet pour le VLAN 30 ; la matrice couvre les cinq VLAN.</w:t>
      </w:r>
    </w:p>
    <w:p>
      <w:pPr>
        <w:pStyle w:val="Heading2"/>
        <w:keepNext/>
        <w:pageBreakBefore w:val="0"/>
      </w:pPr>
      <w:r>
        <w:rPr>
          <w:color w:val="000000"/>
        </w:rPr>
        <w:t>Filtrage sur FW1</w:t>
      </w:r>
    </w:p>
    <w:p>
      <w:pPr>
        <w:spacing w:after="120" w:line="259" w:lineRule="auto"/>
      </w:pPr>
      <w:r>
        <w:rPr>
          <w:rFonts w:ascii="Arial" w:hAnsi="Arial"/>
          <w:sz w:val="21"/>
        </w:rPr>
        <w:t>Affecter trois zones distinctes : AMONT sur e0/1, LAN sur e0/2 et DMZ sur e0/3. Le tableau décrit des règles à créer et ordonner dans StoneOS, avec suivi de session. « Internet » exclut les réseaux privés 10.0.0.0/8, 172.16.0.0/12 et 192.168.0.0/16. Définir les objets de résolveurs et de serveurs NTP avec les adresses réellement autorisées.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5"/>
        <w:gridCol w:w="2948"/>
        <w:gridCol w:w="2948"/>
        <w:gridCol w:w="3707"/>
      </w:tblGrid>
      <w:tr>
        <w:trPr>
          <w:cantSplit/>
          <w:tblHeader/>
        </w:trPr>
        <w:tc>
          <w:tcPr>
            <w:tcW w:type="dxa" w:w="765"/>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Ordre</w:t>
            </w:r>
          </w:p>
        </w:tc>
        <w:tc>
          <w:tcPr>
            <w:tcW w:type="dxa" w:w="2948"/>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Zone source et hôtes</w:t>
            </w:r>
          </w:p>
        </w:tc>
        <w:tc>
          <w:tcPr>
            <w:tcW w:type="dxa" w:w="2948"/>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Zone destination et hôtes</w:t>
            </w:r>
          </w:p>
        </w:tc>
        <w:tc>
          <w:tcPr>
            <w:tcW w:type="dxa" w:w="3707"/>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Service et action</w:t>
            </w:r>
          </w:p>
        </w:tc>
      </w:tr>
      <w:tr>
        <w:trPr>
          <w:cantSplit/>
        </w:trPr>
        <w:tc>
          <w:tcPr>
            <w:tcW w:type="dxa" w:w="765"/>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10</w:t>
            </w:r>
          </w:p>
        </w:tc>
        <w:tc>
          <w:tcPr>
            <w:tcW w:type="dxa" w:w="2948"/>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Sessions déjà autorisées</w:t>
            </w:r>
          </w:p>
        </w:tc>
        <w:tc>
          <w:tcPr>
            <w:tcW w:type="dxa" w:w="2948"/>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Sens retour</w:t>
            </w:r>
          </w:p>
        </w:tc>
        <w:tc>
          <w:tcPr>
            <w:tcW w:type="dxa" w:w="3707"/>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Accepter les retours par suivi de session ; traiter les erreurs ICMP associées</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20</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LAN ; PC03</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DMZ ; SRV1, WEB01, DNSDMZ01</w:t>
            </w:r>
          </w:p>
        </w:tc>
        <w:tc>
          <w:tcPr>
            <w:tcW w:type="dxa" w:w="3707"/>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ADMIN selon le service de chaque hôte</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30</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LAN ; VLAN 10, 20 et PC03</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DMZ ; WEB01 10.0.20.10</w:t>
            </w:r>
          </w:p>
        </w:tc>
        <w:tc>
          <w:tcPr>
            <w:tcW w:type="dxa" w:w="3707"/>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TCP 80 et 443</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40</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LAN ; DC01 192.168.50.20</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DMZ ; DNSDMZ01 10.0.20.53</w:t>
            </w:r>
          </w:p>
        </w:tc>
        <w:tc>
          <w:tcPr>
            <w:tcW w:type="dxa" w:w="3707"/>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UDP et TCP 53</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50</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DMZ ; toute source</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LAN ; tous les VLAN</w:t>
            </w:r>
          </w:p>
        </w:tc>
        <w:tc>
          <w:tcPr>
            <w:tcW w:type="dxa" w:w="3707"/>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Refuser toute nouvelle session ; journaliser</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60</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LAN ; PC03</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AMONT ; R1 10.0.0.254</w:t>
            </w:r>
          </w:p>
        </w:tc>
        <w:tc>
          <w:tcPr>
            <w:tcW w:type="dxa" w:w="3707"/>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HTTPS ou SSH si disponible, et ICMP</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70</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LAN et DMZ ; toute autre source</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AMONT ; réseaux privés</w:t>
            </w:r>
          </w:p>
        </w:tc>
        <w:tc>
          <w:tcPr>
            <w:tcW w:type="dxa" w:w="3707"/>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Refuser ; empêcher les contournements par une règle Internet large</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80</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LAN ; hôtes autorisés par SW1</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AMONT ; Internet</w:t>
            </w:r>
          </w:p>
        </w:tc>
        <w:tc>
          <w:tcPr>
            <w:tcW w:type="dxa" w:w="3707"/>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TCP 80 et 443</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90</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DMZ ; SRV1, WEB01, DNSDMZ01</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AMONT ; Internet</w:t>
            </w:r>
          </w:p>
        </w:tc>
        <w:tc>
          <w:tcPr>
            <w:tcW w:type="dxa" w:w="3707"/>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TCP 80 et 443 pour mises à jour</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100</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DMZ ; DNSDMZ01</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AMONT ; résolveurs externes approuvés</w:t>
            </w:r>
          </w:p>
        </w:tc>
        <w:tc>
          <w:tcPr>
            <w:tcW w:type="dxa" w:w="3707"/>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UDP et TCP 53 uniquement</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110</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LAN ; DC01 et PC04 ; DMZ ; SRV1, WEB01, DNSDMZ01</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AMONT ; serveurs NTP approuvés</w:t>
            </w:r>
          </w:p>
        </w:tc>
        <w:tc>
          <w:tcPr>
            <w:tcW w:type="dxa" w:w="3707"/>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UDP 123</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999</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Toutes zones</w:t>
            </w:r>
          </w:p>
        </w:tc>
        <w:tc>
          <w:tcPr>
            <w:tcW w:type="dxa" w:w="294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Toutes destinations</w:t>
            </w:r>
          </w:p>
        </w:tc>
        <w:tc>
          <w:tcPr>
            <w:tcW w:type="dxa" w:w="3707"/>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Refuser et journaliser ; aucune publication WAN active</w:t>
            </w:r>
          </w:p>
        </w:tc>
      </w:tr>
    </w:tbl>
    <w:p>
      <w:pPr>
        <w:spacing w:after="120" w:before="120" w:line="259" w:lineRule="auto"/>
      </w:pPr>
    </w:p>
    <w:p>
      <w:pPr>
        <w:spacing w:after="120" w:line="259" w:lineRule="auto"/>
      </w:pPr>
      <w:r>
        <w:rPr>
          <w:rFonts w:ascii="Arial" w:hAnsi="Arial"/>
          <w:sz w:val="21"/>
        </w:rPr>
        <w:t>L’administration locale de FW1 se règle séparément : accès dédié par e0/0 à 192.168.1.1 depuis le poste de maintenance 192.168.1.10, et accès complémentaire par e0/2 depuis PC03 192.168.40.10 uniquement si activé. Utiliser HTTPS ou SSH selon les fonctions disponibles. Ne pas autoriser de transit via le réseau de gestion. Le DNS de DMZ accepte la récursion uniquement depuis DC01 et les hôtes DMZ inventoriés. Les nouvelles connexions DMZ vers LAN restent interdites ; les retours des sessions initiées depuis le LAN restent autorisés.</w:t>
      </w:r>
    </w:p>
    <w:p>
      <w:pPr>
        <w:pStyle w:val="Heading2"/>
        <w:keepNext/>
        <w:pageBreakBefore w:val="0"/>
      </w:pPr>
      <w:r>
        <w:rPr>
          <w:color w:val="000000"/>
        </w:rPr>
        <w:t>Filtrage sur R1</w:t>
      </w:r>
    </w:p>
    <w:p>
      <w:pPr>
        <w:spacing w:after="120" w:line="259" w:lineRule="auto"/>
      </w:pPr>
      <w:r>
        <w:rPr>
          <w:rFonts w:ascii="Arial" w:hAnsi="Arial"/>
          <w:sz w:val="21"/>
        </w:rPr>
        <w:t>Le tableau suivant décrit la politique à saisir dans l’interface du TP-Link selon son modèle. Les commandes Cisco IOS ne s’appliquent pas automatiquement à R1. Les accès locaux d’administration et le trafic traversant R1 sont deux réglages distincts.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5"/>
        <w:gridCol w:w="2891"/>
        <w:gridCol w:w="3061"/>
        <w:gridCol w:w="3650"/>
      </w:tblGrid>
      <w:tr>
        <w:trPr>
          <w:cantSplit/>
          <w:tblHeader/>
        </w:trPr>
        <w:tc>
          <w:tcPr>
            <w:tcW w:type="dxa" w:w="765"/>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Ordre</w:t>
            </w:r>
          </w:p>
        </w:tc>
        <w:tc>
          <w:tcPr>
            <w:tcW w:type="dxa" w:w="2891"/>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Source</w:t>
            </w:r>
          </w:p>
        </w:tc>
        <w:tc>
          <w:tcPr>
            <w:tcW w:type="dxa" w:w="3061"/>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Destination</w:t>
            </w:r>
          </w:p>
        </w:tc>
        <w:tc>
          <w:tcPr>
            <w:tcW w:type="dxa" w:w="3650"/>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Service et action</w:t>
            </w:r>
          </w:p>
        </w:tc>
      </w:tr>
      <w:tr>
        <w:trPr>
          <w:cantSplit/>
        </w:trPr>
        <w:tc>
          <w:tcPr>
            <w:tcW w:type="dxa" w:w="765"/>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10</w:t>
            </w:r>
          </w:p>
        </w:tc>
        <w:tc>
          <w:tcPr>
            <w:tcW w:type="dxa" w:w="2891"/>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Sessions sortantes autorisées</w:t>
            </w:r>
          </w:p>
        </w:tc>
        <w:tc>
          <w:tcPr>
            <w:tcW w:type="dxa" w:w="3061"/>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Sens retour</w:t>
            </w:r>
          </w:p>
        </w:tc>
        <w:tc>
          <w:tcPr>
            <w:tcW w:type="dxa" w:w="3650"/>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Accepter par suivi de session</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20</w:t>
            </w:r>
          </w:p>
        </w:tc>
        <w:tc>
          <w:tcPr>
            <w:tcW w:type="dxa" w:w="289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PC03 192.168.40.10</w:t>
            </w:r>
          </w:p>
        </w:tc>
        <w:tc>
          <w:tcPr>
            <w:tcW w:type="dxa" w:w="306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R1 10.0.0.254</w:t>
            </w:r>
          </w:p>
        </w:tc>
        <w:tc>
          <w:tcPr>
            <w:tcW w:type="dxa" w:w="365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administration HTTPS ou SSH si disponible et ICMP</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25</w:t>
            </w:r>
          </w:p>
        </w:tc>
        <w:tc>
          <w:tcPr>
            <w:tcW w:type="dxa" w:w="289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PC03 en maintenance 192.168.0.10</w:t>
            </w:r>
          </w:p>
        </w:tc>
        <w:tc>
          <w:tcPr>
            <w:tcW w:type="dxa" w:w="306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R1 port 5 ; 192.168.0.1</w:t>
            </w:r>
          </w:p>
        </w:tc>
        <w:tc>
          <w:tcPr>
            <w:tcW w:type="dxa" w:w="365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administration locale ; aucun routage vers les autres zones</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30</w:t>
            </w:r>
          </w:p>
        </w:tc>
        <w:tc>
          <w:tcPr>
            <w:tcW w:type="dxa" w:w="289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LAN et DMZ via FW1 ; ou FW1 .253 en mode double NAT</w:t>
            </w:r>
          </w:p>
        </w:tc>
        <w:tc>
          <w:tcPr>
            <w:tcW w:type="dxa" w:w="306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WAN</w:t>
            </w:r>
          </w:p>
        </w:tc>
        <w:tc>
          <w:tcPr>
            <w:tcW w:type="dxa" w:w="365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Autoriser les flux sortants déjà filtrés par FW1 et effectuer le NAT WAN</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40</w:t>
            </w:r>
          </w:p>
        </w:tc>
        <w:tc>
          <w:tcPr>
            <w:tcW w:type="dxa" w:w="289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WAN</w:t>
            </w:r>
          </w:p>
        </w:tc>
        <w:tc>
          <w:tcPr>
            <w:tcW w:type="dxa" w:w="306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Réseaux internes, DMZ et transit</w:t>
            </w:r>
          </w:p>
        </w:tc>
        <w:tc>
          <w:tcPr>
            <w:tcW w:type="dxa" w:w="365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Refuser toute nouvelle connexion ; journaliser</w:t>
            </w:r>
          </w:p>
        </w:tc>
      </w:tr>
      <w:tr>
        <w:trPr>
          <w:cantSplit/>
        </w:trPr>
        <w:tc>
          <w:tcPr>
            <w:tcW w:type="dxa" w:w="76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999</w:t>
            </w:r>
          </w:p>
        </w:tc>
        <w:tc>
          <w:tcPr>
            <w:tcW w:type="dxa" w:w="289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Toute autre source</w:t>
            </w:r>
          </w:p>
        </w:tc>
        <w:tc>
          <w:tcPr>
            <w:tcW w:type="dxa" w:w="3061"/>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Administration de R1</w:t>
            </w:r>
          </w:p>
        </w:tc>
        <w:tc>
          <w:tcPr>
            <w:tcW w:type="dxa" w:w="3650"/>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Refuser ; désactiver administration WAN et ouvertures automatiques UPnP</w:t>
            </w:r>
          </w:p>
        </w:tc>
      </w:tr>
    </w:tbl>
    <w:p>
      <w:pPr>
        <w:spacing w:after="120" w:before="120" w:line="259" w:lineRule="auto"/>
      </w:pPr>
    </w:p>
    <w:p>
      <w:pPr>
        <w:pStyle w:val="Heading1"/>
        <w:keepNext/>
        <w:pageBreakBefore w:val="0"/>
      </w:pPr>
      <w:r>
        <w:rPr>
          <w:color w:val="000000"/>
        </w:rPr>
        <w:t>8 Mise en service et exploitation</w:t>
      </w:r>
    </w:p>
    <w:p>
      <w:pPr>
        <w:spacing w:after="120" w:line="259" w:lineRule="auto"/>
      </w:pPr>
      <w:r>
        <w:rPr>
          <w:rFonts w:ascii="Arial" w:hAnsi="Arial"/>
          <w:sz w:val="21"/>
        </w:rPr>
        <w:t>1. Sauvegarder les configurations de R1, FW1, SW1 et Proxmox. Relever les modèles et versions. Prévoir un accès console et vérifier que les fonctions nécessaires sont disponibles.</w:t>
      </w:r>
    </w:p>
    <w:p>
      <w:pPr>
        <w:spacing w:after="120" w:line="259" w:lineRule="auto"/>
      </w:pPr>
      <w:r>
        <w:rPr>
          <w:rFonts w:ascii="Arial" w:hAnsi="Arial"/>
          <w:sz w:val="21"/>
        </w:rPr>
        <w:t>2. Recâbler C01 et C04, retirer SW2 du chemin, puis configurer les deux transits /29 et la DMZ. Vérifier chaque voisin directement connecté avant de modifier le routage.</w:t>
      </w:r>
    </w:p>
    <w:p>
      <w:pPr>
        <w:spacing w:after="120" w:line="259" w:lineRule="auto"/>
      </w:pPr>
      <w:r>
        <w:rPr>
          <w:rFonts w:ascii="Arial" w:hAnsi="Arial"/>
          <w:sz w:val="21"/>
        </w:rPr>
        <w:t>3. Configurer les VLAN, les ports d’accès, les SVI et les routes. Créer les ponts Proxmox sans étiquette VLAN sur C04 et C09 ; réserver les IP de VM et vérifier leur unicité.</w:t>
      </w:r>
    </w:p>
    <w:p>
      <w:pPr>
        <w:spacing w:after="120" w:line="259" w:lineRule="auto"/>
      </w:pPr>
      <w:r>
        <w:rPr>
          <w:rFonts w:ascii="Arial" w:hAnsi="Arial"/>
          <w:sz w:val="21"/>
        </w:rPr>
        <w:t>4. Déployer DC01, GLPI01, WEB01 et DNSDMZ01. Définir le domaine AD, les enregistrements DNS, les certificats et les redirecteurs. Installer et autoriser le rôle DHCP, créer l’étendue et le relais VLAN 30.</w:t>
      </w:r>
    </w:p>
    <w:p>
      <w:pPr>
        <w:spacing w:after="120" w:line="259" w:lineRule="auto"/>
      </w:pPr>
      <w:r>
        <w:rPr>
          <w:rFonts w:ascii="Arial" w:hAnsi="Arial"/>
          <w:sz w:val="21"/>
        </w:rPr>
        <w:t>5. Créer les objets et les règles de filtrage. Sur SW1, appliquer les ACL une interface à la fois avec console disponible ; tester les retours. Sur FW1, conserver des zones distinctes et activer la journalisation des refus.</w:t>
      </w:r>
    </w:p>
    <w:p>
      <w:pPr>
        <w:spacing w:after="120" w:line="259" w:lineRule="auto"/>
      </w:pPr>
      <w:r>
        <w:rPr>
          <w:rFonts w:ascii="Arial" w:hAnsi="Arial"/>
          <w:sz w:val="21"/>
        </w:rPr>
        <w:t>6. Configurer le NAT retenu sur R1, effectuer la recette positive et négative, puis sauvegarder les configurations validées. Ne jamais remplacer un échec de filtrage par une autorisation globale permanente.</w:t>
      </w:r>
    </w:p>
    <w:p>
      <w:pPr>
        <w:pStyle w:val="Heading2"/>
        <w:keepNext/>
        <w:pageBreakBefore w:val="0"/>
      </w:pPr>
      <w:r>
        <w:rPr>
          <w:color w:val="000000"/>
        </w:rPr>
        <w:t>Accès local aux interfaces de gestion</w:t>
      </w:r>
    </w:p>
    <w:p>
      <w:pPr>
        <w:spacing w:after="120" w:line="259" w:lineRule="auto"/>
      </w:pPr>
      <w:r>
        <w:rPr>
          <w:rFonts w:ascii="Arial" w:hAnsi="Arial"/>
          <w:sz w:val="21"/>
        </w:rPr>
        <w:t>La gestion dédiée du dernier schéma utilise deux réseaux distincts, sans passerelle de poste ni route publiée dans le LAN. Pour administrer R1, débrancher temporairement PC03 du VLAN 40, le raccorder au port 5 de R1 et utiliser 192.168.0.10/24, sans passerelle. Pour FW1, raccorder PC03 à e0/0 et utiliser 192.168.1.10/24, sans passerelle. Vérifier que ces adresses de poste sont libres avant utilisation. Ne pas relier les deux réseaux de gestion entre eux ni les ponter au LAN.</w:t>
      </w:r>
    </w:p>
    <w:p>
      <w:pPr>
        <w:spacing w:after="120" w:line="259" w:lineRule="auto"/>
      </w:pPr>
      <w:r>
        <w:rPr>
          <w:rFonts w:ascii="Arial" w:hAnsi="Arial"/>
          <w:sz w:val="21"/>
        </w:rPr>
        <w:t>Après maintenance, remettre PC03 sur C07 vers SW1 port 15, restaurer 192.168.40.10/24, passerelle 192.168.40.254 et DNS 192.168.50.20. C02 peut servir à une intervention locale lorsqu’il est disponible ; sinon, réutiliser le câble de PC03. Un raccordement permanent simultané des interfaces de gestion demanderait du matériel et un plan supplémentaires. Les huit liens de production restent ceux de la section 5.</w:t>
      </w:r>
    </w:p>
    <w:p>
      <w:pPr>
        <w:pStyle w:val="Heading2"/>
        <w:keepNext/>
        <w:pageBreakBefore w:val="0"/>
      </w:pPr>
      <w:r>
        <w:rPr>
          <w:color w:val="000000"/>
        </w:rPr>
        <w:t>Sauvegardes et retour arrière</w:t>
      </w:r>
    </w:p>
    <w:p>
      <w:pPr>
        <w:spacing w:after="120" w:line="259" w:lineRule="auto"/>
      </w:pPr>
      <w:r>
        <w:rPr>
          <w:rFonts w:ascii="Arial" w:hAnsi="Arial"/>
          <w:sz w:val="21"/>
        </w:rPr>
        <w:t>Conserver hors des équipements les exports de configuration et les sauvegardes des VM, avec date, version et test de restauration. Un snapshot seul ne remplace pas une sauvegarde. Contrôler les journaux de refus, les erreurs de ports, l’espace de stockage et les baux DHCP après la mise en service.</w:t>
      </w:r>
    </w:p>
    <w:p>
      <w:pPr>
        <w:spacing w:after="120" w:line="259" w:lineRule="auto"/>
      </w:pPr>
      <w:r>
        <w:rPr>
          <w:rFonts w:ascii="Arial" w:hAnsi="Arial"/>
          <w:sz w:val="21"/>
        </w:rPr>
        <w:t>En cas de perte d’accès après une ACL, retirer cette ACL de l’interface depuis la console, rétablir la configuration précédente puis vérifier les routes et le DNS. Pour un échec de migration, restaurer les adresses et configurations sauvegardées ainsi que le câblage correspondant. Ne sauvegarder définitivement les nouveaux réglages qu’après la recette.</w:t>
      </w:r>
    </w:p>
    <w:p>
      <w:pPr>
        <w:pStyle w:val="Heading1"/>
        <w:keepNext/>
        <w:pageBreakBefore w:val="0"/>
      </w:pPr>
      <w:r>
        <w:rPr>
          <w:color w:val="000000"/>
        </w:rPr>
        <w:t>9 Plan de recette</w:t>
      </w:r>
    </w:p>
    <w:p>
      <w:pPr>
        <w:spacing w:after="120" w:line="259" w:lineRule="auto"/>
      </w:pPr>
      <w:r>
        <w:rPr>
          <w:rFonts w:ascii="Arial" w:hAnsi="Arial"/>
          <w:sz w:val="21"/>
        </w:rPr>
        <w:t>Ce tableau présente les résultats attendus. Les tests n’ont pas été exécutés sur le réseau dans le cadre de cette mise à jour documentaire. Pour chaque contrôle, conserver la date, le poste source, la commande ou capture, le résultat observé et l’éventuelle correction.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535"/>
        <w:gridCol w:w="3905"/>
      </w:tblGrid>
      <w:tr>
        <w:trPr>
          <w:cantSplit/>
          <w:tblHeader/>
        </w:trPr>
        <w:tc>
          <w:tcPr>
            <w:tcW w:type="dxa" w:w="1928"/>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Contrôle</w:t>
            </w:r>
          </w:p>
        </w:tc>
        <w:tc>
          <w:tcPr>
            <w:tcW w:type="dxa" w:w="4535"/>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Vérification</w:t>
            </w:r>
          </w:p>
        </w:tc>
        <w:tc>
          <w:tcPr>
            <w:tcW w:type="dxa" w:w="3905"/>
            <w:vAlign w:val="center"/>
            <w:shd w:fill="DCE6EF"/>
            <w:tcMar>
              <w:top w:w="75" w:type="dxa"/>
              <w:bottom w:w="75" w:type="dxa"/>
              <w:left w:w="85" w:type="dxa"/>
              <w:right w:w="85" w:type="dxa"/>
            </w:tcMar>
          </w:tcPr>
          <w:p>
            <w:pPr>
              <w:keepNext/>
              <w:keepLines/>
              <w:spacing w:before="0" w:after="0" w:line="252" w:lineRule="auto"/>
            </w:pPr>
            <w:r>
              <w:rPr>
                <w:rFonts w:ascii="Arial" w:hAnsi="Arial"/>
                <w:b/>
                <w:color w:val="000000"/>
                <w:sz w:val="19"/>
              </w:rPr>
              <w:t>Résultat attendu</w:t>
            </w:r>
          </w:p>
        </w:tc>
      </w:tr>
      <w:tr>
        <w:trPr>
          <w:cantSplit/>
        </w:trPr>
        <w:tc>
          <w:tcPr>
            <w:tcW w:type="dxa" w:w="1928"/>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Interfaces et câbles</w:t>
            </w:r>
          </w:p>
        </w:tc>
        <w:tc>
          <w:tcPr>
            <w:tcW w:type="dxa" w:w="4535"/>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Comparer ports, VLAN, masques et voisins aux tableaux</w:t>
            </w:r>
          </w:p>
        </w:tc>
        <w:tc>
          <w:tcPr>
            <w:tcW w:type="dxa" w:w="3905"/>
            <w:vAlign w:val="center"/>
            <w:shd w:fill="FFFFFF"/>
            <w:tcMar>
              <w:top w:w="75" w:type="dxa"/>
              <w:bottom w:w="75" w:type="dxa"/>
              <w:left w:w="85" w:type="dxa"/>
              <w:right w:w="85" w:type="dxa"/>
            </w:tcMar>
          </w:tcPr>
          <w:p>
            <w:pPr>
              <w:keepNext/>
              <w:keepLines/>
              <w:spacing w:before="0" w:after="0" w:line="252" w:lineRule="auto"/>
            </w:pPr>
            <w:r>
              <w:rPr>
                <w:rFonts w:ascii="Arial" w:hAnsi="Arial"/>
                <w:b w:val="0"/>
                <w:color w:val="000000"/>
                <w:sz w:val="19"/>
              </w:rPr>
              <w:t>8 liens actifs ; C02 en réserve ; pas de SW2 en transit</w:t>
            </w:r>
          </w:p>
        </w:tc>
      </w:tr>
      <w:tr>
        <w:trPr>
          <w:cantSplit/>
        </w:trPr>
        <w:tc>
          <w:tcPr>
            <w:tcW w:type="dxa" w:w="192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Liaisons routées</w:t>
            </w:r>
          </w:p>
        </w:tc>
        <w:tc>
          <w:tcPr>
            <w:tcW w:type="dxa" w:w="45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SW1 vers 10.0.10.254 ; FW1 vers 10.0.0.254 et 10.0.20.1</w:t>
            </w:r>
          </w:p>
        </w:tc>
        <w:tc>
          <w:tcPr>
            <w:tcW w:type="dxa" w:w="39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Voisins joignables avec diagnostics autorisés</w:t>
            </w:r>
          </w:p>
        </w:tc>
      </w:tr>
      <w:tr>
        <w:trPr>
          <w:cantSplit/>
        </w:trPr>
        <w:tc>
          <w:tcPr>
            <w:tcW w:type="dxa" w:w="192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Routage retour</w:t>
            </w:r>
          </w:p>
        </w:tc>
        <w:tc>
          <w:tcPr>
            <w:tcW w:type="dxa" w:w="45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Vérifier les routes de R1 et FW1 ; tracer PC03 vers SRV1</w:t>
            </w:r>
          </w:p>
        </w:tc>
        <w:tc>
          <w:tcPr>
            <w:tcW w:type="dxa" w:w="39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Passage SW1 puis FW1 ; pas de retour direct SRV1 vers R1</w:t>
            </w:r>
          </w:p>
        </w:tc>
      </w:tr>
      <w:tr>
        <w:trPr>
          <w:cantSplit/>
        </w:trPr>
        <w:tc>
          <w:tcPr>
            <w:tcW w:type="dxa" w:w="192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DHCP Wi-Fi</w:t>
            </w:r>
          </w:p>
        </w:tc>
        <w:tc>
          <w:tcPr>
            <w:tcW w:type="dxa" w:w="45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Libérer puis renouveler le bail sur un client VLAN 30</w:t>
            </w:r>
          </w:p>
        </w:tc>
        <w:tc>
          <w:tcPr>
            <w:tcW w:type="dxa" w:w="39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IP .100 à .199 ; masque /24 ; GW .254 ; DNS 192.168.50.20</w:t>
            </w:r>
          </w:p>
        </w:tc>
      </w:tr>
      <w:tr>
        <w:trPr>
          <w:cantSplit/>
        </w:trPr>
        <w:tc>
          <w:tcPr>
            <w:tcW w:type="dxa" w:w="192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DNS</w:t>
            </w:r>
          </w:p>
        </w:tc>
        <w:tc>
          <w:tcPr>
            <w:tcW w:type="dxa" w:w="45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Résoudre les noms internes puis un nom Internet via DC01</w:t>
            </w:r>
          </w:p>
        </w:tc>
        <w:tc>
          <w:tcPr>
            <w:tcW w:type="dxa" w:w="39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DC01 répond ; noms externes transmis à DNSDMZ01</w:t>
            </w:r>
          </w:p>
        </w:tc>
      </w:tr>
      <w:tr>
        <w:trPr>
          <w:cantSplit/>
        </w:trPr>
        <w:tc>
          <w:tcPr>
            <w:tcW w:type="dxa" w:w="192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Domaine</w:t>
            </w:r>
          </w:p>
        </w:tc>
        <w:tc>
          <w:tcPr>
            <w:tcW w:type="dxa" w:w="45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Joindre un poste VLAN 10 puis VLAN 20 ; ouvrir une session et appliquer une GPO</w:t>
            </w:r>
          </w:p>
        </w:tc>
        <w:tc>
          <w:tcPr>
            <w:tcW w:type="dxa" w:w="39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DNS, Kerberos, LDAP, SMB et RPC fonctionnent</w:t>
            </w:r>
          </w:p>
        </w:tc>
      </w:tr>
      <w:tr>
        <w:trPr>
          <w:cantSplit/>
        </w:trPr>
        <w:tc>
          <w:tcPr>
            <w:tcW w:type="dxa" w:w="192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Applications</w:t>
            </w:r>
          </w:p>
        </w:tc>
        <w:tc>
          <w:tcPr>
            <w:tcW w:type="dxa" w:w="45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Depuis PC01 et PC02, ouvrir GLPI en HTTPS et WEB01</w:t>
            </w:r>
          </w:p>
        </w:tc>
        <w:tc>
          <w:tcPr>
            <w:tcW w:type="dxa" w:w="39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Services accessibles ; certificats et noms cohérents</w:t>
            </w:r>
          </w:p>
        </w:tc>
      </w:tr>
      <w:tr>
        <w:trPr>
          <w:cantSplit/>
        </w:trPr>
        <w:tc>
          <w:tcPr>
            <w:tcW w:type="dxa" w:w="192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Administration</w:t>
            </w:r>
          </w:p>
        </w:tc>
        <w:tc>
          <w:tcPr>
            <w:tcW w:type="dxa" w:w="45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PC03 vers Proxmox TCP 8006 et équipements ; répéter depuis PC01</w:t>
            </w:r>
          </w:p>
        </w:tc>
        <w:tc>
          <w:tcPr>
            <w:tcW w:type="dxa" w:w="39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PC03 autorisé ; PC01 refusé pour administration</w:t>
            </w:r>
          </w:p>
        </w:tc>
      </w:tr>
      <w:tr>
        <w:trPr>
          <w:cantSplit/>
        </w:trPr>
        <w:tc>
          <w:tcPr>
            <w:tcW w:type="dxa" w:w="192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Gestion locale</w:t>
            </w:r>
          </w:p>
        </w:tc>
        <w:tc>
          <w:tcPr>
            <w:tcW w:type="dxa" w:w="45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PC03 branché successivement à R1 port 5 puis FW1 e0/0</w:t>
            </w:r>
          </w:p>
        </w:tc>
        <w:tc>
          <w:tcPr>
            <w:tcW w:type="dxa" w:w="39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Accès à 192.168.0.1 puis 192.168.1.1 avec IP locale adaptée ; retour au VLAN 40 vérifié</w:t>
            </w:r>
          </w:p>
        </w:tc>
      </w:tr>
      <w:tr>
        <w:trPr>
          <w:cantSplit/>
        </w:trPr>
        <w:tc>
          <w:tcPr>
            <w:tcW w:type="dxa" w:w="192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Isolation Wi-Fi</w:t>
            </w:r>
          </w:p>
        </w:tc>
        <w:tc>
          <w:tcPr>
            <w:tcW w:type="dxa" w:w="45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VLAN 30 vers PC01, GLPI01, Proxmox et WEB01 ; puis DNS et Internet</w:t>
            </w:r>
          </w:p>
        </w:tc>
        <w:tc>
          <w:tcPr>
            <w:tcW w:type="dxa" w:w="39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Accès privés refusés hors DNS et DHCP ; WEB Internet autorisé</w:t>
            </w:r>
          </w:p>
        </w:tc>
      </w:tr>
      <w:tr>
        <w:trPr>
          <w:cantSplit/>
        </w:trPr>
        <w:tc>
          <w:tcPr>
            <w:tcW w:type="dxa" w:w="192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Isolation DMZ</w:t>
            </w:r>
          </w:p>
        </w:tc>
        <w:tc>
          <w:tcPr>
            <w:tcW w:type="dxa" w:w="45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WEB01 vers DC01 TCP 445 et PC03 TCP 3389</w:t>
            </w:r>
          </w:p>
        </w:tc>
        <w:tc>
          <w:tcPr>
            <w:tcW w:type="dxa" w:w="39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Nouvelles connexions refusées par FW1 et journalisées</w:t>
            </w:r>
          </w:p>
        </w:tc>
      </w:tr>
      <w:tr>
        <w:trPr>
          <w:cantSplit/>
        </w:trPr>
        <w:tc>
          <w:tcPr>
            <w:tcW w:type="dxa" w:w="192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Internet et NAT</w:t>
            </w:r>
          </w:p>
        </w:tc>
        <w:tc>
          <w:tcPr>
            <w:tcW w:type="dxa" w:w="45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Accès HTTPS depuis un poste LAN et WEB01 ; observer sessions et traduction</w:t>
            </w:r>
          </w:p>
        </w:tc>
        <w:tc>
          <w:tcPr>
            <w:tcW w:type="dxa" w:w="39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Sortie et retours valides ; pas de NAT LAN vers DMZ</w:t>
            </w:r>
          </w:p>
        </w:tc>
      </w:tr>
      <w:tr>
        <w:trPr>
          <w:cantSplit/>
        </w:trPr>
        <w:tc>
          <w:tcPr>
            <w:tcW w:type="dxa" w:w="1928"/>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Persistance</w:t>
            </w:r>
          </w:p>
        </w:tc>
        <w:tc>
          <w:tcPr>
            <w:tcW w:type="dxa" w:w="453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Sauvegarder, redémarrer selon fenêtre de maintenance, refaire les tests essentiels</w:t>
            </w:r>
          </w:p>
        </w:tc>
        <w:tc>
          <w:tcPr>
            <w:tcW w:type="dxa" w:w="3905"/>
            <w:vAlign w:val="center"/>
            <w:shd w:fill="FFFFFF"/>
            <w:tcMar>
              <w:top w:w="75" w:type="dxa"/>
              <w:bottom w:w="75" w:type="dxa"/>
              <w:left w:w="85" w:type="dxa"/>
              <w:right w:w="85" w:type="dxa"/>
            </w:tcMar>
          </w:tcPr>
          <w:p>
            <w:pPr>
              <w:keepNext w:val="0"/>
              <w:keepLines/>
              <w:spacing w:before="0" w:after="0" w:line="252" w:lineRule="auto"/>
            </w:pPr>
            <w:r>
              <w:rPr>
                <w:rFonts w:ascii="Arial" w:hAnsi="Arial"/>
                <w:b w:val="0"/>
                <w:color w:val="000000"/>
                <w:sz w:val="19"/>
              </w:rPr>
              <w:t>Configuration conservée ; résultats datés dans le compte rendu de recette</w:t>
            </w:r>
          </w:p>
        </w:tc>
      </w:tr>
    </w:tbl>
    <w:p>
      <w:pPr>
        <w:spacing w:after="120" w:before="120" w:line="259" w:lineRule="auto"/>
      </w:pPr>
    </w:p>
    <w:p>
      <w:pPr>
        <w:pStyle w:val="Heading1"/>
        <w:keepNext/>
        <w:pageBreakBefore w:val="0"/>
      </w:pPr>
      <w:r>
        <w:rPr>
          <w:color w:val="000000"/>
        </w:rPr>
        <w:t>10 Informations à relever avant déploiement</w:t>
      </w:r>
    </w:p>
    <w:p>
      <w:pPr>
        <w:spacing w:after="120" w:line="259" w:lineRule="auto"/>
      </w:pPr>
      <w:r>
        <w:rPr>
          <w:rFonts w:ascii="Arial" w:hAnsi="Arial"/>
          <w:sz w:val="21"/>
        </w:rPr>
        <w:t>Le plan d’adressage et la politique proposée sont complets pour la maquette. Les informations suivantes dépendent du matériel et de l’environnement : modèle et version de R1, FW1 et SW1 ; nom des interfaces ; prise en charge du NAT des sous-réseaux sur R1 ; connexion WAN et passerelle ; domaine AD ; noms DNS et certificats ; résolveurs et sources NTP autorisés ; mode de sécurité Wi-Fi et stockage des sauvegardes. Ces paramètres doivent être relevés lors de la préparation, sans leur attribuer de valeurs fictives.</w:t>
      </w:r>
    </w:p>
    <w:p>
      <w:pPr>
        <w:spacing w:after="120" w:line="259" w:lineRule="auto"/>
      </w:pPr>
      <w:r>
        <w:rPr>
          <w:rFonts w:ascii="Arial" w:hAnsi="Arial"/>
          <w:sz w:val="21"/>
        </w:rPr>
        <w:t>Le choix de 10.0.20.254 pour e0/3, les IP et noms des VM et la politique d’isolation sont des propositions de mise en service. Le VLAN 99 reste une extension à concevoir : aucune disponibilité de 192.168.99.10 n’est attendue avant son raccordement. L’adressage IPv6 et son filtrage doivent faire l’objet d’un plan séparé si IPv6 est utilisé ; les ACL présentées ici concernent IPv4.</w:t>
      </w:r>
    </w:p>
    <w:p>
      <w:pPr>
        <w:pStyle w:val="Heading2"/>
        <w:keepNext/>
        <w:pageBreakBefore w:val="0"/>
      </w:pPr>
      <w:r>
        <w:rPr>
          <w:color w:val="000000"/>
        </w:rPr>
        <w:t>Références techniques</w:t>
      </w:r>
    </w:p>
    <w:p>
      <w:pPr>
        <w:spacing w:after="120" w:line="259" w:lineRule="auto"/>
      </w:pPr>
      <w:r>
        <w:rPr>
          <w:rFonts w:ascii="Arial" w:hAnsi="Arial"/>
          <w:sz w:val="21"/>
        </w:rPr>
        <w:t>Schéma du projet : TPAIS projet diagramme.pdf ; commit 743c5c2 du 17 septembre 2026, intégré à main par 8476785.</w:t>
      </w:r>
    </w:p>
    <w:p>
      <w:pPr>
        <w:spacing w:after="120" w:line="259" w:lineRule="auto"/>
      </w:pPr>
      <w:r>
        <w:rPr>
          <w:rFonts w:ascii="Arial" w:hAnsi="Arial"/>
          <w:sz w:val="21"/>
        </w:rPr>
        <w:t xml:space="preserve">Sources techniques : </w:t>
      </w:r>
      <w:hyperlink r:id="rId14">
        <w:r>
          <w:rPr>
            <w:color w:val="174C75"/>
            <w:sz w:val="18"/>
          </w:rPr>
          <w:t>Cisco ACL</w:t>
        </w:r>
      </w:hyperlink>
      <w:r>
        <w:rPr>
          <w:rFonts w:ascii="Arial" w:hAnsi="Arial"/>
          <w:sz w:val="21"/>
        </w:rPr>
        <w:t xml:space="preserve"> ; </w:t>
      </w:r>
      <w:hyperlink r:id="rId15">
        <w:r>
          <w:rPr>
            <w:color w:val="174C75"/>
            <w:sz w:val="18"/>
          </w:rPr>
          <w:t>Cisco relais DHCP</w:t>
        </w:r>
      </w:hyperlink>
      <w:r>
        <w:rPr>
          <w:rFonts w:ascii="Arial" w:hAnsi="Arial"/>
          <w:sz w:val="21"/>
        </w:rPr>
        <w:t xml:space="preserve"> ; </w:t>
      </w:r>
      <w:hyperlink r:id="rId16">
        <w:r>
          <w:rPr>
            <w:color w:val="174C75"/>
            <w:sz w:val="18"/>
          </w:rPr>
          <w:t>Microsoft AD</w:t>
        </w:r>
      </w:hyperlink>
      <w:r>
        <w:rPr>
          <w:rFonts w:ascii="Arial" w:hAnsi="Arial"/>
          <w:sz w:val="21"/>
        </w:rPr>
        <w:t xml:space="preserve"> ; </w:t>
      </w:r>
      <w:hyperlink r:id="rId17">
        <w:r>
          <w:rPr>
            <w:color w:val="174C75"/>
            <w:sz w:val="18"/>
          </w:rPr>
          <w:t>Proxmox réseau</w:t>
        </w:r>
      </w:hyperlink>
      <w:r>
        <w:rPr>
          <w:rFonts w:ascii="Arial" w:hAnsi="Arial"/>
          <w:sz w:val="21"/>
        </w:rPr>
        <w:t xml:space="preserve"> ; </w:t>
      </w:r>
      <w:hyperlink r:id="rId18">
        <w:r>
          <w:rPr>
            <w:color w:val="174C75"/>
            <w:sz w:val="18"/>
          </w:rPr>
          <w:t>Hillstone StoneOS</w:t>
        </w:r>
      </w:hyperlink>
    </w:p>
    <w:sectPr>
      <w:headerReference r:id="rId11" w:type="default"/>
      <w:footerReference r:id="rId12" w:type="default"/>
      <w:pgSz w:h="15840" w:w="12240" w:orient="portrait"/>
      <w:pgMar w:bottom="864" w:top="864" w:left="936" w:right="936" w:header="72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évision technique" w:id="1" w:date="2026-09-15T12:38:57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adresses du VLAN 99 sont documentées comme prévues, avec un raccordement à compléter. Elles ne sont pas présentées comme opérationnelles sans chemin L2 et passerelle définis.</w:t>
      </w:r>
    </w:p>
  </w:comment>
  <w:comment w:author="Révision technique" w:id="2" w:date="2026-09-15T12:38:57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Compléments nécessaires : IP de la VM Windows, relais DHCP sur SW1, options de passerelle et de DNS. L’adresse statique .30.2 hors plage n’est pas une réservation DHCP.</w:t>
      </w:r>
    </w:p>
  </w:comment>
  <w:comment w:author="Révision technique" w:id="0" w:date="2026-09-15T12:38:57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libellé « Trunk port 24 » du schéma a été remplacé par une liaison routée. Le port 23 reste en accès VLAN 50, conformément au choix du document source ; aucun trunk de gestion supplémentaire n’est supposé.</w:t>
      </w:r>
    </w:p>
  </w:comment>
  <w:comment w:id="3" w:author="Documentation réseau" w:initials="DR" w:date="2026-09-17T13:21:15Z">
    <w:p>
      <w:pPr>
        <w:pStyle w:val="CommentText"/>
      </w:pPr>
      <w:r>
        <w:rPr>
          <w:rStyle w:val="CommentReference"/>
        </w:rPr>
        <w:annotationRef/>
      </w:r>
      <w:r>
        <w:t>Adresses et répartition des VM proposées pour compléter les champs vides. Le schéma fixe les sous-réseaux et les hyperviseurs mais ne fournit pas ces IP de VM.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7" w15:done="0"/>
  <w15:commentEx w15:paraId="00000198" w15:done="0"/>
  <w15:commentEx w15:paraId="00000199"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5T12:38:57Z"/>
  <w16cex:commentExtensible w16cex:durableId="00000002" w16cex:dateUtc="2026-09-15T12:38:57Z"/>
  <w16cex:commentExtensible w16cex:durableId="00000003" w16cex:dateUtc="2026-09-15T12:38:57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97" w16cid:durableId="00000001"/>
  <w16cid:commentId w16cid:paraId="00000198" w16cid:durableId="00000002"/>
  <w16cid:commentId w16cid:paraId="00000199" w16cid:durableId="00000003"/>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jc w:val="right"/>
      <w:rPr/>
    </w:pPr>
    <w:r w:rsidDel="00000000" w:rsidR="00000000" w:rsidRPr="00000000">
      <w:rPr>
        <w:sz w:val="16"/>
        <w:szCs w:val="16"/>
        <w:rtl w:val="0"/>
      </w:rPr>
      <w:t xml:space="preserve">Dossier réseau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fr"/>
      </w:rPr>
    </w:rPrDefault>
    <w:pPrDefault>
      <w:pPr>
        <w:spacing w:after="12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200" w:before="0" w:line="252.00000000000003" w:lineRule="auto"/>
    </w:pPr>
    <w:rPr>
      <w:rFonts w:ascii="Arial" w:cs="Arial" w:eastAsia="Arial" w:hAnsi="Arial"/>
      <w:b w:val="1"/>
      <w:bCs w:val="1"/>
      <w:i w:val="0"/>
      <w:iCs w:val="0"/>
      <w:color w:val="000000"/>
      <w:sz w:val="34"/>
      <w:szCs w:val="34"/>
    </w:rPr>
  </w:style>
  <w:style w:type="paragraph" w:styleId="Heading2">
    <w:name w:val="heading 2"/>
    <w:basedOn w:val="Normal"/>
    <w:next w:val="Normal"/>
    <w:pPr>
      <w:keepNext w:val="1"/>
      <w:keepLines w:val="1"/>
      <w:widowControl w:val="1"/>
      <w:spacing w:after="120" w:before="180" w:line="252.00000000000003" w:lineRule="auto"/>
    </w:pPr>
    <w:rPr>
      <w:rFonts w:ascii="Arial" w:cs="Arial" w:eastAsia="Arial" w:hAnsi="Arial"/>
      <w:b w:val="1"/>
      <w:bCs w:val="1"/>
      <w:i w:val="0"/>
      <w:iCs w:val="0"/>
      <w:color w:val="000000"/>
      <w:sz w:val="24"/>
      <w:szCs w:val="24"/>
    </w:rPr>
  </w:style>
  <w:style w:type="paragraph" w:styleId="Heading3">
    <w:name w:val="heading 3"/>
    <w:basedOn w:val="Normal"/>
    <w:next w:val="Normal"/>
    <w:pPr>
      <w:keepNext w:val="1"/>
      <w:keepLines w:val="1"/>
      <w:widowControl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widowControl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widowControl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widowControl w:val="1"/>
      <w:spacing w:after="0" w:before="200" w:lineRule="auto"/>
    </w:pPr>
    <w:rPr>
      <w:rFonts w:ascii="Calibri" w:cs="Calibri" w:eastAsia="Calibri" w:hAnsi="Calibri"/>
      <w:i w:val="1"/>
      <w:iCs w:val="1"/>
      <w:color w:val="243f61"/>
    </w:rPr>
  </w:style>
  <w:style w:type="paragraph" w:styleId="Title">
    <w:name w:val="Title"/>
    <w:basedOn w:val="Normal"/>
    <w:next w:val="Normal"/>
    <w:pPr>
      <w:widowControl w:val="1"/>
      <w:spacing w:after="120" w:before="0" w:line="252.00000000000003" w:lineRule="auto"/>
    </w:pPr>
    <w:rPr>
      <w:rFonts w:ascii="Arial" w:cs="Arial" w:eastAsia="Arial" w:hAnsi="Arial"/>
      <w:b w:val="1"/>
      <w:bCs w:val="1"/>
      <w:i w:val="0"/>
      <w:iCs w:val="0"/>
      <w:color w:val="000000"/>
      <w:sz w:val="46"/>
      <w:szCs w:val="46"/>
    </w:rPr>
  </w:style>
  <w:style w:type="paragraph" w:styleId="Subtitle">
    <w:name w:val="Subtitle"/>
    <w:basedOn w:val="Normal"/>
    <w:next w:val="Normal"/>
    <w:pPr>
      <w:widowControl w:val="1"/>
      <w:spacing w:after="120" w:before="0" w:line="252.00000000000003" w:lineRule="auto"/>
    </w:pPr>
    <w:rPr>
      <w:rFonts w:ascii="Arial" w:cs="Arial" w:eastAsia="Arial" w:hAnsi="Arial"/>
      <w:b w:val="0"/>
      <w:bCs w:val="0"/>
      <w:i w:val="0"/>
      <w:iCs w:val="0"/>
      <w:color w:val="000000"/>
      <w:sz w:val="24"/>
      <w:szCs w:val="24"/>
    </w:rPr>
  </w:style>
  <w:style w:type="table" w:styleId="Table1">
    <w:basedOn w:val="TableNormal"/>
    <w:tblPr>
      <w:tblStyleRowBandSize w:val="1"/>
      <w:tblStyleColBandSize w:val="1"/>
      <w:tblCellMar>
        <w:top w:w="80.0" w:type="dxa"/>
        <w:left w:w="100.0" w:type="dxa"/>
        <w:bottom w:w="80.0" w:type="dxa"/>
        <w:right w:w="100.0" w:type="dxa"/>
      </w:tblCellMar>
    </w:tblPr>
  </w:style>
  <w:style w:type="table" w:styleId="Table2">
    <w:basedOn w:val="TableNormal"/>
    <w:tblPr>
      <w:tblStyleRowBandSize w:val="1"/>
      <w:tblStyleColBandSize w:val="1"/>
      <w:tblCellMar>
        <w:top w:w="80.0" w:type="dxa"/>
        <w:left w:w="100.0" w:type="dxa"/>
        <w:bottom w:w="80.0" w:type="dxa"/>
        <w:right w:w="100.0" w:type="dxa"/>
      </w:tblCellMar>
    </w:tblPr>
  </w:style>
  <w:style w:type="table" w:styleId="Table3">
    <w:basedOn w:val="TableNormal"/>
    <w:tblPr>
      <w:tblStyleRowBandSize w:val="1"/>
      <w:tblStyleColBandSize w:val="1"/>
      <w:tblCellMar>
        <w:top w:w="80.0" w:type="dxa"/>
        <w:left w:w="100.0" w:type="dxa"/>
        <w:bottom w:w="80.0" w:type="dxa"/>
        <w:right w:w="100.0" w:type="dxa"/>
      </w:tblCellMar>
    </w:tblPr>
  </w:style>
  <w:style w:type="table" w:styleId="Table4">
    <w:basedOn w:val="TableNormal"/>
    <w:tblPr>
      <w:tblStyleRowBandSize w:val="1"/>
      <w:tblStyleColBandSize w:val="1"/>
      <w:tblCellMar>
        <w:top w:w="80.0" w:type="dxa"/>
        <w:left w:w="100.0" w:type="dxa"/>
        <w:bottom w:w="80.0" w:type="dxa"/>
        <w:right w:w="100.0" w:type="dxa"/>
      </w:tblCellMar>
    </w:tblPr>
  </w:style>
  <w:style w:type="table" w:styleId="Table5">
    <w:basedOn w:val="TableNormal"/>
    <w:tblPr>
      <w:tblStyleRowBandSize w:val="1"/>
      <w:tblStyleColBandSize w:val="1"/>
      <w:tblCellMar>
        <w:top w:w="80.0" w:type="dxa"/>
        <w:left w:w="100.0" w:type="dxa"/>
        <w:bottom w:w="80.0" w:type="dxa"/>
        <w:right w:w="100.0" w:type="dxa"/>
      </w:tblCellMar>
    </w:tblPr>
  </w:style>
  <w:style w:type="table" w:styleId="Table6">
    <w:basedOn w:val="TableNormal"/>
    <w:tblPr>
      <w:tblStyleRowBandSize w:val="1"/>
      <w:tblStyleColBandSize w:val="1"/>
      <w:tblCellMar>
        <w:top w:w="80.0" w:type="dxa"/>
        <w:left w:w="100.0" w:type="dxa"/>
        <w:bottom w:w="80.0" w:type="dxa"/>
        <w:right w:w="100.0" w:type="dxa"/>
      </w:tblCellMar>
    </w:tblPr>
  </w:style>
  <w:style w:type="table" w:styleId="Table7">
    <w:basedOn w:val="TableNormal"/>
    <w:tblPr>
      <w:tblStyleRowBandSize w:val="1"/>
      <w:tblStyleColBandSize w:val="1"/>
      <w:tblCellMar>
        <w:top w:w="80.0" w:type="dxa"/>
        <w:left w:w="100.0" w:type="dxa"/>
        <w:bottom w:w="80.0" w:type="dxa"/>
        <w:right w:w="100.0" w:type="dxa"/>
      </w:tblCellMar>
    </w:tblPr>
  </w:style>
  <w:style w:type="table" w:styleId="Table8">
    <w:basedOn w:val="TableNormal"/>
    <w:tblPr>
      <w:tblStyleRowBandSize w:val="1"/>
      <w:tblStyleColBandSize w:val="1"/>
      <w:tblCellMar>
        <w:top w:w="80.0" w:type="dxa"/>
        <w:left w:w="100.0" w:type="dxa"/>
        <w:bottom w:w="80.0" w:type="dxa"/>
        <w:right w:w="100.0" w:type="dxa"/>
      </w:tblCellMar>
    </w:tblPr>
  </w:style>
  <w:style w:type="table" w:styleId="Table9">
    <w:basedOn w:val="TableNormal"/>
    <w:tblPr>
      <w:tblStyleRowBandSize w:val="1"/>
      <w:tblStyleColBandSize w:val="1"/>
      <w:tblCellMar>
        <w:top w:w="80.0" w:type="dxa"/>
        <w:left w:w="100.0" w:type="dxa"/>
        <w:bottom w:w="80.0" w:type="dxa"/>
        <w:right w:w="100.0" w:type="dxa"/>
      </w:tblCellMar>
    </w:tblPr>
  </w:style>
  <w:style w:type="table" w:styleId="Table10">
    <w:basedOn w:val="TableNormal"/>
    <w:tblPr>
      <w:tblStyleRowBandSize w:val="1"/>
      <w:tblStyleColBandSize w:val="1"/>
      <w:tblCellMar>
        <w:top w:w="80.0" w:type="dxa"/>
        <w:left w:w="100.0" w:type="dxa"/>
        <w:bottom w:w="80.0" w:type="dxa"/>
        <w:right w:w="100.0" w:type="dxa"/>
      </w:tblCellMar>
    </w:tblPr>
  </w:style>
  <w:style w:type="table" w:styleId="Table11">
    <w:basedOn w:val="TableNormal"/>
    <w:tblPr>
      <w:tblStyleRowBandSize w:val="1"/>
      <w:tblStyleColBandSize w:val="1"/>
      <w:tblCellMar>
        <w:top w:w="80.0" w:type="dxa"/>
        <w:left w:w="100.0" w:type="dxa"/>
        <w:bottom w:w="80.0" w:type="dxa"/>
        <w:right w:w="100.0" w:type="dxa"/>
      </w:tblCellMar>
    </w:tblPr>
  </w:style>
  <w:style w:type="table" w:styleId="Table12">
    <w:basedOn w:val="TableNormal"/>
    <w:tblPr>
      <w:tblStyleRowBandSize w:val="1"/>
      <w:tblStyleColBandSize w:val="1"/>
      <w:tblCellMar>
        <w:top w:w="80.0" w:type="dxa"/>
        <w:left w:w="100.0" w:type="dxa"/>
        <w:bottom w:w="80.0" w:type="dxa"/>
        <w:right w:w="100.0" w:type="dxa"/>
      </w:tblCellMar>
    </w:tblPr>
  </w:style>
  <w:style w:type="table" w:styleId="Table13">
    <w:basedOn w:val="TableNormal"/>
    <w:tblPr>
      <w:tblStyleRowBandSize w:val="1"/>
      <w:tblStyleColBandSize w:val="1"/>
      <w:tblCellMar>
        <w:top w:w="80.0" w:type="dxa"/>
        <w:left w:w="100.0" w:type="dxa"/>
        <w:bottom w:w="80.0" w:type="dxa"/>
        <w:right w:w="100.0" w:type="dxa"/>
      </w:tblCellMar>
    </w:tblPr>
  </w:style>
  <w:style w:type="table" w:styleId="Table14">
    <w:basedOn w:val="TableNormal"/>
    <w:tblPr>
      <w:tblStyleRowBandSize w:val="1"/>
      <w:tblStyleColBandSize w:val="1"/>
      <w:tblCellMar>
        <w:top w:w="80.0" w:type="dxa"/>
        <w:left w:w="100.0" w:type="dxa"/>
        <w:bottom w:w="8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13" Type="http://schemas.openxmlformats.org/officeDocument/2006/relationships/image" Target="media/image2.png"/><Relationship Id="rId14" Type="http://schemas.openxmlformats.org/officeDocument/2006/relationships/hyperlink" Target="https://www.cisco.com/c/en/us/support/docs/ip/access-lists/26448-ACLsamples.html" TargetMode="External"/><Relationship Id="rId15" Type="http://schemas.openxmlformats.org/officeDocument/2006/relationships/hyperlink" Target="https://www.cisco.com/c/en/us/td/docs/ios-xml/ios/ipaddr_dhcp/configuration/xe-16-11/dhcp-xe-16-11-book/dhcp-relay-agent-xe.html" TargetMode="External"/><Relationship Id="rId16" Type="http://schemas.openxmlformats.org/officeDocument/2006/relationships/hyperlink" Target="https://learn.microsoft.com/en-us/troubleshoot/windows-server/active-directory/config-firewall-for-ad-domains-and-trusts" TargetMode="External"/><Relationship Id="rId17" Type="http://schemas.openxmlformats.org/officeDocument/2006/relationships/hyperlink" Target="https://pve.proxmox.com/wiki/Network_Configuration" TargetMode="External"/><Relationship Id="rId18" Type="http://schemas.openxmlformats.org/officeDocument/2006/relationships/hyperlink" Target="https://kb.hillstonenet.com/en/wp-content/uploads/2020/10/StoneOS-Cookbook-V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Dossier technique du réseau</dc:title>
  <cp:lastModifiedBy>python-docx</cp:lastModifiedBy>
  <cp:revision>1</cp:revision>
  <dcterms:modified xsi:type="dcterms:W3CDTF">2026-09-17T13:21:15Z</dcterms:modified>
  <dc:subject>Architecture et mise en service selon le schéma du 17 septembre 2026</dc:subject>
</cp:coreProperties>
</file>