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10ac28dba9dd379ae05c4851053b09cbe02d9fa"/>
    <w:p>
      <w:pPr>
        <w:pStyle w:val="Heading1"/>
      </w:pPr>
      <w:r>
        <w:t xml:space="preserve">Santélia — Configuration des 3 nœuds Proxmox</w:t>
      </w:r>
    </w:p>
    <w:p>
      <w:pPr>
        <w:pStyle w:val="BlockText"/>
      </w:pPr>
      <w:r>
        <w:t xml:space="preserve">Document diffusable</w:t>
      </w:r>
      <w:r>
        <w:t xml:space="preserve"> </w:t>
      </w:r>
      <w:r>
        <w:t xml:space="preserve">Dépôt :</w:t>
      </w:r>
      <w:r>
        <w:t xml:space="preserve"> </w:t>
      </w:r>
      <w:r>
        <w:rPr>
          <w:rStyle w:val="VerbatimChar"/>
        </w:rPr>
        <w:t xml:space="preserve">santelia-iac</w:t>
      </w:r>
      <w:r>
        <w:t xml:space="preserve"> </w:t>
      </w:r>
      <w:r>
        <w:t xml:space="preserve">— Dernière mise à jour : 05/10/2026</w:t>
      </w:r>
    </w:p>
    <w:p>
      <w:r>
        <w:pict>
          <v:rect style="width:0;height:1.5pt" o:hralign="center" o:hrstd="t" o:hr="t"/>
        </w:pict>
      </w:r>
    </w:p>
    <w:bookmarkStart w:id="9" w:name="objet-du-document"/>
    <w:p>
      <w:pPr>
        <w:pStyle w:val="Heading2"/>
      </w:pPr>
      <w:r>
        <w:t xml:space="preserve">1. Objet du document</w:t>
      </w:r>
    </w:p>
    <w:p>
      <w:pPr>
        <w:pStyle w:val="FirstParagraph"/>
      </w:pPr>
      <w:r>
        <w:t xml:space="preserve">Ce document décrit la configuration retenue pour la brique</w:t>
      </w:r>
      <w:r>
        <w:t xml:space="preserve"> </w:t>
      </w:r>
      <w:r>
        <w:rPr>
          <w:b/>
          <w:bCs/>
        </w:rPr>
        <w:t xml:space="preserve">Proxmox VE HA</w:t>
      </w:r>
      <w:r>
        <w:t xml:space="preserve"> </w:t>
      </w:r>
      <w:r>
        <w:t xml:space="preserve">du projet Santélia, dont le rôle est d’héberger les VM critiques dans une architecture de haute disponibilité afin de limiter les interruptions de service.</w:t>
      </w:r>
    </w:p>
    <w:p>
      <w:pPr>
        <w:pStyle w:val="BodyText"/>
      </w:pPr>
      <w:r>
        <w:rPr>
          <w:b/>
          <w:bCs/>
        </w:rPr>
        <w:t xml:space="preserve">Statut :</w:t>
      </w:r>
      <w:r>
        <w:t xml:space="preserve"> </w:t>
      </w:r>
      <w:r>
        <w:t xml:space="preserve">cluster</w:t>
      </w:r>
      <w:r>
        <w:t xml:space="preserve"> </w:t>
      </w:r>
      <w:r>
        <w:rPr>
          <w:b/>
          <w:bCs/>
        </w:rPr>
        <w:t xml:space="preserve">créé et opérationnel</w:t>
      </w:r>
      <w:r>
        <w:t xml:space="preserve"> </w:t>
      </w:r>
      <w:r>
        <w:t xml:space="preserve">(quorate, trois nœuds, anneaux de communication vérifiés). La réplication et le groupe de haute disponibilité sont opérationnels.</w:t>
      </w:r>
    </w:p>
    <w:p>
      <w:pPr>
        <w:pStyle w:val="BodyText"/>
      </w:pPr>
      <w:r>
        <w:t xml:space="preserve">Cette brique répond à l’exigence n° 1 du cahier des charges, classée</w:t>
      </w:r>
      <w:r>
        <w:t xml:space="preserve"> </w:t>
      </w:r>
      <w:r>
        <w:rPr>
          <w:b/>
          <w:bCs/>
        </w:rPr>
        <w:t xml:space="preserve">Must</w:t>
      </w:r>
      <w:r>
        <w:t xml:space="preserve"> </w:t>
      </w:r>
      <w:r>
        <w:t xml:space="preserve">: « Accès continu au DPI via haute disponibilité des VM ».</w:t>
      </w:r>
    </w:p>
    <w:p>
      <w:r>
        <w:pict>
          <v:rect style="width:0;height:1.5pt" o:hralign="center" o:hrstd="t" o:hr="t"/>
        </w:pict>
      </w:r>
    </w:p>
    <w:bookmarkEnd w:id="9"/>
    <w:bookmarkStart w:id="10" w:name="écarts-assumés"/>
    <w:p>
      <w:pPr>
        <w:pStyle w:val="Heading2"/>
      </w:pPr>
      <w:r>
        <w:t xml:space="preserve">2. Écarts assumés</w:t>
      </w:r>
    </w:p>
    <w:p>
      <w:pPr>
        <w:pStyle w:val="FirstParagraph"/>
      </w:pPr>
      <w:r>
        <w:t xml:space="preserve">À déclarer explicitement dans la recette, puisqu’elle doit démontrer la conformité de façon objective.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Écart</w:t>
            </w:r>
          </w:p>
        </w:tc>
        <w:tc>
          <w:tcPr/>
          <w:p>
            <w:pPr>
              <w:pStyle w:val="Compact"/>
            </w:pPr>
            <w:r>
              <w:t xml:space="preserve">Justification</w:t>
            </w:r>
          </w:p>
        </w:tc>
        <w:tc>
          <w:tcPr/>
          <w:p>
            <w:pPr>
              <w:pStyle w:val="Compact"/>
            </w:pPr>
            <w:r>
              <w:t xml:space="preserve">Impact</w:t>
            </w:r>
          </w:p>
        </w:tc>
      </w:tr>
      <w:tr>
        <w:tc>
          <w:tcPr/>
          <w:p>
            <w:pPr>
              <w:pStyle w:val="Compact"/>
            </w:pPr>
            <w:r>
              <w:t xml:space="preserve">Les 3 nœuds sont hébergés sur</w:t>
            </w:r>
            <w:r>
              <w:t xml:space="preserve"> </w:t>
            </w:r>
            <w:r>
              <w:rPr>
                <w:b/>
                <w:bCs/>
              </w:rPr>
              <w:t xml:space="preserve">une seule machine physique</w:t>
            </w:r>
          </w:p>
        </w:tc>
        <w:tc>
          <w:tcPr/>
          <w:p>
            <w:pPr>
              <w:pStyle w:val="Compact"/>
            </w:pPr>
            <w:r>
              <w:t xml:space="preserve">Contrainte matérielle du laboratoire</w:t>
            </w:r>
          </w:p>
        </w:tc>
        <w:tc>
          <w:tcPr/>
          <w:p>
            <w:pPr>
              <w:pStyle w:val="Compact"/>
            </w:pPr>
            <w:r>
              <w:t xml:space="preserve">La maquette démontre le</w:t>
            </w:r>
            <w:r>
              <w:t xml:space="preserve"> </w:t>
            </w:r>
            <w:r>
              <w:rPr>
                <w:b/>
                <w:bCs/>
              </w:rPr>
              <w:t xml:space="preserve">mécanisme</w:t>
            </w:r>
            <w:r>
              <w:t xml:space="preserve"> </w:t>
            </w:r>
            <w:r>
              <w:t xml:space="preserve">de quorum, de réplication et de bascule, pas la résistance à une panne physique de l’hôte</w:t>
            </w:r>
          </w:p>
        </w:tc>
      </w:tr>
      <w:tr>
        <w:tc>
          <w:tcPr/>
          <w:p>
            <w:pPr>
              <w:pStyle w:val="Compact"/>
            </w:pPr>
            <w:r>
              <w:rPr>
                <w:b/>
                <w:bCs/>
              </w:rPr>
              <w:t xml:space="preserve">Pare-feu Proxmox désactivé</w:t>
            </w:r>
          </w:p>
        </w:tc>
        <w:tc>
          <w:tcPr/>
          <w:p>
            <w:pPr>
              <w:pStyle w:val="Compact"/>
            </w:pPr>
            <w:r>
              <w:t xml:space="preserve">Simplification de l’environnement de test</w:t>
            </w:r>
          </w:p>
        </w:tc>
        <w:tc>
          <w:tcPr/>
          <w:p>
            <w:pPr>
              <w:pStyle w:val="Compact"/>
            </w:pPr>
            <w:r>
              <w:t xml:space="preserve">À activer en production</w:t>
            </w:r>
          </w:p>
        </w:tc>
      </w:tr>
      <w:tr>
        <w:tc>
          <w:tcPr/>
          <w:p>
            <w:pPr>
              <w:pStyle w:val="Compact"/>
            </w:pPr>
            <w:r>
              <w:rPr>
                <w:rStyle w:val="VerbatimChar"/>
              </w:rPr>
              <w:t xml:space="preserve">host_key_checking = False</w:t>
            </w:r>
            <w:r>
              <w:t xml:space="preserve"> </w:t>
            </w:r>
            <w:r>
              <w:t xml:space="preserve">côté Ansible</w:t>
            </w:r>
          </w:p>
        </w:tc>
        <w:tc>
          <w:tcPr/>
          <w:p>
            <w:pPr>
              <w:pStyle w:val="Compact"/>
            </w:pPr>
            <w:r>
              <w:t xml:space="preserve">Environnement de test</w:t>
            </w:r>
          </w:p>
        </w:tc>
        <w:tc>
          <w:tcPr/>
          <w:p>
            <w:pPr>
              <w:pStyle w:val="Compact"/>
            </w:pPr>
            <w:r>
              <w:t xml:space="preserve">Écart de sécurité documenté, à corriger en production</w:t>
            </w:r>
          </w:p>
        </w:tc>
      </w:tr>
      <w:tr>
        <w:tc>
          <w:tcPr/>
          <w:p>
            <w:pPr>
              <w:pStyle w:val="Compact"/>
            </w:pPr>
            <w:r>
              <w:rPr>
                <w:b/>
                <w:bCs/>
              </w:rPr>
              <w:t xml:space="preserve">Aucun swap</w:t>
            </w:r>
            <w:r>
              <w:t xml:space="preserve"> </w:t>
            </w:r>
            <w:r>
              <w:t xml:space="preserve">dans les nœuds</w:t>
            </w:r>
          </w:p>
        </w:tc>
        <w:tc>
          <w:tcPr/>
          <w:p>
            <w:pPr>
              <w:pStyle w:val="Compact"/>
            </w:pPr>
            <w:r>
              <w:t xml:space="preserve">Comportement Proxmox par défaut sur ZFS</w:t>
            </w:r>
          </w:p>
        </w:tc>
        <w:tc>
          <w:tcPr/>
          <w:p>
            <w:pPr>
              <w:pStyle w:val="Compact"/>
            </w:pPr>
            <w:r>
              <w:t xml:space="preserve">Acceptable pour des nœuds de laboratoire, à surveiller</w:t>
            </w:r>
          </w:p>
        </w:tc>
      </w:tr>
      <w:tr>
        <w:tc>
          <w:tcPr/>
          <w:p>
            <w:pPr>
              <w:pStyle w:val="Compact"/>
            </w:pPr>
            <w:r>
              <w:t xml:space="preserve">ZFS en</w:t>
            </w:r>
            <w:r>
              <w:t xml:space="preserve"> </w:t>
            </w:r>
            <w:r>
              <w:rPr>
                <w:b/>
                <w:bCs/>
              </w:rPr>
              <w:t xml:space="preserve">RAID0 (disque unique)</w:t>
            </w:r>
            <w:r>
              <w:t xml:space="preserve"> </w:t>
            </w:r>
            <w:r>
              <w:t xml:space="preserve">par nœud</w:t>
            </w:r>
          </w:p>
        </w:tc>
        <w:tc>
          <w:tcPr/>
          <w:p>
            <w:pPr>
              <w:pStyle w:val="Compact"/>
            </w:pPr>
            <w:r>
              <w:t xml:space="preserve">Un seul disque virtuel par nœud</w:t>
            </w:r>
          </w:p>
        </w:tc>
        <w:tc>
          <w:tcPr/>
          <w:p>
            <w:pPr>
              <w:pStyle w:val="Compact"/>
            </w:pPr>
            <w:r>
              <w:t xml:space="preserve">Aucune redondance au niveau du pool ; le pool sert à la réplication, pas à la tolérance de panne</w:t>
            </w:r>
          </w:p>
        </w:tc>
      </w:tr>
      <w:tr>
        <w:tc>
          <w:tcPr/>
          <w:p>
            <w:pPr>
              <w:pStyle w:val="Compact"/>
            </w:pPr>
            <w:r>
              <w:rPr>
                <w:b/>
                <w:bCs/>
              </w:rPr>
              <w:t xml:space="preserve">Un seul chemin de communication de cluster</w:t>
            </w:r>
          </w:p>
        </w:tc>
        <w:tc>
          <w:tcPr/>
          <w:p>
            <w:pPr>
              <w:pStyle w:val="Compact"/>
            </w:pPr>
            <w:r>
              <w:t xml:space="preserve">Configuration par défaut</w:t>
            </w:r>
          </w:p>
        </w:tc>
        <w:tc>
          <w:tcPr/>
          <w:p>
            <w:pPr>
              <w:pStyle w:val="Compact"/>
            </w:pPr>
            <w:r>
              <w:t xml:space="preserve">Pas de redondance du lien de quorum si le réseau d’administration vacille</w:t>
            </w:r>
          </w:p>
        </w:tc>
      </w:tr>
    </w:tbl>
    <w:p>
      <w:r>
        <w:pict>
          <v:rect style="width:0;height:1.5pt" o:hralign="center" o:hrstd="t" o:hr="t"/>
        </w:pict>
      </w:r>
    </w:p>
    <w:bookmarkEnd w:id="10"/>
    <w:bookmarkStart w:id="13" w:name="architecture"/>
    <w:p>
      <w:pPr>
        <w:pStyle w:val="Heading2"/>
      </w:pPr>
      <w:r>
        <w:t xml:space="preserve">3. Architecture</w:t>
      </w:r>
    </w:p>
    <w:p>
      <w:pPr>
        <w:pStyle w:val="FirstParagraph"/>
      </w:pPr>
      <w:r>
        <w:t xml:space="preserve">Un hyperviseur physique héberge</w:t>
      </w:r>
      <w:r>
        <w:t xml:space="preserve"> </w:t>
      </w:r>
      <w:r>
        <w:rPr>
          <w:b/>
          <w:bCs/>
        </w:rPr>
        <w:t xml:space="preserve">trois nœuds Proxmox VE imbriqués</w:t>
      </w:r>
      <w:r>
        <w:t xml:space="preserve">, virtuellement séparés.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Nœud</w:t>
            </w:r>
          </w:p>
        </w:tc>
        <w:tc>
          <w:tcPr/>
          <w:p>
            <w:pPr>
              <w:pStyle w:val="Compact"/>
            </w:pPr>
            <w:r>
              <w:t xml:space="preserve">Rôle</w:t>
            </w:r>
          </w:p>
        </w:tc>
        <w:tc>
          <w:tcPr/>
          <w:p>
            <w:pPr>
              <w:pStyle w:val="Compact"/>
            </w:pPr>
            <w:r>
              <w:t xml:space="preserve">vCPU</w:t>
            </w:r>
          </w:p>
        </w:tc>
        <w:tc>
          <w:tcPr/>
          <w:p>
            <w:pPr>
              <w:pStyle w:val="Compact"/>
            </w:pPr>
            <w:r>
              <w:t xml:space="preserve">RAM</w:t>
            </w:r>
          </w:p>
        </w:tc>
        <w:tc>
          <w:tcPr/>
          <w:p>
            <w:pPr>
              <w:pStyle w:val="Compact"/>
            </w:pPr>
            <w:r>
              <w:t xml:space="preserve">Disque</w:t>
            </w:r>
          </w:p>
        </w:tc>
      </w:tr>
      <w:tr>
        <w:tc>
          <w:tcPr/>
          <w:p>
            <w:pPr>
              <w:pStyle w:val="Compact"/>
            </w:pPr>
            <w:r>
              <w:rPr>
                <w:rStyle w:val="VerbatimChar"/>
              </w:rPr>
              <w:t xml:space="preserve">pve-a</w:t>
            </w:r>
          </w:p>
        </w:tc>
        <w:tc>
          <w:tcPr/>
          <w:p>
            <w:pPr>
              <w:pStyle w:val="Compact"/>
            </w:pPr>
            <w:r>
              <w:t xml:space="preserve">Nœud principal</w:t>
            </w:r>
          </w:p>
        </w:tc>
        <w:tc>
          <w:tcPr/>
          <w:p>
            <w:pPr>
              <w:pStyle w:val="Compact"/>
            </w:pPr>
            <w:r>
              <w:t xml:space="preserve">2</w:t>
            </w:r>
          </w:p>
        </w:tc>
        <w:tc>
          <w:tcPr/>
          <w:p>
            <w:pPr>
              <w:pStyle w:val="Compact"/>
            </w:pPr>
            <w:r>
              <w:t xml:space="preserve">4 Gio</w:t>
            </w:r>
          </w:p>
        </w:tc>
        <w:tc>
          <w:tcPr/>
          <w:p>
            <w:pPr>
              <w:pStyle w:val="Compact"/>
            </w:pPr>
            <w:r>
              <w:t xml:space="preserve">24 Gio</w:t>
            </w:r>
          </w:p>
        </w:tc>
      </w:tr>
      <w:tr>
        <w:tc>
          <w:tcPr/>
          <w:p>
            <w:pPr>
              <w:pStyle w:val="Compact"/>
            </w:pPr>
            <w:r>
              <w:rPr>
                <w:rStyle w:val="VerbatimChar"/>
              </w:rPr>
              <w:t xml:space="preserve">pve-b</w:t>
            </w:r>
          </w:p>
        </w:tc>
        <w:tc>
          <w:tcPr/>
          <w:p>
            <w:pPr>
              <w:pStyle w:val="Compact"/>
            </w:pPr>
            <w:r>
              <w:t xml:space="preserve">Nœud secondaire</w:t>
            </w:r>
          </w:p>
        </w:tc>
        <w:tc>
          <w:tcPr/>
          <w:p>
            <w:pPr>
              <w:pStyle w:val="Compact"/>
            </w:pPr>
            <w:r>
              <w:t xml:space="preserve">2</w:t>
            </w:r>
          </w:p>
        </w:tc>
        <w:tc>
          <w:tcPr/>
          <w:p>
            <w:pPr>
              <w:pStyle w:val="Compact"/>
            </w:pPr>
            <w:r>
              <w:t xml:space="preserve">4 Gio</w:t>
            </w:r>
          </w:p>
        </w:tc>
        <w:tc>
          <w:tcPr/>
          <w:p>
            <w:pPr>
              <w:pStyle w:val="Compact"/>
            </w:pPr>
            <w:r>
              <w:t xml:space="preserve">24 Gio</w:t>
            </w:r>
          </w:p>
        </w:tc>
      </w:tr>
      <w:tr>
        <w:tc>
          <w:tcPr/>
          <w:p>
            <w:pPr>
              <w:pStyle w:val="Compact"/>
            </w:pPr>
            <w:r>
              <w:rPr>
                <w:rStyle w:val="VerbatimChar"/>
              </w:rPr>
              <w:t xml:space="preserve">pve-c</w:t>
            </w:r>
          </w:p>
        </w:tc>
        <w:tc>
          <w:tcPr/>
          <w:p>
            <w:pPr>
              <w:pStyle w:val="Compact"/>
            </w:pPr>
            <w:r>
              <w:t xml:space="preserve">Votant de quorum</w:t>
            </w:r>
          </w:p>
        </w:tc>
        <w:tc>
          <w:tcPr/>
          <w:p>
            <w:pPr>
              <w:pStyle w:val="Compact"/>
            </w:pPr>
            <w:r>
              <w:t xml:space="preserve">2</w:t>
            </w:r>
          </w:p>
        </w:tc>
        <w:tc>
          <w:tcPr/>
          <w:p>
            <w:pPr>
              <w:pStyle w:val="Compact"/>
            </w:pPr>
            <w:r>
              <w:t xml:space="preserve">4 Gio</w:t>
            </w:r>
          </w:p>
        </w:tc>
        <w:tc>
          <w:tcPr/>
          <w:p>
            <w:pPr>
              <w:pStyle w:val="Compact"/>
            </w:pPr>
            <w:r>
              <w:t xml:space="preserve">24 Gio</w:t>
            </w:r>
          </w:p>
        </w:tc>
      </w:tr>
    </w:tbl>
    <w:bookmarkStart w:id="11" w:name="pourquoi-trois-nœuds-et-pas-deux"/>
    <w:p>
      <w:pPr>
        <w:pStyle w:val="Heading3"/>
      </w:pPr>
      <w:r>
        <w:t xml:space="preserve">Pourquoi trois nœuds et pas deux</w:t>
      </w:r>
    </w:p>
    <w:p>
      <w:pPr>
        <w:pStyle w:val="FirstParagraph"/>
      </w:pPr>
      <w:r>
        <w:t xml:space="preserve">Le quorum Corosync exige une</w:t>
      </w:r>
      <w:r>
        <w:t xml:space="preserve"> </w:t>
      </w:r>
      <w:r>
        <w:rPr>
          <w:b/>
          <w:bCs/>
        </w:rPr>
        <w:t xml:space="preserve">majorité stricte</w:t>
      </w:r>
      <w:r>
        <w:t xml:space="preserve">. À trois nœuds, la majorité est de deux : perdre un nœud laisse le cluster opérationnel. À deux nœuds, il faudrait ajouter un</w:t>
      </w:r>
      <w:r>
        <w:t xml:space="preserve"> </w:t>
      </w:r>
      <w:r>
        <w:rPr>
          <w:b/>
          <w:bCs/>
        </w:rPr>
        <w:t xml:space="preserve">QDevice</w:t>
      </w:r>
      <w:r>
        <w:t xml:space="preserve"> </w:t>
      </w:r>
      <w:r>
        <w:t xml:space="preserve">externe pour obtenir cette même majorité.</w:t>
      </w:r>
    </w:p>
    <w:p>
      <w:pPr>
        <w:pStyle w:val="BodyText"/>
      </w:pPr>
      <w:r>
        <w:t xml:space="preserve">Le choix de trois nœuds supprime donc le besoin d’un QDevice, d’un export NFS comme stockage partagé, et de toute la complexité qui va avec.</w:t>
      </w:r>
    </w:p>
    <w:bookmarkEnd w:id="11"/>
    <w:bookmarkStart w:id="12" w:name="X3629bf4f6542597f0921858e4cccf3168d6de66"/>
    <w:p>
      <w:pPr>
        <w:pStyle w:val="Heading3"/>
      </w:pPr>
      <w:r>
        <w:t xml:space="preserve">Pourquoi les trois nœuds sur la même machine</w:t>
      </w:r>
    </w:p>
    <w:p>
      <w:pPr>
        <w:pStyle w:val="FirstParagraph"/>
      </w:pPr>
      <w:r>
        <w:t xml:space="preserve">Les trois nœuds partagent un processeur identique, ce qui autorise l’exposition du</w:t>
      </w:r>
      <w:r>
        <w:t xml:space="preserve"> </w:t>
      </w:r>
      <w:r>
        <w:rPr>
          <w:b/>
          <w:bCs/>
        </w:rPr>
        <w:t xml:space="preserve">type CPU natif</w:t>
      </w:r>
      <w:r>
        <w:t xml:space="preserve"> </w:t>
      </w:r>
      <w:r>
        <w:t xml:space="preserve">et supprime toute contrainte de compatibilité pour la migration à chaud. Un nœud placé sur une seconde machine physique, de génération différente, aurait imposé un modèle de CPU conservateur au détriment des performances.</w:t>
      </w:r>
    </w:p>
    <w:p>
      <w:r>
        <w:pict>
          <v:rect style="width:0;height:1.5pt" o:hralign="center" o:hrstd="t" o:hr="t"/>
        </w:pict>
      </w:r>
    </w:p>
    <w:bookmarkEnd w:id="12"/>
    <w:bookmarkEnd w:id="13"/>
    <w:bookmarkStart w:id="17" w:name="prérequis-techniques"/>
    <w:p>
      <w:pPr>
        <w:pStyle w:val="Heading2"/>
      </w:pPr>
      <w:r>
        <w:t xml:space="preserve">4. Prérequis techniques</w:t>
      </w:r>
    </w:p>
    <w:bookmarkStart w:id="14" w:name="Xcfd22f5d53f2e53ec2503bfc88ae1d65feedad0"/>
    <w:p>
      <w:pPr>
        <w:pStyle w:val="Heading3"/>
      </w:pPr>
      <w:r>
        <w:t xml:space="preserve">Activation de la virtualisation imbriquée</w:t>
      </w:r>
    </w:p>
    <w:p>
      <w:pPr>
        <w:pStyle w:val="FirstParagraph"/>
      </w:pPr>
      <w:r>
        <w:t xml:space="preserve">L’hôte doit exposer les instructions de virtualisation matérielle à ses invités, sinon un nœud démarre mais</w:t>
      </w:r>
      <w:r>
        <w:t xml:space="preserve"> </w:t>
      </w:r>
      <w:r>
        <w:rPr>
          <w:b/>
          <w:bCs/>
        </w:rPr>
        <w:t xml:space="preserve">refuse de lancer ses propres machines virtuelles</w:t>
      </w:r>
      <w:r>
        <w:t xml:space="preserve">.</w:t>
      </w:r>
    </w:p>
    <w:p>
      <w:pPr>
        <w:pStyle w:val="BodyText"/>
      </w:pPr>
      <w:r>
        <w:t xml:space="preserve">Vérification : le paramètre</w:t>
      </w:r>
      <w:r>
        <w:t xml:space="preserve"> </w:t>
      </w:r>
      <w:r>
        <w:rPr>
          <w:rStyle w:val="VerbatimChar"/>
        </w:rPr>
        <w:t xml:space="preserve">nested</w:t>
      </w:r>
      <w:r>
        <w:t xml:space="preserve"> </w:t>
      </w:r>
      <w:r>
        <w:t xml:space="preserve">du module KVM doit valoir</w:t>
      </w:r>
      <w:r>
        <w:t xml:space="preserve"> </w:t>
      </w:r>
      <w:r>
        <w:rPr>
          <w:rStyle w:val="VerbatimChar"/>
        </w:rPr>
        <w:t xml:space="preserve">Y</w:t>
      </w:r>
      <w:r>
        <w:t xml:space="preserve">.</w:t>
      </w:r>
    </w:p>
    <w:bookmarkEnd w:id="14"/>
    <w:bookmarkStart w:id="15" w:name="paramétrage-des-vm"/>
    <w:p>
      <w:pPr>
        <w:pStyle w:val="Heading3"/>
      </w:pPr>
      <w:r>
        <w:t xml:space="preserve">Paramétrage des VM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Paramètre</w:t>
            </w:r>
          </w:p>
        </w:tc>
        <w:tc>
          <w:tcPr/>
          <w:p>
            <w:pPr>
              <w:pStyle w:val="Compact"/>
            </w:pPr>
            <w:r>
              <w:t xml:space="preserve">Valeur</w:t>
            </w:r>
          </w:p>
        </w:tc>
        <w:tc>
          <w:tcPr/>
          <w:p>
            <w:pPr>
              <w:pStyle w:val="Compact"/>
            </w:pPr>
            <w:r>
              <w:t xml:space="preserve">Justification</w:t>
            </w:r>
          </w:p>
        </w:tc>
      </w:tr>
      <w:tr>
        <w:tc>
          <w:tcPr/>
          <w:p>
            <w:pPr>
              <w:pStyle w:val="Compact"/>
            </w:pPr>
            <w:r>
              <w:t xml:space="preserve">Type de CPU</w:t>
            </w:r>
          </w:p>
        </w:tc>
        <w:tc>
          <w:tcPr/>
          <w:p>
            <w:pPr>
              <w:pStyle w:val="Compact"/>
            </w:pPr>
            <w:r>
              <w:rPr>
                <w:b/>
                <w:bCs/>
              </w:rPr>
              <w:t xml:space="preserve">Natif</w:t>
            </w:r>
          </w:p>
        </w:tc>
        <w:tc>
          <w:tcPr/>
          <w:p>
            <w:pPr>
              <w:pStyle w:val="Compact"/>
            </w:pPr>
            <w:r>
              <w:t xml:space="preserve">Sans lui, le nœud démarre mais ne peut pas virtualiser</w:t>
            </w:r>
          </w:p>
        </w:tc>
      </w:tr>
      <w:tr>
        <w:tc>
          <w:tcPr/>
          <w:p>
            <w:pPr>
              <w:pStyle w:val="Compact"/>
            </w:pPr>
            <w:r>
              <w:t xml:space="preserve">Gestion mémoire dynamique</w:t>
            </w:r>
          </w:p>
        </w:tc>
        <w:tc>
          <w:tcPr/>
          <w:p>
            <w:pPr>
              <w:pStyle w:val="Compact"/>
            </w:pPr>
            <w:r>
              <w:rPr>
                <w:b/>
                <w:bCs/>
              </w:rPr>
              <w:t xml:space="preserve">Désactivée</w:t>
            </w:r>
          </w:p>
        </w:tc>
        <w:tc>
          <w:tcPr/>
          <w:p>
            <w:pPr>
              <w:pStyle w:val="Compact"/>
            </w:pPr>
            <w:r>
              <w:t xml:space="preserve">Comportement erratique dans un hyperviseur déjà virtualisé</w:t>
            </w:r>
          </w:p>
        </w:tc>
      </w:tr>
      <w:tr>
        <w:tc>
          <w:tcPr/>
          <w:p>
            <w:pPr>
              <w:pStyle w:val="Compact"/>
            </w:pPr>
            <w:r>
              <w:t xml:space="preserve">Discard</w:t>
            </w:r>
          </w:p>
        </w:tc>
        <w:tc>
          <w:tcPr/>
          <w:p>
            <w:pPr>
              <w:pStyle w:val="Compact"/>
            </w:pPr>
            <w:r>
              <w:rPr>
                <w:b/>
                <w:bCs/>
              </w:rPr>
              <w:t xml:space="preserve">Activé</w:t>
            </w:r>
          </w:p>
        </w:tc>
        <w:tc>
          <w:tcPr/>
          <w:p>
            <w:pPr>
              <w:pStyle w:val="Compact"/>
            </w:pPr>
            <w:r>
              <w:t xml:space="preserve">Permet au stockage thin de récupérer les blocs libérés</w:t>
            </w:r>
          </w:p>
        </w:tc>
      </w:tr>
      <w:tr>
        <w:tc>
          <w:tcPr/>
          <w:p>
            <w:pPr>
              <w:pStyle w:val="Compact"/>
            </w:pPr>
            <w:r>
              <w:t xml:space="preserve">Démarrage automatique</w:t>
            </w:r>
          </w:p>
        </w:tc>
        <w:tc>
          <w:tcPr/>
          <w:p>
            <w:pPr>
              <w:pStyle w:val="Compact"/>
            </w:pPr>
            <w:r>
              <w:rPr>
                <w:b/>
                <w:bCs/>
              </w:rPr>
              <w:t xml:space="preserve">Activé</w:t>
            </w:r>
          </w:p>
        </w:tc>
        <w:tc>
          <w:tcPr/>
          <w:p>
            <w:pPr>
              <w:pStyle w:val="Compact"/>
            </w:pPr>
            <w:r>
              <w:t xml:space="preserve">Les nœuds reviennent après un redémarrage de l’hôte</w:t>
            </w:r>
          </w:p>
        </w:tc>
      </w:tr>
      <w:tr>
        <w:tc>
          <w:tcPr/>
          <w:p>
            <w:pPr>
              <w:pStyle w:val="Compact"/>
            </w:pPr>
            <w:r>
              <w:t xml:space="preserve">Deux cartes réseau</w:t>
            </w:r>
          </w:p>
        </w:tc>
        <w:tc>
          <w:tcPr/>
          <w:p>
            <w:pPr>
              <w:pStyle w:val="Compact"/>
            </w:pPr>
            <w:r>
              <w:t xml:space="preserve">—</w:t>
            </w:r>
          </w:p>
        </w:tc>
        <w:tc>
          <w:tcPr/>
          <w:p>
            <w:pPr>
              <w:pStyle w:val="Compact"/>
            </w:pPr>
            <w:r>
              <w:t xml:space="preserve">Une pour l’administration, une pour le réseau de service</w:t>
            </w:r>
          </w:p>
        </w:tc>
      </w:tr>
    </w:tbl>
    <w:bookmarkEnd w:id="15"/>
    <w:bookmarkStart w:id="16" w:name="plafonnement-du-cache-zfs"/>
    <w:p>
      <w:pPr>
        <w:pStyle w:val="Heading3"/>
      </w:pPr>
      <w:r>
        <w:t xml:space="preserve">Plafonnement du cache ZFS</w:t>
      </w:r>
    </w:p>
    <w:p>
      <w:pPr>
        <w:pStyle w:val="FirstParagraph"/>
      </w:pPr>
      <w:r>
        <w:t xml:space="preserve">ZFS consomme par défaut jusqu’à la moitié de la RAM disponible en cache. Sur trois nœuds de 4 Gio, cela provoque une saturation mémoire. Le cache est donc plafonné à</w:t>
      </w:r>
      <w:r>
        <w:t xml:space="preserve"> </w:t>
      </w:r>
      <w:r>
        <w:rPr>
          <w:b/>
          <w:bCs/>
        </w:rPr>
        <w:t xml:space="preserve">512 Mio par nœud</w:t>
      </w:r>
      <w:r>
        <w:t xml:space="preserve">.</w:t>
      </w:r>
    </w:p>
    <w:p>
      <w:r>
        <w:pict>
          <v:rect style="width:0;height:1.5pt" o:hralign="center" o:hrstd="t" o:hr="t"/>
        </w:pict>
      </w:r>
    </w:p>
    <w:bookmarkEnd w:id="16"/>
    <w:bookmarkEnd w:id="17"/>
    <w:bookmarkStart w:id="20" w:name="stockage"/>
    <w:p>
      <w:pPr>
        <w:pStyle w:val="Heading2"/>
      </w:pPr>
      <w:r>
        <w:t xml:space="preserve">5. Stockage</w:t>
      </w:r>
    </w:p>
    <w:bookmarkStart w:id="18" w:name="hôte-physique"/>
    <w:p>
      <w:pPr>
        <w:pStyle w:val="Heading3"/>
      </w:pPr>
      <w:r>
        <w:t xml:space="preserve">Hôte physique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Volume</w:t>
            </w:r>
          </w:p>
        </w:tc>
        <w:tc>
          <w:tcPr/>
          <w:p>
            <w:pPr>
              <w:pStyle w:val="Compact"/>
            </w:pPr>
            <w:r>
              <w:t xml:space="preserve">Taille</w:t>
            </w:r>
          </w:p>
        </w:tc>
        <w:tc>
          <w:tcPr/>
          <w:p>
            <w:pPr>
              <w:pStyle w:val="Compact"/>
            </w:pPr>
            <w:r>
              <w:t xml:space="preserve">Rôle</w:t>
            </w:r>
          </w:p>
        </w:tc>
      </w:tr>
      <w:tr>
        <w:tc>
          <w:tcPr/>
          <w:p>
            <w:pPr>
              <w:pStyle w:val="Compact"/>
            </w:pPr>
            <w:r>
              <w:t xml:space="preserve">Système</w:t>
            </w:r>
          </w:p>
        </w:tc>
        <w:tc>
          <w:tcPr/>
          <w:p>
            <w:pPr>
              <w:pStyle w:val="Compact"/>
            </w:pPr>
            <w:r>
              <w:t xml:space="preserve">69 Gio</w:t>
            </w:r>
          </w:p>
        </w:tc>
        <w:tc>
          <w:tcPr/>
          <w:p>
            <w:pPr>
              <w:pStyle w:val="Compact"/>
            </w:pPr>
            <w:r>
              <w:t xml:space="preserve">Système d’exploitation, modèles de conteneurs, images ISO</w:t>
            </w:r>
          </w:p>
        </w:tc>
      </w:tr>
      <w:tr>
        <w:tc>
          <w:tcPr/>
          <w:p>
            <w:pPr>
              <w:pStyle w:val="Compact"/>
            </w:pPr>
            <w:r>
              <w:t xml:space="preserve">Thin pool</w:t>
            </w:r>
          </w:p>
        </w:tc>
        <w:tc>
          <w:tcPr/>
          <w:p>
            <w:pPr>
              <w:pStyle w:val="Compact"/>
            </w:pPr>
            <w:r>
              <w:t xml:space="preserve">141 Gio</w:t>
            </w:r>
          </w:p>
        </w:tc>
        <w:tc>
          <w:tcPr/>
          <w:p>
            <w:pPr>
              <w:pStyle w:val="Compact"/>
            </w:pPr>
            <w:r>
              <w:rPr>
                <w:b/>
                <w:bCs/>
              </w:rPr>
              <w:t xml:space="preserve">Disques des machines virtuelles</w:t>
            </w:r>
          </w:p>
        </w:tc>
      </w:tr>
      <w:tr>
        <w:tc>
          <w:tcPr/>
          <w:p>
            <w:pPr>
              <w:pStyle w:val="Compact"/>
            </w:pPr>
            <w:r>
              <w:t xml:space="preserve">Sauvegardes</w:t>
            </w:r>
          </w:p>
        </w:tc>
        <w:tc>
          <w:tcPr/>
          <w:p>
            <w:pPr>
              <w:pStyle w:val="Compact"/>
            </w:pPr>
            <w:r>
              <w:t xml:space="preserve">60 Gio libres</w:t>
            </w:r>
          </w:p>
        </w:tc>
        <w:tc>
          <w:tcPr/>
          <w:p>
            <w:pPr>
              <w:pStyle w:val="Compact"/>
            </w:pPr>
            <w:r>
              <w:t xml:space="preserve">Sauvegardes</w:t>
            </w:r>
            <w:r>
              <w:t xml:space="preserve"> </w:t>
            </w:r>
            <w:r>
              <w:rPr>
                <w:rStyle w:val="VerbatimChar"/>
              </w:rPr>
              <w:t xml:space="preserve">vzdump</w:t>
            </w:r>
          </w:p>
        </w:tc>
      </w:tr>
      <w:tr>
        <w:tc>
          <w:tcPr/>
          <w:p>
            <w:pPr>
              <w:pStyle w:val="Compact"/>
            </w:pPr>
            <w:r>
              <w:t xml:space="preserve">Disque annexe</w:t>
            </w:r>
          </w:p>
        </w:tc>
        <w:tc>
          <w:tcPr/>
          <w:p>
            <w:pPr>
              <w:pStyle w:val="Compact"/>
            </w:pPr>
            <w:r>
              <w:t xml:space="preserve">245 Gio</w:t>
            </w:r>
          </w:p>
        </w:tc>
        <w:tc>
          <w:tcPr/>
          <w:p>
            <w:pPr>
              <w:pStyle w:val="Compact"/>
            </w:pPr>
            <w:r>
              <w:t xml:space="preserve">⛔ Réservé à un autre projet, hors périmètre</w:t>
            </w:r>
          </w:p>
        </w:tc>
      </w:tr>
    </w:tbl>
    <w:p>
      <w:pPr>
        <w:pStyle w:val="BodyText"/>
      </w:pPr>
      <w:r>
        <w:t xml:space="preserve">Les disques des nœuds sont créés dans le</w:t>
      </w:r>
      <w:r>
        <w:t xml:space="preserve"> </w:t>
      </w:r>
      <w:r>
        <w:rPr>
          <w:b/>
          <w:bCs/>
        </w:rPr>
        <w:t xml:space="preserve">thin pool</w:t>
      </w:r>
      <w:r>
        <w:t xml:space="preserve">, ce qui permet de sur-allouer : un disque de 24 Gio annoncé n’occupe que l’espace réellement écrit.</w:t>
      </w:r>
    </w:p>
    <w:bookmarkEnd w:id="18"/>
    <w:bookmarkStart w:id="19" w:name="nœuds"/>
    <w:p>
      <w:pPr>
        <w:pStyle w:val="Heading3"/>
      </w:pPr>
      <w:r>
        <w:t xml:space="preserve">Nœuds</w:t>
      </w:r>
    </w:p>
    <w:p>
      <w:pPr>
        <w:pStyle w:val="FirstParagraph"/>
      </w:pPr>
      <w:r>
        <w:t xml:space="preserve">Chaque nœud est installé en</w:t>
      </w:r>
      <w:r>
        <w:t xml:space="preserve"> </w:t>
      </w:r>
      <w:r>
        <w:rPr>
          <w:b/>
          <w:bCs/>
        </w:rPr>
        <w:t xml:space="preserve">ZFS sur disque unique</w:t>
      </w:r>
      <w:r>
        <w:t xml:space="preserve">.</w:t>
      </w:r>
    </w:p>
    <w:p>
      <w:pPr>
        <w:pStyle w:val="BodyText"/>
      </w:pPr>
      <w:r>
        <w:t xml:space="preserve">Ce choix n’est pas guidé par la redondance, mais par le</w:t>
      </w:r>
      <w:r>
        <w:t xml:space="preserve"> </w:t>
      </w:r>
      <w:r>
        <w:rPr>
          <w:b/>
          <w:bCs/>
        </w:rPr>
        <w:t xml:space="preserve">nom du pool</w:t>
      </w:r>
      <w:r>
        <w:t xml:space="preserve">. Proxmox nomme systématiquement son pool système de la même façon, ce qui rend la</w:t>
      </w:r>
      <w:r>
        <w:t xml:space="preserve"> </w:t>
      </w:r>
      <w:r>
        <w:rPr>
          <w:b/>
          <w:bCs/>
        </w:rPr>
        <w:t xml:space="preserve">réplication native entre nœuds</w:t>
      </w:r>
      <w:r>
        <w:t xml:space="preserve"> </w:t>
      </w:r>
      <w:r>
        <w:t xml:space="preserve">possible. C’est ce mécanisme qui permettra à une VM de redémarrer sur un nœud survivant.</w:t>
      </w:r>
    </w:p>
    <w:p>
      <w:pPr>
        <w:pStyle w:val="BodyText"/>
      </w:pPr>
      <w:r>
        <w:t xml:space="preserve">Capacité utile constatée : environ</w:t>
      </w:r>
      <w:r>
        <w:t xml:space="preserve"> </w:t>
      </w:r>
      <w:r>
        <w:rPr>
          <w:b/>
          <w:bCs/>
        </w:rPr>
        <w:t xml:space="preserve">20,8 Gio</w:t>
      </w:r>
      <w:r>
        <w:t xml:space="preserve"> </w:t>
      </w:r>
      <w:r>
        <w:t xml:space="preserve">sur les 24 Gio alloués, ZFS réservant près de 13 % pour ses métadonnées.</w:t>
      </w:r>
    </w:p>
    <w:p>
      <w:r>
        <w:pict>
          <v:rect style="width:0;height:1.5pt" o:hralign="center" o:hrstd="t" o:hr="t"/>
        </w:pict>
      </w:r>
    </w:p>
    <w:bookmarkEnd w:id="19"/>
    <w:bookmarkEnd w:id="20"/>
    <w:bookmarkStart w:id="24" w:name="réseau"/>
    <w:p>
      <w:pPr>
        <w:pStyle w:val="Heading2"/>
      </w:pPr>
      <w:r>
        <w:t xml:space="preserve">6. Réseau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Interface</w:t>
            </w:r>
          </w:p>
        </w:tc>
        <w:tc>
          <w:tcPr/>
          <w:p>
            <w:pPr>
              <w:pStyle w:val="Compact"/>
            </w:pPr>
            <w:r>
              <w:t xml:space="preserve">Rôle</w:t>
            </w:r>
          </w:p>
        </w:tc>
      </w:tr>
      <w:tr>
        <w:tc>
          <w:tcPr/>
          <w:p>
            <w:pPr>
              <w:pStyle w:val="Compact"/>
            </w:pPr>
            <w:r>
              <w:rPr>
                <w:b/>
                <w:bCs/>
              </w:rPr>
              <w:t xml:space="preserve">Administration</w:t>
            </w:r>
          </w:p>
        </w:tc>
        <w:tc>
          <w:tcPr/>
          <w:p>
            <w:pPr>
              <w:pStyle w:val="Compact"/>
            </w:pPr>
            <w:r>
              <w:t xml:space="preserve">Accès web et SSH aux nœuds, trafic de cluster Corosync</w:t>
            </w:r>
          </w:p>
        </w:tc>
      </w:tr>
      <w:tr>
        <w:tc>
          <w:tcPr/>
          <w:p>
            <w:pPr>
              <w:pStyle w:val="Compact"/>
            </w:pPr>
            <w:r>
              <w:rPr>
                <w:b/>
                <w:bCs/>
              </w:rPr>
              <w:t xml:space="preserve">Service</w:t>
            </w:r>
          </w:p>
        </w:tc>
        <w:tc>
          <w:tcPr/>
          <w:p>
            <w:pPr>
              <w:pStyle w:val="Compact"/>
            </w:pPr>
            <w:r>
              <w:t xml:space="preserve">Segment L2 commun aux instances du service applicatif</w:t>
            </w:r>
          </w:p>
        </w:tc>
      </w:tr>
    </w:tbl>
    <w:p>
      <w:pPr>
        <w:pStyle w:val="BodyText"/>
      </w:pPr>
      <w:r>
        <w:t xml:space="preserve">La séparation en deux plans répond à deux besoins distincts. Le réseau d’administration supporte l’exploitation et le clustering, le réseau de service supporte la continuité applicative.</w:t>
      </w:r>
    </w:p>
    <w:bookmarkStart w:id="21" w:name="Xe92350f791a0d2281fe70fbdfa10668b293c36d"/>
    <w:p>
      <w:pPr>
        <w:pStyle w:val="Heading3"/>
      </w:pPr>
      <w:r>
        <w:t xml:space="preserve">Point d’attention : L2 obligatoire pour Corosync</w:t>
      </w:r>
    </w:p>
    <w:p>
      <w:pPr>
        <w:pStyle w:val="FirstParagraph"/>
      </w:pPr>
      <w:r>
        <w:t xml:space="preserve">Corosync échange ses votes en multicast sur le même segment de niveau 2. Il ne doit</w:t>
      </w:r>
      <w:r>
        <w:t xml:space="preserve"> </w:t>
      </w:r>
      <w:r>
        <w:rPr>
          <w:b/>
          <w:bCs/>
        </w:rPr>
        <w:t xml:space="preserve">jamais</w:t>
      </w:r>
      <w:r>
        <w:t xml:space="preserve"> </w:t>
      </w:r>
      <w:r>
        <w:t xml:space="preserve">traverser un NAT, sous peine de votes fantômes et de pertes de quorum inexpliquées.</w:t>
      </w:r>
    </w:p>
    <w:bookmarkEnd w:id="21"/>
    <w:bookmarkStart w:id="22" w:name="accès-distant"/>
    <w:p>
      <w:pPr>
        <w:pStyle w:val="Heading3"/>
      </w:pPr>
      <w:r>
        <w:t xml:space="preserve">Accès distant</w:t>
      </w:r>
    </w:p>
    <w:p>
      <w:pPr>
        <w:pStyle w:val="FirstParagraph"/>
      </w:pPr>
      <w:r>
        <w:t xml:space="preserve">Les nœuds imbriqués ne sont pas des machines indépendantes sur le réseau. L’administration à distance s’effectue par</w:t>
      </w:r>
      <w:r>
        <w:t xml:space="preserve"> </w:t>
      </w:r>
      <w:r>
        <w:rPr>
          <w:b/>
          <w:bCs/>
        </w:rPr>
        <w:t xml:space="preserve">rebond SSH</w:t>
      </w:r>
      <w:r>
        <w:t xml:space="preserve"> </w:t>
      </w:r>
      <w:r>
        <w:t xml:space="preserve">via l’hôte physique, ce qui fonctionne aussi bien sur le réseau local qu’à distance.</w:t>
      </w:r>
    </w:p>
    <w:bookmarkEnd w:id="22"/>
    <w:bookmarkStart w:id="23" w:name="adressage"/>
    <w:p>
      <w:pPr>
        <w:pStyle w:val="Heading3"/>
      </w:pPr>
      <w:r>
        <w:t xml:space="preserve">Adressage</w:t>
      </w:r>
    </w:p>
    <w:p>
      <w:pPr>
        <w:pStyle w:val="FirstParagraph"/>
      </w:pPr>
      <w:r>
        <w:t xml:space="preserve">Six adresses statiques sont nécessaires : trois pour les nœuds, trois réservées à l’avance pour les futurs services. Elles doivent être</w:t>
      </w:r>
      <w:r>
        <w:t xml:space="preserve"> </w:t>
      </w:r>
      <w:r>
        <w:rPr>
          <w:b/>
          <w:bCs/>
        </w:rPr>
        <w:t xml:space="preserve">exclues de la plage DHCP</w:t>
      </w:r>
      <w:r>
        <w:t xml:space="preserve"> </w:t>
      </w:r>
      <w:r>
        <w:t xml:space="preserve">du réseau pour éviter tout conflit.</w:t>
      </w:r>
    </w:p>
    <w:p>
      <w:r>
        <w:pict>
          <v:rect style="width:0;height:1.5pt" o:hralign="center" o:hrstd="t" o:hr="t"/>
        </w:pict>
      </w:r>
    </w:p>
    <w:bookmarkEnd w:id="23"/>
    <w:bookmarkEnd w:id="24"/>
    <w:bookmarkStart w:id="30" w:name="procédure-de-duplication-dun-nœud"/>
    <w:p>
      <w:pPr>
        <w:pStyle w:val="Heading2"/>
      </w:pPr>
      <w:r>
        <w:t xml:space="preserve">7. Procédure de duplication d’un nœud</w:t>
      </w:r>
    </w:p>
    <w:p>
      <w:pPr>
        <w:pStyle w:val="FirstParagraph"/>
      </w:pPr>
      <w:r>
        <w:t xml:space="preserve">Le clonage d’une machine virtuelle duplique son identité. Trois éléments doivent impérativement être régénérés dans chaque clone,</w:t>
      </w:r>
      <w:r>
        <w:t xml:space="preserve"> </w:t>
      </w:r>
      <w:r>
        <w:rPr>
          <w:b/>
          <w:bCs/>
        </w:rPr>
        <w:t xml:space="preserve">avant tout test de connexion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Risque si dupliqué</w:t>
            </w:r>
          </w:p>
        </w:tc>
      </w:tr>
      <w:tr>
        <w:tc>
          <w:tcPr/>
          <w:p>
            <w:pPr>
              <w:pStyle w:val="Compact"/>
            </w:pPr>
            <w:r>
              <w:rPr>
                <w:b/>
                <w:bCs/>
              </w:rPr>
              <w:t xml:space="preserve">Clés d’hôte SSH</w:t>
            </w:r>
          </w:p>
        </w:tc>
        <w:tc>
          <w:tcPr/>
          <w:p>
            <w:pPr>
              <w:pStyle w:val="Compact"/>
            </w:pPr>
            <w:r>
              <w:t xml:space="preserve">Rejet des connexions, alertes de sécurité, échec du clustering</w:t>
            </w:r>
          </w:p>
        </w:tc>
      </w:tr>
      <w:tr>
        <w:tc>
          <w:tcPr/>
          <w:p>
            <w:pPr>
              <w:pStyle w:val="Compact"/>
            </w:pPr>
            <w:r>
              <w:rPr>
                <w:b/>
                <w:bCs/>
              </w:rPr>
              <w:t xml:space="preserve">Identifiant machine</w:t>
            </w:r>
          </w:p>
        </w:tc>
        <w:tc>
          <w:tcPr/>
          <w:p>
            <w:pPr>
              <w:pStyle w:val="Compact"/>
            </w:pPr>
            <w:r>
              <w:t xml:space="preserve">Comportements erratiques des services, traces ambiguës</w:t>
            </w:r>
          </w:p>
        </w:tc>
      </w:tr>
      <w:tr>
        <w:tc>
          <w:tcPr/>
          <w:p>
            <w:pPr>
              <w:pStyle w:val="Compact"/>
            </w:pPr>
            <w:r>
              <w:rPr>
                <w:b/>
                <w:bCs/>
              </w:rPr>
              <w:t xml:space="preserve">Adresse réseau</w:t>
            </w:r>
          </w:p>
        </w:tc>
        <w:tc>
          <w:tcPr/>
          <w:p>
            <w:pPr>
              <w:pStyle w:val="Compact"/>
            </w:pPr>
            <w:r>
              <w:t xml:space="preserve">Conflit d’adresses, coupures intermittentes</w:t>
            </w:r>
          </w:p>
        </w:tc>
      </w:tr>
    </w:tbl>
    <w:bookmarkStart w:id="25" w:name="procédure"/>
    <w:p>
      <w:pPr>
        <w:pStyle w:val="Heading3"/>
      </w:pPr>
      <w:r>
        <w:t xml:space="preserve">Procédure</w:t>
      </w:r>
    </w:p>
    <w:p>
      <w:pPr>
        <w:pStyle w:val="Compact"/>
        <w:numPr>
          <w:ilvl w:val="0"/>
          <w:numId w:val="1001"/>
        </w:numPr>
      </w:pPr>
      <w:r>
        <w:t xml:space="preserve">Renommer la machine.</w:t>
      </w:r>
    </w:p>
    <w:p>
      <w:pPr>
        <w:pStyle w:val="Compact"/>
        <w:numPr>
          <w:ilvl w:val="0"/>
          <w:numId w:val="1001"/>
        </w:numPr>
      </w:pPr>
      <w:r>
        <w:rPr>
          <w:b/>
          <w:bCs/>
        </w:rPr>
        <w:t xml:space="preserve">Supprimer</w:t>
      </w:r>
      <w:r>
        <w:t xml:space="preserve"> </w:t>
      </w:r>
      <w:r>
        <w:t xml:space="preserve">les clés d’hôte existantes.</w:t>
      </w:r>
    </w:p>
    <w:p>
      <w:pPr>
        <w:pStyle w:val="Compact"/>
        <w:numPr>
          <w:ilvl w:val="0"/>
          <w:numId w:val="1001"/>
        </w:numPr>
      </w:pPr>
      <w:r>
        <w:t xml:space="preserve">Les régénérer.</w:t>
      </w:r>
    </w:p>
    <w:p>
      <w:pPr>
        <w:pStyle w:val="Compact"/>
        <w:numPr>
          <w:ilvl w:val="0"/>
          <w:numId w:val="1001"/>
        </w:numPr>
      </w:pPr>
      <w:r>
        <w:t xml:space="preserve">Régénérer l’identifiant machine.</w:t>
      </w:r>
    </w:p>
    <w:p>
      <w:pPr>
        <w:pStyle w:val="Compact"/>
        <w:numPr>
          <w:ilvl w:val="0"/>
          <w:numId w:val="1001"/>
        </w:numPr>
      </w:pPr>
      <w:r>
        <w:t xml:space="preserve">Modifier l’adresse réseau et le fichier de résolution local.</w:t>
      </w:r>
    </w:p>
    <w:p>
      <w:pPr>
        <w:pStyle w:val="Compact"/>
        <w:numPr>
          <w:ilvl w:val="0"/>
          <w:numId w:val="1001"/>
        </w:numPr>
      </w:pPr>
      <w:r>
        <w:t xml:space="preserve">Redémarrer le service SSH.</w:t>
      </w:r>
    </w:p>
    <w:p>
      <w:pPr>
        <w:pStyle w:val="Compact"/>
        <w:numPr>
          <w:ilvl w:val="0"/>
          <w:numId w:val="1001"/>
        </w:numPr>
      </w:pPr>
      <w:r>
        <w:t xml:space="preserve">Redémarrer la machine.</w:t>
      </w:r>
    </w:p>
    <w:bookmarkEnd w:id="25"/>
    <w:bookmarkStart w:id="26" w:name="piège-documenté"/>
    <w:p>
      <w:pPr>
        <w:pStyle w:val="Heading3"/>
      </w:pPr>
      <w:r>
        <w:t xml:space="preserve">Piège documenté</w:t>
      </w:r>
    </w:p>
    <w:p>
      <w:pPr>
        <w:pStyle w:val="FirstParagraph"/>
      </w:pPr>
      <w:r>
        <w:rPr>
          <w:b/>
          <w:bCs/>
        </w:rPr>
        <w:t xml:space="preserve">L’outil de génération de clés SSH ne régénère jamais une clé existante.</w:t>
      </w:r>
      <w:r>
        <w:t xml:space="preserve"> </w:t>
      </w:r>
      <w:r>
        <w:t xml:space="preserve">Il crée uniquement les clés manquantes, et il reste totalement silencieux lorsqu’il n’a rien à faire.</w:t>
      </w:r>
    </w:p>
    <w:p>
      <w:pPr>
        <w:pStyle w:val="BodyText"/>
      </w:pPr>
      <w:r>
        <w:t xml:space="preserve">Conséquence : si l’étape de suppression n’est pas exécutée, la commande ne produit rien et le clone conserve l’identité de la machine d’origine. C’est l’erreur la plus coûteuse de cette phase.</w:t>
      </w:r>
    </w:p>
    <w:bookmarkEnd w:id="26"/>
    <w:bookmarkStart w:id="27" w:name="bonne-nouvelle-sur-lidentifiant-machine"/>
    <w:p>
      <w:pPr>
        <w:pStyle w:val="Heading3"/>
      </w:pPr>
      <w:r>
        <w:t xml:space="preserve">Bonne nouvelle sur l’identifiant machine</w:t>
      </w:r>
    </w:p>
    <w:p>
      <w:pPr>
        <w:pStyle w:val="FirstParagraph"/>
      </w:pPr>
      <w:r>
        <w:t xml:space="preserve">Sur une machine virtuelle, l’identifiant machine n’est pas tiré au hasard : il est</w:t>
      </w:r>
      <w:r>
        <w:t xml:space="preserve"> </w:t>
      </w:r>
      <w:r>
        <w:rPr>
          <w:b/>
          <w:bCs/>
        </w:rPr>
        <w:t xml:space="preserve">dérivé de l’identifiant unique exposé par l’hyperviseur</w:t>
      </w:r>
      <w:r>
        <w:t xml:space="preserve">. Comme l’opération de clonage régénère cet identifiant, chaque clone dispose déjà du sien dès son premier démarrage. La régénération est donc une</w:t>
      </w:r>
      <w:r>
        <w:t xml:space="preserve"> </w:t>
      </w:r>
      <w:r>
        <w:rPr>
          <w:b/>
          <w:bCs/>
        </w:rPr>
        <w:t xml:space="preserve">ceinture de sécurité</w:t>
      </w:r>
      <w:r>
        <w:t xml:space="preserve">, pas une urgence.</w:t>
      </w:r>
    </w:p>
    <w:bookmarkEnd w:id="27"/>
    <w:bookmarkStart w:id="28" w:name="symptômes-dune-identité-dupliquée"/>
    <w:p>
      <w:pPr>
        <w:pStyle w:val="Heading3"/>
      </w:pPr>
      <w:r>
        <w:t xml:space="preserve">Symptômes d’une identité dupliquée</w:t>
      </w:r>
    </w:p>
    <w:p>
      <w:pPr>
        <w:pStyle w:val="Compact"/>
        <w:numPr>
          <w:ilvl w:val="0"/>
          <w:numId w:val="1002"/>
        </w:numPr>
      </w:pPr>
      <w:r>
        <w:t xml:space="preserve">Le client SSH signale que la clé du serveur est connue sous un</w:t>
      </w:r>
      <w:r>
        <w:t xml:space="preserve"> </w:t>
      </w:r>
      <w:r>
        <w:rPr>
          <w:b/>
          <w:bCs/>
        </w:rPr>
        <w:t xml:space="preserve">autre nom ou une autre adresse</w:t>
      </w:r>
      <w:r>
        <w:t xml:space="preserve">.</w:t>
      </w:r>
    </w:p>
    <w:p>
      <w:pPr>
        <w:pStyle w:val="Compact"/>
        <w:numPr>
          <w:ilvl w:val="0"/>
          <w:numId w:val="1002"/>
        </w:numPr>
      </w:pPr>
      <w:r>
        <w:t xml:space="preserve">Une connexion SSH s’établit puis est coupée brutalement avant toute authentification.</w:t>
      </w:r>
    </w:p>
    <w:p>
      <w:pPr>
        <w:pStyle w:val="Compact"/>
        <w:numPr>
          <w:ilvl w:val="0"/>
          <w:numId w:val="1002"/>
        </w:numPr>
      </w:pPr>
      <w:r>
        <w:t xml:space="preserve">Le service SSH apparaît actif alors qu’il ne peut servir aucune connexion.</w:t>
      </w:r>
    </w:p>
    <w:bookmarkEnd w:id="28"/>
    <w:bookmarkStart w:id="29" w:name="vérification"/>
    <w:p>
      <w:pPr>
        <w:pStyle w:val="Heading3"/>
      </w:pPr>
      <w:r>
        <w:t xml:space="preserve">Vérification</w:t>
      </w:r>
    </w:p>
    <w:p>
      <w:pPr>
        <w:pStyle w:val="FirstParagraph"/>
      </w:pPr>
      <w:r>
        <w:t xml:space="preserve">Les empreintes de clés d’hôte de tous les nœuds doivent être</w:t>
      </w:r>
      <w:r>
        <w:t xml:space="preserve"> </w:t>
      </w:r>
      <w:r>
        <w:rPr>
          <w:b/>
          <w:bCs/>
        </w:rPr>
        <w:t xml:space="preserve">différentes</w:t>
      </w:r>
      <w:r>
        <w:t xml:space="preserve">. Le commentaire associé à chaque clé indique le nom de la machine qui l’a générée, ce qui permet d’identifier immédiatement un partage d’identité.</w:t>
      </w:r>
    </w:p>
    <w:p>
      <w:r>
        <w:pict>
          <v:rect style="width:0;height:1.5pt" o:hralign="center" o:hrstd="t" o:hr="t"/>
        </w:pict>
      </w:r>
    </w:p>
    <w:bookmarkEnd w:id="29"/>
    <w:bookmarkEnd w:id="30"/>
    <w:bookmarkStart w:id="31" w:name="vérifications-réalisées"/>
    <w:p>
      <w:pPr>
        <w:pStyle w:val="Heading2"/>
      </w:pPr>
      <w:r>
        <w:t xml:space="preserve">8. Vérifications réalisées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Contrôle</w:t>
            </w:r>
          </w:p>
        </w:tc>
        <w:tc>
          <w:tcPr/>
          <w:p>
            <w:pPr>
              <w:pStyle w:val="Compact"/>
            </w:pPr>
            <w:r>
              <w:t xml:space="preserve">Méthode</w:t>
            </w:r>
          </w:p>
        </w:tc>
        <w:tc>
          <w:tcPr/>
          <w:p>
            <w:pPr>
              <w:pStyle w:val="Compact"/>
            </w:pPr>
            <w:r>
              <w:t xml:space="preserve">Résultat obtenu</w:t>
            </w:r>
          </w:p>
        </w:tc>
      </w:tr>
      <w:tr>
        <w:tc>
          <w:tcPr/>
          <w:p>
            <w:pPr>
              <w:pStyle w:val="Compact"/>
            </w:pPr>
            <w:r>
              <w:t xml:space="preserve">Virtualisation imbriquée</w:t>
            </w:r>
          </w:p>
        </w:tc>
        <w:tc>
          <w:tcPr/>
          <w:p>
            <w:pPr>
              <w:pStyle w:val="Compact"/>
            </w:pPr>
            <w:r>
              <w:t xml:space="preserve">Recherche du flag</w:t>
            </w:r>
            <w:r>
              <w:t xml:space="preserve"> </w:t>
            </w:r>
            <w:r>
              <w:rPr>
                <w:rStyle w:val="VerbatimChar"/>
              </w:rPr>
              <w:t xml:space="preserve">vmx</w:t>
            </w:r>
            <w:r>
              <w:t xml:space="preserve"> </w:t>
            </w:r>
            <w:r>
              <w:t xml:space="preserve">dans le processeur</w:t>
            </w:r>
          </w:p>
        </w:tc>
        <w:tc>
          <w:tcPr/>
          <w:p>
            <w:pPr>
              <w:pStyle w:val="Compact"/>
            </w:pPr>
            <w:r>
              <w:t xml:space="preserve">Présent, non nul sur les trois nœuds</w:t>
            </w:r>
          </w:p>
        </w:tc>
      </w:tr>
      <w:tr>
        <w:tc>
          <w:tcPr/>
          <w:p>
            <w:pPr>
              <w:pStyle w:val="Compact"/>
            </w:pPr>
            <w:r>
              <w:t xml:space="preserve">Pool ZFS</w:t>
            </w:r>
          </w:p>
        </w:tc>
        <w:tc>
          <w:tcPr/>
          <w:p>
            <w:pPr>
              <w:pStyle w:val="Compact"/>
            </w:pPr>
            <w:r>
              <w:t xml:space="preserve">État et nom du pool système</w:t>
            </w:r>
          </w:p>
        </w:tc>
        <w:tc>
          <w:tcPr/>
          <w:p>
            <w:pPr>
              <w:pStyle w:val="Compact"/>
            </w:pPr>
            <w:r>
              <w:rPr>
                <w:rStyle w:val="VerbatimChar"/>
              </w:rPr>
              <w:t xml:space="preserve">rpool</w:t>
            </w:r>
            <w:r>
              <w:t xml:space="preserve"> </w:t>
            </w:r>
            <w:r>
              <w:t xml:space="preserve">en ligne,</w:t>
            </w:r>
            <w:r>
              <w:t xml:space="preserve"> </w:t>
            </w:r>
            <w:r>
              <w:rPr>
                <w:b/>
                <w:bCs/>
              </w:rPr>
              <w:t xml:space="preserve">nom identique</w:t>
            </w:r>
            <w:r>
              <w:t xml:space="preserve"> </w:t>
            </w:r>
            <w:r>
              <w:t xml:space="preserve">sur les trois nœuds</w:t>
            </w:r>
          </w:p>
        </w:tc>
      </w:tr>
      <w:tr>
        <w:tc>
          <w:tcPr/>
          <w:p>
            <w:pPr>
              <w:pStyle w:val="Compact"/>
            </w:pPr>
            <w:r>
              <w:t xml:space="preserve">Espace disponible</w:t>
            </w:r>
          </w:p>
        </w:tc>
        <w:tc>
          <w:tcPr/>
          <w:p>
            <w:pPr>
              <w:pStyle w:val="Compact"/>
            </w:pPr>
            <w:r>
              <w:t xml:space="preserve">Espace libre de chaque pool</w:t>
            </w:r>
          </w:p>
        </w:tc>
        <w:tc>
          <w:tcPr/>
          <w:p>
            <w:pPr>
              <w:pStyle w:val="Compact"/>
            </w:pPr>
            <w:r>
              <w:t xml:space="preserve">~21,5 Gio libres par nœud</w:t>
            </w:r>
          </w:p>
        </w:tc>
      </w:tr>
      <w:tr>
        <w:tc>
          <w:tcPr/>
          <w:p>
            <w:pPr>
              <w:pStyle w:val="Compact"/>
            </w:pPr>
            <w:r>
              <w:t xml:space="preserve">Cache ZFS</w:t>
            </w:r>
          </w:p>
        </w:tc>
        <w:tc>
          <w:tcPr/>
          <w:p>
            <w:pPr>
              <w:pStyle w:val="Compact"/>
            </w:pPr>
            <w:r>
              <w:t xml:space="preserve">Valeur du plafond en mémoire</w:t>
            </w:r>
          </w:p>
        </w:tc>
        <w:tc>
          <w:tcPr/>
          <w:p>
            <w:pPr>
              <w:pStyle w:val="Compact"/>
            </w:pPr>
            <w:r>
              <w:t xml:space="preserve">512 Mio appliqués</w:t>
            </w:r>
          </w:p>
        </w:tc>
      </w:tr>
      <w:tr>
        <w:tc>
          <w:tcPr/>
          <w:p>
            <w:pPr>
              <w:pStyle w:val="Compact"/>
            </w:pPr>
            <w:r>
              <w:t xml:space="preserve">Unicité des noms</w:t>
            </w:r>
          </w:p>
        </w:tc>
        <w:tc>
          <w:tcPr/>
          <w:p>
            <w:pPr>
              <w:pStyle w:val="Compact"/>
            </w:pPr>
            <w:r>
              <w:t xml:space="preserve">Nom d’hôte de chaque nœud</w:t>
            </w:r>
          </w:p>
        </w:tc>
        <w:tc>
          <w:tcPr/>
          <w:p>
            <w:pPr>
              <w:pStyle w:val="Compact"/>
            </w:pPr>
            <w:r>
              <w:t xml:space="preserve">Trois valeurs distinctes</w:t>
            </w:r>
          </w:p>
        </w:tc>
      </w:tr>
      <w:tr>
        <w:tc>
          <w:tcPr/>
          <w:p>
            <w:pPr>
              <w:pStyle w:val="Compact"/>
            </w:pPr>
            <w:r>
              <w:t xml:space="preserve">Unicité des identités</w:t>
            </w:r>
          </w:p>
        </w:tc>
        <w:tc>
          <w:tcPr/>
          <w:p>
            <w:pPr>
              <w:pStyle w:val="Compact"/>
            </w:pPr>
            <w:r>
              <w:t xml:space="preserve">Identifiants machine et empreintes SSH</w:t>
            </w:r>
          </w:p>
        </w:tc>
        <w:tc>
          <w:tcPr/>
          <w:p>
            <w:pPr>
              <w:pStyle w:val="Compact"/>
            </w:pPr>
            <w:r>
              <w:t xml:space="preserve">Trois valeurs distinctes</w:t>
            </w:r>
          </w:p>
        </w:tc>
      </w:tr>
      <w:tr>
        <w:tc>
          <w:tcPr/>
          <w:p>
            <w:pPr>
              <w:pStyle w:val="Compact"/>
            </w:pPr>
            <w:r>
              <w:t xml:space="preserve">Unicité réseau</w:t>
            </w:r>
          </w:p>
        </w:tc>
        <w:tc>
          <w:tcPr/>
          <w:p>
            <w:pPr>
              <w:pStyle w:val="Compact"/>
            </w:pPr>
            <w:r>
              <w:t xml:space="preserve">Comparaison des adresses MAC déclarées et observées</w:t>
            </w:r>
          </w:p>
        </w:tc>
        <w:tc>
          <w:tcPr/>
          <w:p>
            <w:pPr>
              <w:pStyle w:val="Compact"/>
            </w:pPr>
            <w:r>
              <w:t xml:space="preserve">Trois adresses distinctes, sans conflit</w:t>
            </w:r>
          </w:p>
        </w:tc>
      </w:tr>
      <w:tr>
        <w:tc>
          <w:tcPr/>
          <w:p>
            <w:pPr>
              <w:pStyle w:val="Compact"/>
            </w:pPr>
            <w:r>
              <w:t xml:space="preserve">Accès automatisé</w:t>
            </w:r>
          </w:p>
        </w:tc>
        <w:tc>
          <w:tcPr/>
          <w:p>
            <w:pPr>
              <w:pStyle w:val="Compact"/>
            </w:pPr>
            <w:r>
              <w:t xml:space="preserve">Connexion SSH</w:t>
            </w:r>
            <w:r>
              <w:t xml:space="preserve"> </w:t>
            </w:r>
            <w:r>
              <w:rPr>
                <w:b/>
                <w:bCs/>
              </w:rPr>
              <w:t xml:space="preserve">sans mot de passe</w:t>
            </w:r>
          </w:p>
        </w:tc>
        <w:tc>
          <w:tcPr/>
          <w:p>
            <w:pPr>
              <w:pStyle w:val="Compact"/>
            </w:pPr>
            <w:r>
              <w:t xml:space="preserve">Réussie sur les trois nœuds</w:t>
            </w:r>
          </w:p>
        </w:tc>
      </w:tr>
    </w:tbl>
    <w:p>
      <w:pPr>
        <w:pStyle w:val="BlockText"/>
      </w:pPr>
      <w:r>
        <w:t xml:space="preserve">Une adresse MAC identique observée sur deux nœuds peut provenir d’un</w:t>
      </w:r>
      <w:r>
        <w:t xml:space="preserve"> </w:t>
      </w:r>
      <w:r>
        <w:rPr>
          <w:b/>
          <w:bCs/>
        </w:rPr>
        <w:t xml:space="preserve">cache réseau obsolète</w:t>
      </w:r>
      <w:r>
        <w:t xml:space="preserve">. Vider la table et réinterroger avant de conclure à un conflit réel.</w:t>
      </w:r>
    </w:p>
    <w:p>
      <w:pPr>
        <w:pStyle w:val="BlockText"/>
      </w:pPr>
      <w:r>
        <w:t xml:space="preserve">Un pont réseau hérite de l’adresse MAC de son premier port : c’est un comportement normal, pas un conflit.</w:t>
      </w:r>
    </w:p>
    <w:p>
      <w:r>
        <w:pict>
          <v:rect style="width:0;height:1.5pt" o:hralign="center" o:hrstd="t" o:hr="t"/>
        </w:pict>
      </w:r>
    </w:p>
    <w:bookmarkEnd w:id="31"/>
    <w:bookmarkStart w:id="35" w:name="création-du-cluster"/>
    <w:p>
      <w:pPr>
        <w:pStyle w:val="Heading2"/>
      </w:pPr>
      <w:r>
        <w:t xml:space="preserve">9. Création du cluster</w:t>
      </w:r>
    </w:p>
    <w:p>
      <w:pPr>
        <w:pStyle w:val="FirstParagraph"/>
      </w:pPr>
      <w:r>
        <w:t xml:space="preserve">Le cluster a été créé et assemblé le</w:t>
      </w:r>
      <w:r>
        <w:t xml:space="preserve"> </w:t>
      </w:r>
      <w:r>
        <w:rPr>
          <w:b/>
          <w:bCs/>
        </w:rPr>
        <w:t xml:space="preserve">05/10/2026</w:t>
      </w:r>
      <w:r>
        <w:t xml:space="preserve">. Il est</w:t>
      </w:r>
      <w:r>
        <w:t xml:space="preserve"> </w:t>
      </w:r>
      <w:r>
        <w:rPr>
          <w:b/>
          <w:bCs/>
        </w:rPr>
        <w:t xml:space="preserve">quorate</w:t>
      </w:r>
      <w:r>
        <w:t xml:space="preserve"> </w:t>
      </w:r>
      <w:r>
        <w:t xml:space="preserve">avec trois nœuds participants.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Caractéristique</w:t>
            </w:r>
          </w:p>
        </w:tc>
        <w:tc>
          <w:tcPr/>
          <w:p>
            <w:pPr>
              <w:pStyle w:val="Compact"/>
            </w:pPr>
            <w:r>
              <w:t xml:space="preserve">Valeur</w:t>
            </w:r>
          </w:p>
        </w:tc>
      </w:tr>
      <w:tr>
        <w:tc>
          <w:tcPr/>
          <w:p>
            <w:pPr>
              <w:pStyle w:val="Compact"/>
            </w:pPr>
            <w:r>
              <w:t xml:space="preserve">Nom du cluster</w:t>
            </w:r>
          </w:p>
        </w:tc>
        <w:tc>
          <w:tcPr/>
          <w:p>
            <w:pPr>
              <w:pStyle w:val="Compact"/>
            </w:pPr>
            <w:r>
              <w:rPr>
                <w:rStyle w:val="VerbatimChar"/>
              </w:rPr>
              <w:t xml:space="preserve">santelia</w:t>
            </w:r>
          </w:p>
        </w:tc>
      </w:tr>
      <w:tr>
        <w:tc>
          <w:tcPr/>
          <w:p>
            <w:pPr>
              <w:pStyle w:val="Compact"/>
            </w:pPr>
            <w:r>
              <w:t xml:space="preserve">Transport</w:t>
            </w:r>
          </w:p>
        </w:tc>
        <w:tc>
          <w:tcPr/>
          <w:p>
            <w:pPr>
              <w:pStyle w:val="Compact"/>
            </w:pPr>
            <w:r>
              <w:rPr>
                <w:rStyle w:val="VerbatimChar"/>
              </w:rPr>
              <w:t xml:space="preserve">knet</w:t>
            </w:r>
          </w:p>
        </w:tc>
      </w:tr>
      <w:tr>
        <w:tc>
          <w:tcPr/>
          <w:p>
            <w:pPr>
              <w:pStyle w:val="Compact"/>
            </w:pPr>
            <w:r>
              <w:t xml:space="preserve">Authentification sécurisée</w:t>
            </w:r>
          </w:p>
        </w:tc>
        <w:tc>
          <w:tcPr/>
          <w:p>
            <w:pPr>
              <w:pStyle w:val="Compact"/>
            </w:pPr>
            <w:r>
              <w:t xml:space="preserve">Activée</w:t>
            </w:r>
          </w:p>
        </w:tc>
      </w:tr>
      <w:tr>
        <w:tc>
          <w:tcPr/>
          <w:p>
            <w:pPr>
              <w:pStyle w:val="Compact"/>
            </w:pPr>
            <w:r>
              <w:t xml:space="preserve">Nœuds</w:t>
            </w:r>
          </w:p>
        </w:tc>
        <w:tc>
          <w:tcPr/>
          <w:p>
            <w:pPr>
              <w:pStyle w:val="Compact"/>
            </w:pPr>
            <w:r>
              <w:rPr>
                <w:b/>
                <w:bCs/>
              </w:rPr>
              <w:t xml:space="preserve">3</w:t>
            </w:r>
          </w:p>
        </w:tc>
      </w:tr>
      <w:tr>
        <w:tc>
          <w:tcPr/>
          <w:p>
            <w:pPr>
              <w:pStyle w:val="Compact"/>
            </w:pPr>
            <w:r>
              <w:t xml:space="preserve">Votes attendus</w:t>
            </w:r>
          </w:p>
        </w:tc>
        <w:tc>
          <w:tcPr/>
          <w:p>
            <w:pPr>
              <w:pStyle w:val="Compact"/>
            </w:pPr>
            <w:r>
              <w:rPr>
                <w:b/>
                <w:bCs/>
              </w:rPr>
              <w:t xml:space="preserve">3</w:t>
            </w:r>
          </w:p>
        </w:tc>
      </w:tr>
      <w:tr>
        <w:tc>
          <w:tcPr/>
          <w:p>
            <w:pPr>
              <w:pStyle w:val="Compact"/>
            </w:pPr>
            <w:r>
              <w:rPr>
                <w:b/>
                <w:bCs/>
              </w:rPr>
              <w:t xml:space="preserve">Majorité requise (quorum)</w:t>
            </w:r>
          </w:p>
        </w:tc>
        <w:tc>
          <w:tcPr/>
          <w:p>
            <w:pPr>
              <w:pStyle w:val="Compact"/>
            </w:pPr>
            <w:r>
              <w:rPr>
                <w:b/>
                <w:bCs/>
              </w:rPr>
              <w:t xml:space="preserve">2</w:t>
            </w:r>
          </w:p>
        </w:tc>
      </w:tr>
      <w:tr>
        <w:tc>
          <w:tcPr/>
          <w:p>
            <w:pPr>
              <w:pStyle w:val="Compact"/>
            </w:pPr>
            <w:r>
              <w:t xml:space="preserve">État</w:t>
            </w:r>
          </w:p>
        </w:tc>
        <w:tc>
          <w:tcPr/>
          <w:p>
            <w:pPr>
              <w:pStyle w:val="Compact"/>
            </w:pPr>
            <w:r>
              <w:rPr>
                <w:rStyle w:val="VerbatimChar"/>
              </w:rPr>
              <w:t xml:space="preserve">Quorate</w:t>
            </w:r>
          </w:p>
        </w:tc>
      </w:tr>
    </w:tbl>
    <w:bookmarkStart w:id="32" w:name="déroulé-de-lassemblage"/>
    <w:p>
      <w:pPr>
        <w:pStyle w:val="Heading3"/>
      </w:pPr>
      <w:r>
        <w:t xml:space="preserve">Déroulé de l’assemblage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Étape</w:t>
            </w:r>
          </w:p>
        </w:tc>
        <w:tc>
          <w:tcPr/>
          <w:p>
            <w:pPr>
              <w:pStyle w:val="Compact"/>
            </w:pPr>
            <w:r>
              <w:t xml:space="preserve">Date</w:t>
            </w:r>
          </w:p>
        </w:tc>
        <w:tc>
          <w:tcPr/>
          <w:p>
            <w:pPr>
              <w:pStyle w:val="Compact"/>
            </w:pPr>
            <w:r>
              <w:t xml:space="preserve">Version de configuration</w:t>
            </w:r>
          </w:p>
        </w:tc>
      </w:tr>
      <w:tr>
        <w:tc>
          <w:tcPr/>
          <w:p>
            <w:pPr>
              <w:pStyle w:val="Compact"/>
            </w:pPr>
            <w:r>
              <w:t xml:space="preserve">Création sur le nœud principal</w:t>
            </w:r>
          </w:p>
        </w:tc>
        <w:tc>
          <w:tcPr/>
          <w:p>
            <w:pPr>
              <w:pStyle w:val="Compact"/>
            </w:pPr>
            <w:r>
              <w:t xml:space="preserve">05/10 à</w:t>
            </w:r>
            <w:r>
              <w:t xml:space="preserve"> </w:t>
            </w:r>
            <w:r>
              <w:rPr>
                <w:b/>
                <w:bCs/>
              </w:rPr>
              <w:t xml:space="preserve">09:18</w:t>
            </w:r>
          </w:p>
        </w:tc>
        <w:tc>
          <w:tcPr/>
          <w:p>
            <w:pPr>
              <w:pStyle w:val="Compact"/>
            </w:pPr>
            <w:r>
              <w:t xml:space="preserve">1</w:t>
            </w:r>
          </w:p>
        </w:tc>
      </w:tr>
      <w:tr>
        <w:tc>
          <w:tcPr/>
          <w:p>
            <w:pPr>
              <w:pStyle w:val="Compact"/>
            </w:pPr>
            <w:r>
              <w:t xml:space="preserve">Jonction du 2e nœud</w:t>
            </w:r>
          </w:p>
        </w:tc>
        <w:tc>
          <w:tcPr/>
          <w:p>
            <w:pPr>
              <w:pStyle w:val="Compact"/>
            </w:pPr>
            <w:r>
              <w:t xml:space="preserve">05/10 à</w:t>
            </w:r>
            <w:r>
              <w:t xml:space="preserve"> </w:t>
            </w:r>
            <w:r>
              <w:rPr>
                <w:b/>
                <w:bCs/>
              </w:rPr>
              <w:t xml:space="preserve">09:27</w:t>
            </w:r>
          </w:p>
        </w:tc>
        <w:tc>
          <w:tcPr/>
          <w:p>
            <w:pPr>
              <w:pStyle w:val="Compact"/>
            </w:pPr>
            <w:r>
              <w:t xml:space="preserve">2</w:t>
            </w:r>
          </w:p>
        </w:tc>
      </w:tr>
      <w:tr>
        <w:tc>
          <w:tcPr/>
          <w:p>
            <w:pPr>
              <w:pStyle w:val="Compact"/>
            </w:pPr>
            <w:r>
              <w:t xml:space="preserve">Jonction du 3e nœud</w:t>
            </w:r>
          </w:p>
        </w:tc>
        <w:tc>
          <w:tcPr/>
          <w:p>
            <w:pPr>
              <w:pStyle w:val="Compact"/>
            </w:pPr>
            <w:r>
              <w:t xml:space="preserve">05/10 à</w:t>
            </w:r>
            <w:r>
              <w:t xml:space="preserve"> </w:t>
            </w:r>
            <w:r>
              <w:rPr>
                <w:b/>
                <w:bCs/>
              </w:rPr>
              <w:t xml:space="preserve">09:30</w:t>
            </w:r>
          </w:p>
        </w:tc>
        <w:tc>
          <w:tcPr/>
          <w:p>
            <w:pPr>
              <w:pStyle w:val="Compact"/>
            </w:pPr>
            <w:r>
              <w:t xml:space="preserve">3</w:t>
            </w:r>
          </w:p>
        </w:tc>
      </w:tr>
    </w:tbl>
    <w:bookmarkEnd w:id="32"/>
    <w:bookmarkStart w:id="33" w:name="bénéfice-du-quorum-à-deux-sur-trois"/>
    <w:p>
      <w:pPr>
        <w:pStyle w:val="Heading3"/>
      </w:pPr>
      <w:r>
        <w:t xml:space="preserve">Bénéfice du quorum à deux sur trois</w:t>
      </w:r>
    </w:p>
    <w:p>
      <w:pPr>
        <w:pStyle w:val="FirstParagraph"/>
      </w:pPr>
      <w:r>
        <w:t xml:space="preserve">La perte d’un nœud laisse le cluster</w:t>
      </w:r>
      <w:r>
        <w:t xml:space="preserve"> </w:t>
      </w:r>
      <w:r>
        <w:rPr>
          <w:b/>
          <w:bCs/>
        </w:rPr>
        <w:t xml:space="preserve">opérationnel</w:t>
      </w:r>
      <w:r>
        <w:t xml:space="preserve">. C’est précisément ce qu’apporte la solution à</w:t>
      </w:r>
      <w:r>
        <w:t xml:space="preserve"> </w:t>
      </w:r>
      <w:r>
        <w:rPr>
          <w:b/>
          <w:bCs/>
        </w:rPr>
        <w:t xml:space="preserve">trois nœuds</w:t>
      </w:r>
      <w:r>
        <w:t xml:space="preserve"> </w:t>
      </w:r>
      <w:r>
        <w:t xml:space="preserve">: une majorité atteignable sans dispositif externe. Une solution à deux nœuds aurait nécessité un</w:t>
      </w:r>
      <w:r>
        <w:t xml:space="preserve"> </w:t>
      </w:r>
      <w:r>
        <w:rPr>
          <w:b/>
          <w:bCs/>
        </w:rPr>
        <w:t xml:space="preserve">QDevice</w:t>
      </w:r>
      <w:r>
        <w:t xml:space="preserve"> </w:t>
      </w:r>
      <w:r>
        <w:t xml:space="preserve">supplémentaire pour obtenir la même résilience.</w:t>
      </w:r>
    </w:p>
    <w:bookmarkEnd w:id="33"/>
    <w:bookmarkStart w:id="34" w:name="piège-rencontré-à-documenter"/>
    <w:p>
      <w:pPr>
        <w:pStyle w:val="Heading3"/>
      </w:pPr>
      <w:r>
        <w:t xml:space="preserve">Piège rencontré, à documenter</w:t>
      </w:r>
    </w:p>
    <w:p>
      <w:pPr>
        <w:pStyle w:val="FirstParagraph"/>
      </w:pPr>
      <w:r>
        <w:t xml:space="preserve">La jonction d’un nœud échoue si le</w:t>
      </w:r>
      <w:r>
        <w:t xml:space="preserve"> </w:t>
      </w:r>
      <w:r>
        <w:rPr>
          <w:b/>
          <w:bCs/>
        </w:rPr>
        <w:t xml:space="preserve">fichier de résolution local</w:t>
      </w:r>
      <w:r>
        <w:t xml:space="preserve"> </w:t>
      </w:r>
      <w:r>
        <w:t xml:space="preserve">contient encore les informations de la machine d’origine. Deux problèmes constatés après clonage :</w:t>
      </w:r>
    </w:p>
    <w:p>
      <w:pPr>
        <w:pStyle w:val="Compact"/>
        <w:numPr>
          <w:ilvl w:val="0"/>
          <w:numId w:val="1003"/>
        </w:numPr>
      </w:pPr>
      <w:r>
        <w:rPr>
          <w:b/>
          <w:bCs/>
        </w:rPr>
        <w:t xml:space="preserve">L’adresse héritée</w:t>
      </w:r>
      <w:r>
        <w:t xml:space="preserve"> </w:t>
      </w:r>
      <w:r>
        <w:t xml:space="preserve">pointait vers le nœud source. Le cluster ne pouvait alors pas déterminer l’adresse locale de la machine, et refusait la jonction avec un message explicite.</w:t>
      </w:r>
    </w:p>
    <w:p>
      <w:pPr>
        <w:pStyle w:val="Compact"/>
        <w:numPr>
          <w:ilvl w:val="0"/>
          <w:numId w:val="1003"/>
        </w:numPr>
      </w:pPr>
      <w:r>
        <w:rPr>
          <w:b/>
          <w:bCs/>
        </w:rPr>
        <w:t xml:space="preserve">Le nom pleinement qualifié</w:t>
      </w:r>
      <w:r>
        <w:t xml:space="preserve"> </w:t>
      </w:r>
      <w:r>
        <w:t xml:space="preserve">contenait un caractère erroné, rendant la résolution incohérente avec le nom court de la machine.</w:t>
      </w:r>
    </w:p>
    <w:p>
      <w:pPr>
        <w:pStyle w:val="FirstParagraph"/>
      </w:pPr>
      <w:r>
        <w:t xml:space="preserve">Correction : la ligne de résolution locale doit associer</w:t>
      </w:r>
      <w:r>
        <w:t xml:space="preserve"> </w:t>
      </w:r>
      <w:r>
        <w:rPr>
          <w:b/>
          <w:bCs/>
        </w:rPr>
        <w:t xml:space="preserve">la bonne adresse</w:t>
      </w:r>
      <w:r>
        <w:t xml:space="preserve"> </w:t>
      </w:r>
      <w:r>
        <w:t xml:space="preserve">au</w:t>
      </w:r>
      <w:r>
        <w:t xml:space="preserve"> </w:t>
      </w:r>
      <w:r>
        <w:rPr>
          <w:b/>
          <w:bCs/>
        </w:rPr>
        <w:t xml:space="preserve">nom complet correct</w:t>
      </w:r>
      <w:r>
        <w:t xml:space="preserve">, suivi du</w:t>
      </w:r>
      <w:r>
        <w:t xml:space="preserve"> </w:t>
      </w:r>
      <w:r>
        <w:rPr>
          <w:b/>
          <w:bCs/>
        </w:rPr>
        <w:t xml:space="preserve">nom court</w:t>
      </w:r>
      <w:r>
        <w:t xml:space="preserve">. Le contrôle consiste à comparer nom court, nom complet et résolution par nom court : les trois doivent concorder.</w:t>
      </w:r>
    </w:p>
    <w:p>
      <w:pPr>
        <w:pStyle w:val="BlockText"/>
      </w:pPr>
      <w:r>
        <w:t xml:space="preserve">Cette correction est le</w:t>
      </w:r>
      <w:r>
        <w:t xml:space="preserve"> </w:t>
      </w:r>
      <w:r>
        <w:rPr>
          <w:b/>
          <w:bCs/>
        </w:rPr>
        <w:t xml:space="preserve">quatrième effet du clonage</w:t>
      </w:r>
      <w:r>
        <w:t xml:space="preserve">, après les clés d’hôte SSH, l’identifiant machine et l’adressage réseau. Elle justifie à elle seule l’automatisation de la procédure en phase de standardisation.</w:t>
      </w:r>
    </w:p>
    <w:p>
      <w:r>
        <w:pict>
          <v:rect style="width:0;height:1.5pt" o:hralign="center" o:hrstd="t" o:hr="t"/>
        </w:pict>
      </w:r>
    </w:p>
    <w:bookmarkEnd w:id="34"/>
    <w:bookmarkEnd w:id="35"/>
    <w:bookmarkStart w:id="36" w:name="contrôles-post-création-effectués"/>
    <w:p>
      <w:pPr>
        <w:pStyle w:val="Heading2"/>
      </w:pPr>
      <w:r>
        <w:t xml:space="preserve">10. Contrôles post-création effectués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Contrôle</w:t>
            </w:r>
          </w:p>
        </w:tc>
        <w:tc>
          <w:tcPr/>
          <w:p>
            <w:pPr>
              <w:pStyle w:val="Compact"/>
            </w:pPr>
            <w:r>
              <w:t xml:space="preserve">Résultat obtenu</w:t>
            </w:r>
          </w:p>
        </w:tc>
      </w:tr>
      <w:tr>
        <w:tc>
          <w:tcPr/>
          <w:p>
            <w:pPr>
              <w:pStyle w:val="Compact"/>
            </w:pPr>
            <w:r>
              <w:t xml:space="preserve">État du cluster</w:t>
            </w:r>
          </w:p>
        </w:tc>
        <w:tc>
          <w:tcPr/>
          <w:p>
            <w:pPr>
              <w:pStyle w:val="Compact"/>
            </w:pPr>
            <w:r>
              <w:t xml:space="preserve">Trois nœuds, trois votes, quorum à deux, indicateur « quorate »</w:t>
            </w:r>
          </w:p>
        </w:tc>
      </w:tr>
      <w:tr>
        <w:tc>
          <w:tcPr/>
          <w:p>
            <w:pPr>
              <w:pStyle w:val="Compact"/>
            </w:pPr>
            <w:r>
              <w:t xml:space="preserve">Liste des membres</w:t>
            </w:r>
          </w:p>
        </w:tc>
        <w:tc>
          <w:tcPr/>
          <w:p>
            <w:pPr>
              <w:pStyle w:val="Compact"/>
            </w:pPr>
            <w:r>
              <w:t xml:space="preserve">Les trois nœuds présents,</w:t>
            </w:r>
            <w:r>
              <w:t xml:space="preserve"> </w:t>
            </w:r>
            <w:r>
              <w:rPr>
                <w:b/>
                <w:bCs/>
              </w:rPr>
              <w:t xml:space="preserve">un vote chacun</w:t>
            </w:r>
          </w:p>
        </w:tc>
      </w:tr>
      <w:tr>
        <w:tc>
          <w:tcPr/>
          <w:p>
            <w:pPr>
              <w:pStyle w:val="Compact"/>
            </w:pPr>
            <w:r>
              <w:rPr>
                <w:b/>
                <w:bCs/>
              </w:rPr>
              <w:t xml:space="preserve">Anneaux de communication Corosync</w:t>
            </w:r>
          </w:p>
        </w:tc>
        <w:tc>
          <w:tcPr/>
          <w:p>
            <w:pPr>
              <w:pStyle w:val="Compact"/>
            </w:pPr>
            <w:r>
              <w:rPr>
                <w:b/>
                <w:bCs/>
              </w:rPr>
              <w:t xml:space="preserve">Tous les liens « connected », aucun paquet perdu</w:t>
            </w:r>
          </w:p>
        </w:tc>
      </w:tr>
      <w:tr>
        <w:tc>
          <w:tcPr/>
          <w:p>
            <w:pPr>
              <w:pStyle w:val="Compact"/>
            </w:pPr>
            <w:r>
              <w:t xml:space="preserve">Cohérence des pools de réplication</w:t>
            </w:r>
          </w:p>
        </w:tc>
        <w:tc>
          <w:tcPr/>
          <w:p>
            <w:pPr>
              <w:pStyle w:val="Compact"/>
            </w:pPr>
            <w:r>
              <w:t xml:space="preserve">Nom de pool identique sur les trois nœuds</w:t>
            </w:r>
          </w:p>
        </w:tc>
      </w:tr>
      <w:tr>
        <w:tc>
          <w:tcPr/>
          <w:p>
            <w:pPr>
              <w:pStyle w:val="Compact"/>
            </w:pPr>
            <w:r>
              <w:t xml:space="preserve">Unicité des identifiants machine</w:t>
            </w:r>
          </w:p>
        </w:tc>
        <w:tc>
          <w:tcPr/>
          <w:p>
            <w:pPr>
              <w:pStyle w:val="Compact"/>
            </w:pPr>
            <w:r>
              <w:t xml:space="preserve">Trois valeurs distinctes</w:t>
            </w:r>
          </w:p>
        </w:tc>
      </w:tr>
    </w:tbl>
    <w:p>
      <w:pPr>
        <w:pStyle w:val="BlockText"/>
      </w:pPr>
      <w:r>
        <w:t xml:space="preserve">Le contrôle des</w:t>
      </w:r>
      <w:r>
        <w:t xml:space="preserve"> </w:t>
      </w:r>
      <w:r>
        <w:rPr>
          <w:b/>
          <w:bCs/>
        </w:rPr>
        <w:t xml:space="preserve">anneaux de communication Corosync</w:t>
      </w:r>
      <w:r>
        <w:t xml:space="preserve"> </w:t>
      </w:r>
      <w:r>
        <w:t xml:space="preserve">est le plus souvent négligé. Il révèle les clusters qui fonctionnent en apparence mais perdent leur quorum sans explication au bout de quelques semaines. Il est recommandé de le systématiser après toute opération sur le cluster.</w:t>
      </w:r>
    </w:p>
    <w:p>
      <w:r>
        <w:pict>
          <v:rect style="width:0;height:1.5pt" o:hralign="center" o:hrstd="t" o:hr="t"/>
        </w:pict>
      </w:r>
    </w:p>
    <w:bookmarkEnd w:id="36"/>
    <w:bookmarkStart w:id="38" w:name="état-davancement"/>
    <w:p>
      <w:pPr>
        <w:pStyle w:val="Heading2"/>
      </w:pPr>
      <w:r>
        <w:t xml:space="preserve">11. État d’avancement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État</w:t>
            </w:r>
          </w:p>
        </w:tc>
      </w:tr>
      <w:tr>
        <w:tc>
          <w:tcPr/>
          <w:p>
            <w:pPr>
              <w:pStyle w:val="Compact"/>
            </w:pPr>
            <w:r>
              <w:t xml:space="preserve">Hôte physique</w:t>
            </w:r>
          </w:p>
        </w:tc>
        <w:tc>
          <w:tcPr/>
          <w:p>
            <w:pPr>
              <w:pStyle w:val="Compact"/>
            </w:pPr>
            <w:r>
              <w:t xml:space="preserve">Opérationnel, virtualisation imbriquée active</w:t>
            </w:r>
          </w:p>
        </w:tc>
      </w:tr>
      <w:tr>
        <w:tc>
          <w:tcPr/>
          <w:p>
            <w:pPr>
              <w:pStyle w:val="Compact"/>
            </w:pPr>
            <w:r>
              <w:t xml:space="preserve">Trois nœuds Proxmox</w:t>
            </w:r>
          </w:p>
        </w:tc>
        <w:tc>
          <w:tcPr/>
          <w:p>
            <w:pPr>
              <w:pStyle w:val="Compact"/>
            </w:pPr>
            <w:r>
              <w:t xml:space="preserve">Installés, identités uniques, administrables à distance</w:t>
            </w:r>
          </w:p>
        </w:tc>
      </w:tr>
      <w:tr>
        <w:tc>
          <w:tcPr/>
          <w:p>
            <w:pPr>
              <w:pStyle w:val="Compact"/>
            </w:pPr>
            <w:r>
              <w:rPr>
                <w:b/>
                <w:bCs/>
              </w:rPr>
              <w:t xml:space="preserve">Cluster</w:t>
            </w:r>
          </w:p>
        </w:tc>
        <w:tc>
          <w:tcPr/>
          <w:p>
            <w:pPr>
              <w:pStyle w:val="Compact"/>
            </w:pPr>
            <w:r>
              <w:t xml:space="preserve">✅</w:t>
            </w:r>
            <w:r>
              <w:t xml:space="preserve"> </w:t>
            </w:r>
            <w:r>
              <w:rPr>
                <w:b/>
                <w:bCs/>
              </w:rPr>
              <w:t xml:space="preserve">Créé le 05/10/2026</w:t>
            </w:r>
            <w:r>
              <w:t xml:space="preserve">, quorate à 3 nœuds, majorité à 2</w:t>
            </w:r>
          </w:p>
        </w:tc>
      </w:tr>
      <w:tr>
        <w:tc>
          <w:tcPr/>
          <w:p>
            <w:pPr>
              <w:pStyle w:val="Compact"/>
            </w:pPr>
            <w:r>
              <w:t xml:space="preserve">Anneaux de communication</w:t>
            </w:r>
          </w:p>
        </w:tc>
        <w:tc>
          <w:tcPr/>
          <w:p>
            <w:pPr>
              <w:pStyle w:val="Compact"/>
            </w:pPr>
            <w:r>
              <w:t xml:space="preserve">✅ Tous les liens actifs</w:t>
            </w:r>
          </w:p>
        </w:tc>
      </w:tr>
      <w:tr>
        <w:tc>
          <w:tcPr/>
          <w:p>
            <w:pPr>
              <w:pStyle w:val="Compact"/>
            </w:pPr>
            <w:r>
              <w:t xml:space="preserve">Réplication entre nœuds</w:t>
            </w:r>
          </w:p>
        </w:tc>
        <w:tc>
          <w:tcPr/>
          <w:p>
            <w:pPr>
              <w:pStyle w:val="Compact"/>
            </w:pPr>
            <w:r>
              <w:t xml:space="preserve">✅ Opérationnelle, état</w:t>
            </w:r>
            <w:r>
              <w:t xml:space="preserve"> </w:t>
            </w:r>
            <w:r>
              <w:rPr>
                <w:rStyle w:val="VerbatimChar"/>
              </w:rPr>
              <w:t xml:space="preserve">OK</w:t>
            </w:r>
          </w:p>
        </w:tc>
      </w:tr>
      <w:tr>
        <w:tc>
          <w:tcPr/>
          <w:p>
            <w:pPr>
              <w:pStyle w:val="Compact"/>
            </w:pPr>
            <w:r>
              <w:t xml:space="preserve">Groupe de haute disponibilité</w:t>
            </w:r>
          </w:p>
        </w:tc>
        <w:tc>
          <w:tcPr/>
          <w:p>
            <w:pPr>
              <w:pStyle w:val="Compact"/>
            </w:pPr>
            <w:r>
              <w:t xml:space="preserve">✅ Configuré, ressource critique rattachée</w:t>
            </w:r>
          </w:p>
        </w:tc>
      </w:tr>
    </w:tbl>
    <w:bookmarkStart w:id="37" w:name="étapes-suivantes"/>
    <w:p>
      <w:pPr>
        <w:pStyle w:val="Heading3"/>
      </w:pPr>
      <w:r>
        <w:t xml:space="preserve">Étapes suivantes</w:t>
      </w:r>
    </w:p>
    <w:p>
      <w:pPr>
        <w:pStyle w:val="Compact"/>
        <w:numPr>
          <w:ilvl w:val="0"/>
          <w:numId w:val="1004"/>
        </w:numPr>
      </w:pPr>
      <w:r>
        <w:t xml:space="preserve">✅</w:t>
      </w:r>
      <w:r>
        <w:t xml:space="preserve"> </w:t>
      </w:r>
      <w:r>
        <w:rPr>
          <w:b/>
          <w:bCs/>
        </w:rPr>
        <w:t xml:space="preserve">Création du cluster</w:t>
      </w:r>
      <w:r>
        <w:t xml:space="preserve"> </w:t>
      </w:r>
      <w:r>
        <w:t xml:space="preserve">et jonction des trois nœuds —</w:t>
      </w:r>
      <w:r>
        <w:t xml:space="preserve"> </w:t>
      </w:r>
      <w:r>
        <w:rPr>
          <w:b/>
          <w:bCs/>
        </w:rPr>
        <w:t xml:space="preserve">fait le 05/10/2026</w:t>
      </w:r>
      <w:r>
        <w:t xml:space="preserve">.</w:t>
      </w:r>
    </w:p>
    <w:p>
      <w:pPr>
        <w:pStyle w:val="Compact"/>
        <w:numPr>
          <w:ilvl w:val="0"/>
          <w:numId w:val="1004"/>
        </w:numPr>
      </w:pPr>
      <w:r>
        <w:t xml:space="preserve">✅</w:t>
      </w:r>
      <w:r>
        <w:t xml:space="preserve"> </w:t>
      </w:r>
      <w:r>
        <w:rPr>
          <w:b/>
          <w:bCs/>
        </w:rPr>
        <w:t xml:space="preserve">Contrôle du quorum et des anneaux</w:t>
      </w:r>
      <w:r>
        <w:t xml:space="preserve"> </w:t>
      </w:r>
      <w:r>
        <w:t xml:space="preserve">: trois votes, majorité à deux, état « quorate », liens actifs.</w:t>
      </w:r>
    </w:p>
    <w:p>
      <w:pPr>
        <w:pStyle w:val="Compact"/>
        <w:numPr>
          <w:ilvl w:val="0"/>
          <w:numId w:val="1004"/>
        </w:numPr>
      </w:pPr>
      <w:r>
        <w:t xml:space="preserve">✅</w:t>
      </w:r>
      <w:r>
        <w:t xml:space="preserve"> </w:t>
      </w:r>
      <w:r>
        <w:rPr>
          <w:b/>
          <w:bCs/>
        </w:rPr>
        <w:t xml:space="preserve">Réplication</w:t>
      </w:r>
      <w:r>
        <w:t xml:space="preserve"> </w:t>
      </w:r>
      <w:r>
        <w:t xml:space="preserve">des volumes entre nœuds.</w:t>
      </w:r>
    </w:p>
    <w:p>
      <w:pPr>
        <w:pStyle w:val="Compact"/>
        <w:numPr>
          <w:ilvl w:val="0"/>
          <w:numId w:val="1004"/>
        </w:numPr>
      </w:pPr>
      <w:r>
        <w:t xml:space="preserve">✅</w:t>
      </w:r>
      <w:r>
        <w:t xml:space="preserve"> </w:t>
      </w:r>
      <w:r>
        <w:rPr>
          <w:b/>
          <w:bCs/>
        </w:rPr>
        <w:t xml:space="preserve">Groupe HA</w:t>
      </w:r>
      <w:r>
        <w:t xml:space="preserve"> </w:t>
      </w:r>
      <w:r>
        <w:t xml:space="preserve">et machine virtuelle de test.</w:t>
      </w:r>
    </w:p>
    <w:p>
      <w:pPr>
        <w:pStyle w:val="Compact"/>
        <w:numPr>
          <w:ilvl w:val="0"/>
          <w:numId w:val="1004"/>
        </w:numPr>
      </w:pPr>
      <w:r>
        <w:t xml:space="preserve">✅</w:t>
      </w:r>
      <w:r>
        <w:t xml:space="preserve"> </w:t>
      </w:r>
      <w:r>
        <w:rPr>
          <w:b/>
          <w:bCs/>
        </w:rPr>
        <w:t xml:space="preserve">Démonstration de bascule</w:t>
      </w:r>
      <w:r>
        <w:t xml:space="preserve"> </w:t>
      </w:r>
      <w:r>
        <w:t xml:space="preserve">horodatée — voir le document « Test de recette HA ».</w:t>
      </w:r>
    </w:p>
    <w:p>
      <w:r>
        <w:pict>
          <v:rect style="width:0;height:1.5pt" o:hralign="center" o:hrstd="t" o:hr="t"/>
        </w:pict>
      </w:r>
    </w:p>
    <w:bookmarkEnd w:id="37"/>
    <w:bookmarkEnd w:id="38"/>
    <w:bookmarkStart w:id="41" w:name="cibles-de-recette-associées"/>
    <w:p>
      <w:pPr>
        <w:pStyle w:val="Heading2"/>
      </w:pPr>
      <w:r>
        <w:t xml:space="preserve">12. Cibles de recette associées</w:t>
      </w:r>
    </w:p>
    <w:bookmarkStart w:id="39" w:name="X3d2652c876a6e3c9714f9c54409d0b33e5c877a"/>
    <w:p>
      <w:pPr>
        <w:pStyle w:val="Heading3"/>
      </w:pPr>
      <w:r>
        <w:t xml:space="preserve">Test de recette défini par le cahier des charges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Brique</w:t>
            </w:r>
          </w:p>
        </w:tc>
        <w:tc>
          <w:tcPr/>
          <w:p>
            <w:pPr>
              <w:pStyle w:val="Compact"/>
            </w:pPr>
            <w:r>
              <w:t xml:space="preserve">Test</w:t>
            </w:r>
          </w:p>
        </w:tc>
        <w:tc>
          <w:tcPr/>
          <w:p>
            <w:pPr>
              <w:pStyle w:val="Compact"/>
            </w:pPr>
            <w:r>
              <w:t xml:space="preserve">Résultat attendu</w:t>
            </w:r>
          </w:p>
        </w:tc>
        <w:tc>
          <w:tcPr/>
          <w:p>
            <w:pPr>
              <w:pStyle w:val="Compact"/>
            </w:pPr>
            <w:r>
              <w:t xml:space="preserve">Preuve exigée</w:t>
            </w:r>
          </w:p>
        </w:tc>
      </w:tr>
      <w:tr>
        <w:tc>
          <w:tcPr/>
          <w:p>
            <w:pPr>
              <w:pStyle w:val="Compact"/>
            </w:pPr>
            <w:r>
              <w:rPr>
                <w:b/>
                <w:bCs/>
              </w:rPr>
              <w:t xml:space="preserve">HA / Proxmox VE</w:t>
            </w:r>
          </w:p>
        </w:tc>
        <w:tc>
          <w:tcPr/>
          <w:p>
            <w:pPr>
              <w:pStyle w:val="Compact"/>
            </w:pPr>
            <w:r>
              <w:t xml:space="preserve">Simuler l’indisponibilité d’un nœud hébergeant une VM critique</w:t>
            </w:r>
          </w:p>
        </w:tc>
        <w:tc>
          <w:tcPr/>
          <w:p>
            <w:pPr>
              <w:pStyle w:val="Compact"/>
            </w:pPr>
            <w:r>
              <w:t xml:space="preserve">Le service reste disponible ou est rétabli dans le délai cible</w:t>
            </w:r>
          </w:p>
        </w:tc>
        <w:tc>
          <w:tcPr/>
          <w:p>
            <w:pPr>
              <w:pStyle w:val="Compact"/>
            </w:pPr>
            <w:r>
              <w:rPr>
                <w:b/>
                <w:bCs/>
              </w:rPr>
              <w:t xml:space="preserve">Compte rendu + horodatage</w:t>
            </w:r>
          </w:p>
        </w:tc>
      </w:tr>
      <w:tr>
        <w:tc>
          <w:tcPr/>
          <w:p>
            <w:pPr>
              <w:pStyle w:val="Compact"/>
            </w:pPr>
            <w:r>
              <w:rPr>
                <w:b/>
                <w:bCs/>
              </w:rPr>
              <w:t xml:space="preserve">Sauvegarde / PBS</w:t>
            </w:r>
          </w:p>
        </w:tc>
        <w:tc>
          <w:tcPr/>
          <w:p>
            <w:pPr>
              <w:pStyle w:val="Compact"/>
            </w:pPr>
            <w:r>
              <w:t xml:space="preserve">Lancer une sauvegarde puis tester une restauration</w:t>
            </w:r>
          </w:p>
        </w:tc>
        <w:tc>
          <w:tcPr/>
          <w:p>
            <w:pPr>
              <w:pStyle w:val="Compact"/>
            </w:pPr>
            <w:r>
              <w:t xml:space="preserve">Sauvegarde exploitable et restauration réussie</w:t>
            </w:r>
          </w:p>
        </w:tc>
        <w:tc>
          <w:tcPr/>
          <w:p>
            <w:pPr>
              <w:pStyle w:val="Compact"/>
            </w:pPr>
            <w:r>
              <w:rPr>
                <w:b/>
                <w:bCs/>
              </w:rPr>
              <w:t xml:space="preserve">Journal de sauvegarde + preuve de restauration</w:t>
            </w:r>
          </w:p>
        </w:tc>
      </w:tr>
      <w:tr>
        <w:tc>
          <w:tcPr/>
          <w:p>
            <w:pPr>
              <w:pStyle w:val="Compact"/>
            </w:pPr>
            <w:r>
              <w:rPr>
                <w:b/>
                <w:bCs/>
              </w:rPr>
              <w:t xml:space="preserve">Supervision / Zabbix</w:t>
            </w:r>
          </w:p>
        </w:tc>
        <w:tc>
          <w:tcPr/>
          <w:p>
            <w:pPr>
              <w:pStyle w:val="Compact"/>
            </w:pPr>
            <w:r>
              <w:t xml:space="preserve">Vérifier la remontée et déclencher une alerte</w:t>
            </w:r>
          </w:p>
        </w:tc>
        <w:tc>
          <w:tcPr/>
          <w:p>
            <w:pPr>
              <w:pStyle w:val="Compact"/>
            </w:pPr>
            <w:r>
              <w:t xml:space="preserve">Les 30 postes visibles, alerte remontée correctement</w:t>
            </w:r>
          </w:p>
        </w:tc>
        <w:tc>
          <w:tcPr/>
          <w:p>
            <w:pPr>
              <w:pStyle w:val="Compact"/>
            </w:pPr>
            <w:r>
              <w:rPr>
                <w:b/>
                <w:bCs/>
              </w:rPr>
              <w:t xml:space="preserve">Capture/export Zabbix + journal</w:t>
            </w:r>
          </w:p>
        </w:tc>
      </w:tr>
      <w:tr>
        <w:tc>
          <w:tcPr/>
          <w:p>
            <w:pPr>
              <w:pStyle w:val="Compact"/>
            </w:pPr>
            <w:r>
              <w:rPr>
                <w:b/>
                <w:bCs/>
              </w:rPr>
              <w:t xml:space="preserve">IaC / Ansible</w:t>
            </w:r>
          </w:p>
        </w:tc>
        <w:tc>
          <w:tcPr/>
          <w:p>
            <w:pPr>
              <w:pStyle w:val="Compact"/>
            </w:pPr>
            <w:r>
              <w:t xml:space="preserve">Déployer ou reconfigurer une machine de test, puis rejouer le playbook</w:t>
            </w:r>
          </w:p>
        </w:tc>
        <w:tc>
          <w:tcPr/>
          <w:p>
            <w:pPr>
              <w:pStyle w:val="Compact"/>
            </w:pPr>
            <w:r>
              <w:t xml:space="preserve">Configuration identique et standardisée, sans action manuelle</w:t>
            </w:r>
          </w:p>
        </w:tc>
        <w:tc>
          <w:tcPr/>
          <w:p>
            <w:pPr>
              <w:pStyle w:val="Compact"/>
            </w:pPr>
            <w:r>
              <w:rPr>
                <w:b/>
                <w:bCs/>
              </w:rPr>
              <w:t xml:space="preserve">Playbook + sortie d’exécution + état final</w:t>
            </w:r>
          </w:p>
        </w:tc>
      </w:tr>
    </w:tbl>
    <w:p>
      <w:pPr>
        <w:pStyle w:val="BlockText"/>
      </w:pPr>
      <w:r>
        <w:t xml:space="preserve">La recette vérifie chaque brique</w:t>
      </w:r>
      <w:r>
        <w:t xml:space="preserve"> </w:t>
      </w:r>
      <w:r>
        <w:rPr>
          <w:b/>
          <w:bCs/>
        </w:rPr>
        <w:t xml:space="preserve">séparément puis leur fonctionnement conjoint</w:t>
      </w:r>
      <w:r>
        <w:t xml:space="preserve">, et les tests sont réalisés sur l’</w:t>
      </w:r>
      <w:r>
        <w:rPr>
          <w:b/>
          <w:bCs/>
        </w:rPr>
        <w:t xml:space="preserve">environnement de validation avant la mise en production</w:t>
      </w:r>
      <w:r>
        <w:t xml:space="preserve">.</w:t>
      </w:r>
    </w:p>
    <w:bookmarkEnd w:id="39"/>
    <w:bookmarkStart w:id="40" w:name="indicateurs-complémentaires-proposés"/>
    <w:p>
      <w:pPr>
        <w:pStyle w:val="Heading3"/>
      </w:pPr>
      <w:r>
        <w:t xml:space="preserve">Indicateurs complémentaires proposés</w:t>
      </w:r>
    </w:p>
    <w:p>
      <w:pPr>
        <w:pStyle w:val="FirstParagraph"/>
      </w:pPr>
      <w:r>
        <w:t xml:space="preserve">Ces indicateurs sont</w:t>
      </w:r>
      <w:r>
        <w:t xml:space="preserve"> </w:t>
      </w:r>
      <w:r>
        <w:rPr>
          <w:b/>
          <w:bCs/>
        </w:rPr>
        <w:t xml:space="preserve">proposés</w:t>
      </w:r>
      <w:r>
        <w:t xml:space="preserve"> </w:t>
      </w:r>
      <w:r>
        <w:t xml:space="preserve">et restent à valider.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Domaine</w:t>
            </w:r>
          </w:p>
        </w:tc>
        <w:tc>
          <w:tcPr/>
          <w:p>
            <w:pPr>
              <w:pStyle w:val="Compact"/>
            </w:pPr>
            <w:r>
              <w:t xml:space="preserve">Indicateur</w:t>
            </w:r>
          </w:p>
        </w:tc>
        <w:tc>
          <w:tcPr/>
          <w:p>
            <w:pPr>
              <w:pStyle w:val="Compact"/>
            </w:pPr>
            <w:r>
              <w:t xml:space="preserve">Cible proposée</w:t>
            </w:r>
          </w:p>
        </w:tc>
      </w:tr>
      <w:tr>
        <w:tc>
          <w:tcPr/>
          <w:p>
            <w:pPr>
              <w:pStyle w:val="Compact"/>
            </w:pPr>
            <w:r>
              <w:t xml:space="preserve">Sauvegarde</w:t>
            </w:r>
          </w:p>
        </w:tc>
        <w:tc>
          <w:tcPr/>
          <w:p>
            <w:pPr>
              <w:pStyle w:val="Compact"/>
            </w:pPr>
            <w:r>
              <w:t xml:space="preserve">RPO (perte de données maximale)</w:t>
            </w:r>
          </w:p>
        </w:tc>
        <w:tc>
          <w:tcPr/>
          <w:p>
            <w:pPr>
              <w:pStyle w:val="Compact"/>
            </w:pPr>
            <w:r>
              <w:t xml:space="preserve">&lt; 15 min</w:t>
            </w:r>
          </w:p>
        </w:tc>
      </w:tr>
      <w:tr>
        <w:tc>
          <w:tcPr/>
          <w:p>
            <w:pPr>
              <w:pStyle w:val="Compact"/>
            </w:pPr>
            <w:r>
              <w:t xml:space="preserve">Sauvegarde</w:t>
            </w:r>
          </w:p>
        </w:tc>
        <w:tc>
          <w:tcPr/>
          <w:p>
            <w:pPr>
              <w:pStyle w:val="Compact"/>
            </w:pPr>
            <w:r>
              <w:t xml:space="preserve">Temps de restauration d’une VM critique</w:t>
            </w:r>
          </w:p>
        </w:tc>
        <w:tc>
          <w:tcPr/>
          <w:p>
            <w:pPr>
              <w:pStyle w:val="Compact"/>
            </w:pPr>
            <w:r>
              <w:t xml:space="preserve">&lt; 30 min</w:t>
            </w:r>
          </w:p>
        </w:tc>
      </w:tr>
      <w:tr>
        <w:tc>
          <w:tcPr/>
          <w:p>
            <w:pPr>
              <w:pStyle w:val="Compact"/>
            </w:pPr>
            <w:r>
              <w:t xml:space="preserve">Ansible</w:t>
            </w:r>
          </w:p>
        </w:tc>
        <w:tc>
          <w:tcPr/>
          <w:p>
            <w:pPr>
              <w:pStyle w:val="Compact"/>
            </w:pPr>
            <w:r>
              <w:t xml:space="preserve">Temps de déploiement ou de reconfiguration</w:t>
            </w:r>
          </w:p>
        </w:tc>
        <w:tc>
          <w:tcPr/>
          <w:p>
            <w:pPr>
              <w:pStyle w:val="Compact"/>
            </w:pPr>
            <w:r>
              <w:t xml:space="preserve">&lt; 15 min</w:t>
            </w:r>
          </w:p>
        </w:tc>
      </w:tr>
      <w:tr>
        <w:tc>
          <w:tcPr/>
          <w:p>
            <w:pPr>
              <w:pStyle w:val="Compact"/>
            </w:pPr>
            <w:r>
              <w:t xml:space="preserve">Zabbix</w:t>
            </w:r>
          </w:p>
        </w:tc>
        <w:tc>
          <w:tcPr/>
          <w:p>
            <w:pPr>
              <w:pStyle w:val="Compact"/>
            </w:pPr>
            <w:r>
              <w:t xml:space="preserve">Réactivité des alertes vers la DSI</w:t>
            </w:r>
          </w:p>
        </w:tc>
        <w:tc>
          <w:tcPr/>
          <w:p>
            <w:pPr>
              <w:pStyle w:val="Compact"/>
            </w:pPr>
            <w:r>
              <w:t xml:space="preserve">&lt; 2 min</w:t>
            </w:r>
          </w:p>
        </w:tc>
      </w:tr>
    </w:tbl>
    <w:p>
      <w:r>
        <w:pict>
          <v:rect style="width:0;height:1.5pt" o:hralign="center" o:hrstd="t" o:hr="t"/>
        </w:pict>
      </w:r>
    </w:p>
    <w:bookmarkEnd w:id="40"/>
    <w:bookmarkEnd w:id="41"/>
    <w:bookmarkStart w:id="42" w:name="rappel-des-exigences-et-priorités"/>
    <w:p>
      <w:pPr>
        <w:pStyle w:val="Heading2"/>
      </w:pPr>
      <w:r>
        <w:t xml:space="preserve">13. Rappel des exigences et priorités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Exigence</w:t>
            </w:r>
          </w:p>
        </w:tc>
        <w:tc>
          <w:tcPr/>
          <w:p>
            <w:pPr>
              <w:pStyle w:val="Compact"/>
            </w:pPr>
            <w:r>
              <w:t xml:space="preserve">Priorité</w:t>
            </w:r>
          </w:p>
        </w:tc>
        <w:tc>
          <w:tcPr/>
          <w:p>
            <w:pPr>
              <w:pStyle w:val="Compact"/>
            </w:pPr>
            <w:r>
              <w:t xml:space="preserve">Brique retenue</w:t>
            </w:r>
          </w:p>
        </w:tc>
      </w:tr>
      <w:tr>
        <w:tc>
          <w:tcPr/>
          <w:p>
            <w:pPr>
              <w:pStyle w:val="Compact"/>
            </w:pPr>
            <w:r>
              <w:t xml:space="preserve">1</w:t>
            </w:r>
          </w:p>
        </w:tc>
        <w:tc>
          <w:tcPr/>
          <w:p>
            <w:pPr>
              <w:pStyle w:val="Compact"/>
            </w:pPr>
            <w:r>
              <w:t xml:space="preserve">Accès continu au DPI via haute disponibilité des VM</w:t>
            </w:r>
          </w:p>
        </w:tc>
        <w:tc>
          <w:tcPr/>
          <w:p>
            <w:pPr>
              <w:pStyle w:val="Compact"/>
            </w:pPr>
            <w:r>
              <w:rPr>
                <w:b/>
                <w:bCs/>
              </w:rPr>
              <w:t xml:space="preserve">Must</w:t>
            </w:r>
          </w:p>
        </w:tc>
        <w:tc>
          <w:tcPr/>
          <w:p>
            <w:pPr>
              <w:pStyle w:val="Compact"/>
            </w:pPr>
            <w:r>
              <w:t xml:space="preserve">Proxmox VE HA</w:t>
            </w:r>
          </w:p>
        </w:tc>
      </w:tr>
      <w:tr>
        <w:tc>
          <w:tcPr/>
          <w:p>
            <w:pPr>
              <w:pStyle w:val="Compact"/>
            </w:pPr>
            <w:r>
              <w:t xml:space="preserve">2</w:t>
            </w:r>
          </w:p>
        </w:tc>
        <w:tc>
          <w:tcPr/>
          <w:p>
            <w:pPr>
              <w:pStyle w:val="Compact"/>
            </w:pPr>
            <w:r>
              <w:t xml:space="preserve">Sauvegarde 3-2-1 et restauration</w:t>
            </w:r>
          </w:p>
        </w:tc>
        <w:tc>
          <w:tcPr/>
          <w:p>
            <w:pPr>
              <w:pStyle w:val="Compact"/>
            </w:pPr>
            <w:r>
              <w:rPr>
                <w:b/>
                <w:bCs/>
              </w:rPr>
              <w:t xml:space="preserve">Must</w:t>
            </w:r>
          </w:p>
        </w:tc>
        <w:tc>
          <w:tcPr/>
          <w:p>
            <w:pPr>
              <w:pStyle w:val="Compact"/>
            </w:pPr>
            <w:r>
              <w:t xml:space="preserve">PBS + copie secondaire</w:t>
            </w:r>
          </w:p>
        </w:tc>
      </w:tr>
      <w:tr>
        <w:tc>
          <w:tcPr/>
          <w:p>
            <w:pPr>
              <w:pStyle w:val="Compact"/>
            </w:pPr>
            <w:r>
              <w:t xml:space="preserve">3</w:t>
            </w:r>
          </w:p>
        </w:tc>
        <w:tc>
          <w:tcPr/>
          <w:p>
            <w:pPr>
              <w:pStyle w:val="Compact"/>
            </w:pPr>
            <w:r>
              <w:t xml:space="preserve">Automatisation des serveurs et applications</w:t>
            </w:r>
          </w:p>
        </w:tc>
        <w:tc>
          <w:tcPr/>
          <w:p>
            <w:pPr>
              <w:pStyle w:val="Compact"/>
            </w:pPr>
            <w:r>
              <w:rPr>
                <w:b/>
                <w:bCs/>
              </w:rPr>
              <w:t xml:space="preserve">Must</w:t>
            </w:r>
          </w:p>
        </w:tc>
        <w:tc>
          <w:tcPr/>
          <w:p>
            <w:pPr>
              <w:pStyle w:val="Compact"/>
            </w:pPr>
            <w:r>
              <w:t xml:space="preserve">Ansible + playbooks</w:t>
            </w:r>
          </w:p>
        </w:tc>
      </w:tr>
      <w:tr>
        <w:tc>
          <w:tcPr/>
          <w:p>
            <w:pPr>
              <w:pStyle w:val="Compact"/>
            </w:pPr>
            <w:r>
              <w:t xml:space="preserve">4</w:t>
            </w:r>
          </w:p>
        </w:tc>
        <w:tc>
          <w:tcPr/>
          <w:p>
            <w:pPr>
              <w:pStyle w:val="Compact"/>
            </w:pPr>
            <w:r>
              <w:t xml:space="preserve">Supervision centralisée des 30 postes</w:t>
            </w:r>
          </w:p>
        </w:tc>
        <w:tc>
          <w:tcPr/>
          <w:p>
            <w:pPr>
              <w:pStyle w:val="Compact"/>
            </w:pPr>
            <w:r>
              <w:t xml:space="preserve">Should</w:t>
            </w:r>
          </w:p>
        </w:tc>
        <w:tc>
          <w:tcPr/>
          <w:p>
            <w:pPr>
              <w:pStyle w:val="Compact"/>
            </w:pPr>
            <w:r>
              <w:t xml:space="preserve">Zabbix</w:t>
            </w:r>
          </w:p>
        </w:tc>
      </w:tr>
    </w:tbl>
    <w:p>
      <w:pPr>
        <w:pStyle w:val="BlockText"/>
      </w:pPr>
      <w:r>
        <w:t xml:space="preserve">Les exigences</w:t>
      </w:r>
      <w:r>
        <w:t xml:space="preserve"> </w:t>
      </w:r>
      <w:r>
        <w:rPr>
          <w:b/>
          <w:bCs/>
        </w:rPr>
        <w:t xml:space="preserve">Must</w:t>
      </w:r>
      <w:r>
        <w:t xml:space="preserve"> </w:t>
      </w:r>
      <w:r>
        <w:t xml:space="preserve">sont traitées en priorité, en vérifiant que les options retenues restent compatibles avec l’enveloppe maximale de 15 000 €.</w:t>
      </w:r>
    </w:p>
    <w:p>
      <w:r>
        <w:pict>
          <v:rect style="width:0;height:1.5pt" o:hralign="center" o:hrstd="t" o:hr="t"/>
        </w:pict>
      </w:r>
    </w:p>
    <w:p>
      <w:pPr>
        <w:pStyle w:val="FirstParagraph"/>
      </w:pPr>
      <w:r>
        <w:rPr>
          <w:i/>
          <w:iCs/>
        </w:rPr>
        <w:t xml:space="preserve">Les identifiants techniques détaillés (adressage complet, empreintes, identifiants machine) sont conservés dans une annexe interne non jointe à ce document.</w:t>
      </w:r>
    </w:p>
    <w:p>
      <w:pPr>
        <w:pStyle w:val="BodyText"/>
      </w:pPr>
      <w:r>
        <w:rPr>
          <w:i/>
          <w:iCs/>
        </w:rPr>
        <w:t xml:space="preserve">Source : cahier des charges Santélia, Bloc 2 AIS — Groupe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2026-10-05T13:18:26Z</dcterms:created>
  <dcterms:modified xsi:type="dcterms:W3CDTF">2026-10-05T13:18:26Z</dcterms:modified>
</cp:coreProperties>
</file>

<file path=docProps/custom.xml><?xml version="1.0" encoding="utf-8"?>
<Properties xmlns="http://schemas.openxmlformats.org/officeDocument/2006/custom-properties" xmlns:vt="http://schemas.openxmlformats.org/officeDocument/2006/docPropsVTypes"/>
</file>