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4748B">
      <w:bookmarkStart w:id="0" w:name="_GoBack"/>
      <w:bookmarkEnd w:id="0"/>
    </w:p>
    <w:p w14:paraId="1F8DB1C7">
      <w:pPr>
        <w:spacing w:after="160"/>
        <w:jc w:val="center"/>
      </w:pPr>
      <w:r>
        <w:rPr>
          <w:rFonts w:hint="eastAsia" w:eastAsia="黑体"/>
          <w:b/>
          <w:color w:val="1F497D"/>
          <w:sz w:val="44"/>
        </w:rPr>
        <w:t>COMP5568</w:t>
      </w:r>
    </w:p>
    <w:p w14:paraId="1FCA7585">
      <w:pPr>
        <w:spacing w:after="160"/>
        <w:jc w:val="center"/>
      </w:pPr>
      <w:r>
        <w:rPr>
          <w:rFonts w:hint="eastAsia" w:eastAsia="黑体"/>
          <w:b w:val="0"/>
          <w:color w:val="505050"/>
          <w:sz w:val="26"/>
        </w:rPr>
        <w:t>Decentralized Lending &amp; Borrowing Protocol</w:t>
      </w:r>
    </w:p>
    <w:p w14:paraId="1B86DE05">
      <w:pPr>
        <w:spacing w:after="160"/>
        <w:jc w:val="center"/>
        <w:rPr>
          <w:rFonts w:hint="eastAsia" w:eastAsia="黑体"/>
          <w:b w:val="0"/>
          <w:color w:val="505050"/>
          <w:sz w:val="26"/>
        </w:rPr>
      </w:pPr>
      <w:r>
        <w:rPr>
          <w:rFonts w:hint="eastAsia" w:eastAsia="黑体"/>
          <w:b w:val="0"/>
          <w:color w:val="505050"/>
          <w:sz w:val="26"/>
        </w:rPr>
        <w:t>Project Report</w:t>
      </w:r>
    </w:p>
    <w:p w14:paraId="49B19616">
      <w:pPr>
        <w:spacing w:after="60"/>
        <w:jc w:val="center"/>
        <w:rPr>
          <w:rFonts w:hint="eastAsia" w:eastAsia="宋体"/>
          <w:b w:val="0"/>
          <w:sz w:val="20"/>
        </w:rPr>
      </w:pPr>
      <w:r>
        <w:rPr>
          <w:rFonts w:hint="eastAsia" w:eastAsia="宋体"/>
          <w:b w:val="0"/>
          <w:sz w:val="20"/>
        </w:rPr>
        <w:t>Course：PolyU COMP5568  Advanced Topics in Blockchain and Fintech</w:t>
      </w:r>
    </w:p>
    <w:p w14:paraId="4C089B72">
      <w:pPr>
        <w:spacing w:after="60"/>
        <w:jc w:val="center"/>
        <w:rPr>
          <w:rFonts w:hint="eastAsia" w:eastAsia="宋体"/>
          <w:b w:val="0"/>
          <w:sz w:val="20"/>
        </w:rPr>
      </w:pPr>
      <w:r>
        <w:rPr>
          <w:rFonts w:hint="eastAsia" w:eastAsia="宋体"/>
          <w:b w:val="0"/>
          <w:sz w:val="20"/>
        </w:rPr>
        <w:t>Project Type: Decentralized Finance (DeFi) Lending Protocol</w:t>
      </w:r>
    </w:p>
    <w:p w14:paraId="1330CCAE">
      <w:pPr>
        <w:spacing w:after="60"/>
        <w:jc w:val="center"/>
        <w:rPr>
          <w:rFonts w:hint="eastAsia" w:eastAsia="宋体"/>
          <w:b w:val="0"/>
          <w:sz w:val="20"/>
        </w:rPr>
      </w:pPr>
      <w:r>
        <w:rPr>
          <w:rFonts w:hint="eastAsia" w:eastAsia="宋体"/>
          <w:b w:val="0"/>
          <w:sz w:val="20"/>
        </w:rPr>
        <w:t>Technical Stack：Solidity · Hardhat · React 18 · ethers.js v6 · Tailwind CSS</w:t>
      </w:r>
    </w:p>
    <w:p w14:paraId="41E11231"/>
    <w:p w14:paraId="21283FEF">
      <w:pPr>
        <w:spacing w:before="360" w:after="120"/>
        <w:rPr>
          <w:b/>
          <w:bCs/>
          <w:color w:val="1F497D" w:themeColor="text2"/>
          <w14:textFill>
            <w14:solidFill>
              <w14:schemeClr w14:val="tx2"/>
            </w14:solidFill>
          </w14:textFill>
        </w:rPr>
      </w:pPr>
      <w:r>
        <w:rPr>
          <w:rFonts w:hint="default" w:eastAsia="宋体" w:cs="宋体" w:asciiTheme="minorAscii" w:hAnsiTheme="minorAscii"/>
          <w:b/>
          <w:bCs/>
          <w:color w:val="1F497D" w:themeColor="text2"/>
          <w:sz w:val="28"/>
          <w:szCs w:val="28"/>
          <w14:textFill>
            <w14:solidFill>
              <w14:schemeClr w14:val="tx2"/>
            </w14:solidFill>
          </w14:textFill>
        </w:rPr>
        <w:t>1. Project Overview</w:t>
      </w:r>
    </w:p>
    <w:p w14:paraId="313494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宋体" w:cs="宋体" w:asciiTheme="minorAscii" w:hAnsiTheme="minorAscii"/>
          <w:color w:val="000000"/>
          <w:kern w:val="0"/>
          <w:sz w:val="19"/>
          <w:szCs w:val="19"/>
          <w:lang w:val="en-US" w:eastAsia="zh-CN" w:bidi="ar"/>
        </w:rPr>
        <w:t>This project is a course assignment for PolyU COMP5568, which designs and implements a decentralized lending &amp; borrowing protocol based on the Ethereum blockchain. Core design concepts are referenced from mainstream DeFi protocols such as Aave and Compound, and the protocol is fully deployed and operated on the Hardhat local testnet.</w:t>
      </w:r>
    </w:p>
    <w:p w14:paraId="5C8F5F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p>
    <w:p w14:paraId="4D6AB1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heme="minorAscii" w:hAnsiTheme="minorAscii"/>
          <w:color w:val="000000"/>
          <w:sz w:val="19"/>
          <w:szCs w:val="19"/>
        </w:rPr>
      </w:pPr>
      <w:r>
        <w:rPr>
          <w:rFonts w:hint="default" w:eastAsia="宋体" w:cs="宋体" w:asciiTheme="minorAscii" w:hAnsiTheme="minorAscii"/>
          <w:color w:val="000000"/>
          <w:kern w:val="0"/>
          <w:sz w:val="19"/>
          <w:szCs w:val="19"/>
          <w:lang w:val="en-US" w:eastAsia="zh-CN" w:bidi="ar"/>
        </w:rPr>
        <w:t>Users can connect to the protocol via a Web3 wallet (MetaMask) to deposit, borrow, repay, and withdraw using two assets: C5D stablecoin and mock WETH. The system calculates the user's health factor, dynamic interest rate, and market utilization rate in real time, fully simulating the core logic of a real DeFi lending market.</w:t>
      </w:r>
    </w:p>
    <w:p w14:paraId="4769D317">
      <w:pPr>
        <w:spacing w:before="200" w:after="80"/>
        <w:rPr>
          <w:b/>
          <w:bCs/>
          <w:color w:val="1F497D" w:themeColor="text2"/>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1.1 Project Background</w:t>
      </w:r>
    </w:p>
    <w:p w14:paraId="7B220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宋体" w:cs="宋体" w:asciiTheme="minorAscii" w:hAnsiTheme="minorAscii"/>
          <w:color w:val="000000"/>
          <w:kern w:val="0"/>
          <w:sz w:val="19"/>
          <w:szCs w:val="19"/>
          <w:lang w:val="en-US" w:eastAsia="zh-CN" w:bidi="ar"/>
        </w:rPr>
        <w:t>Traditional financial lending relies on review and approval by centralized institutions such as banks, which has problems such as low efficiency, high thresholds, and opacity. Decentralized lending protocols automatically execute lending logic through smart contracts without third-party trust, interest rates are dynamically determined by market supply and demand, and anyone can participate without permission. This project aims to implement this core mechanism and make operations intuitive and easy to use through a front-end interface.</w:t>
      </w:r>
    </w:p>
    <w:p w14:paraId="459678A4">
      <w:pPr>
        <w:spacing w:before="200" w:after="80"/>
        <w:rPr>
          <w:b/>
          <w:bCs/>
        </w:rPr>
      </w:pPr>
      <w:r>
        <w:rPr>
          <w:rFonts w:hint="default" w:eastAsia="宋体" w:cs="宋体" w:asciiTheme="minorAscii" w:hAnsiTheme="minorAscii"/>
          <w:b/>
          <w:bCs/>
          <w:color w:val="1F497D" w:themeColor="text2"/>
          <w:sz w:val="24"/>
          <w:szCs w:val="24"/>
          <w14:textFill>
            <w14:solidFill>
              <w14:schemeClr w14:val="tx2"/>
            </w14:solidFill>
          </w14:textFill>
        </w:rPr>
        <w:t>1.2 Technical Architecture</w:t>
      </w:r>
    </w:p>
    <w:p w14:paraId="3A1D5F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Symbol" w:cs="Symbol" w:asciiTheme="minorAscii" w:hAnsiTheme="minorAscii"/>
          <w:sz w:val="21"/>
          <w:szCs w:val="21"/>
        </w:rPr>
        <w:t>·</w:t>
      </w:r>
      <w:r>
        <w:rPr>
          <w:rFonts w:hint="default" w:eastAsia="宋体" w:cs="宋体" w:asciiTheme="minorAscii" w:hAnsiTheme="minorAscii"/>
          <w:color w:val="000000"/>
          <w:kern w:val="0"/>
          <w:sz w:val="19"/>
          <w:szCs w:val="19"/>
          <w:lang w:val="en-US" w:eastAsia="zh-CN" w:bidi="ar"/>
        </w:rPr>
        <w:t xml:space="preserve">  Smart Contract Layer: Solidity ^0.8.20, based on OpenZeppelin (ERC-20, Ownable, ReentrancyGuard)</w:t>
      </w:r>
    </w:p>
    <w:p w14:paraId="168D04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宋体" w:cs="宋体" w:asciiTheme="minorAscii" w:hAnsiTheme="minorAscii"/>
          <w:color w:val="000000"/>
          <w:kern w:val="0"/>
          <w:sz w:val="19"/>
          <w:szCs w:val="19"/>
          <w:lang w:val="en-US" w:eastAsia="zh-CN" w:bidi="ar"/>
        </w:rPr>
        <w:t>·  Blockchain Node: Hardhat 2 local chain, chainId = 1337, port 8545</w:t>
      </w:r>
    </w:p>
    <w:p w14:paraId="02079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宋体" w:cs="宋体" w:asciiTheme="minorAscii" w:hAnsiTheme="minorAscii"/>
          <w:color w:val="000000"/>
          <w:kern w:val="0"/>
          <w:sz w:val="19"/>
          <w:szCs w:val="19"/>
          <w:lang w:val="en-US" w:eastAsia="zh-CN" w:bidi="ar"/>
        </w:rPr>
        <w:t>·  Frontend Framework: React 18 + Vite, using ethers.js v6 to interact with contracts</w:t>
      </w:r>
    </w:p>
    <w:p w14:paraId="27E42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宋体" w:cs="宋体" w:asciiTheme="minorAscii" w:hAnsiTheme="minorAscii"/>
          <w:color w:val="000000"/>
          <w:kern w:val="0"/>
          <w:sz w:val="19"/>
          <w:szCs w:val="19"/>
          <w:lang w:val="en-US" w:eastAsia="zh-CN" w:bidi="ar"/>
        </w:rPr>
        <w:t>·  UI Style: Tailwind CSS, responsive layout</w:t>
      </w:r>
    </w:p>
    <w:p w14:paraId="456F06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宋体" w:cs="宋体" w:asciiTheme="minorAscii" w:hAnsiTheme="minorAscii"/>
          <w:color w:val="000000"/>
          <w:kern w:val="0"/>
          <w:sz w:val="19"/>
          <w:szCs w:val="19"/>
          <w:lang w:val="en-US" w:eastAsia="zh-CN" w:bidi="ar"/>
        </w:rPr>
        <w:t>·  Read-Write Separation: View functions connect directly to nodes via JsonRpcProvider, write operations are signed via MetaMask Signer</w:t>
      </w:r>
    </w:p>
    <w:p w14:paraId="55346EAA">
      <w:pPr>
        <w:numPr>
          <w:ilvl w:val="0"/>
          <w:numId w:val="7"/>
        </w:numPr>
        <w:spacing w:before="360" w:after="120"/>
        <w:rPr>
          <w:rFonts w:hint="default" w:eastAsia="宋体" w:cs="宋体" w:asciiTheme="minorAscii" w:hAnsiTheme="minorAscii"/>
          <w:b/>
          <w:bCs/>
          <w:color w:val="1F497D" w:themeColor="text2"/>
          <w:sz w:val="28"/>
          <w:szCs w:val="28"/>
          <w14:textFill>
            <w14:solidFill>
              <w14:schemeClr w14:val="tx2"/>
            </w14:solidFill>
          </w14:textFill>
        </w:rPr>
      </w:pPr>
      <w:r>
        <w:rPr>
          <w:rFonts w:hint="default" w:eastAsia="宋体" w:cs="宋体" w:asciiTheme="minorAscii" w:hAnsiTheme="minorAscii"/>
          <w:b/>
          <w:bCs/>
          <w:color w:val="1F497D" w:themeColor="text2"/>
          <w:sz w:val="28"/>
          <w:szCs w:val="28"/>
          <w14:textFill>
            <w14:solidFill>
              <w14:schemeClr w14:val="tx2"/>
            </w14:solidFill>
          </w14:textFill>
        </w:rPr>
        <w:t>Smart Contract Design</w:t>
      </w:r>
    </w:p>
    <w:p w14:paraId="5BA58EB0">
      <w:pPr>
        <w:spacing w:before="200" w:after="80"/>
        <w:rPr>
          <w:rFonts w:hint="eastAsia"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2.1 Contract Structure</w:t>
      </w:r>
    </w:p>
    <w:p w14:paraId="3E8278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eastAsia="宋体" w:cs="宋体" w:asciiTheme="minorAscii" w:hAnsiTheme="minorAscii"/>
          <w:color w:val="000000"/>
          <w:kern w:val="0"/>
          <w:sz w:val="19"/>
          <w:szCs w:val="19"/>
          <w:lang w:val="en-US" w:eastAsia="zh-CN" w:bidi="ar"/>
        </w:rPr>
      </w:pPr>
      <w:r>
        <w:rPr>
          <w:rFonts w:hint="default" w:eastAsia="宋体" w:cs="宋体" w:asciiTheme="minorAscii" w:hAnsiTheme="minorAscii"/>
          <w:color w:val="000000"/>
          <w:kern w:val="0"/>
          <w:sz w:val="19"/>
          <w:szCs w:val="19"/>
          <w:lang w:val="en-US" w:eastAsia="zh-CN" w:bidi="ar"/>
        </w:rPr>
        <w:t>The project contains three core smart contracts:</w:t>
      </w:r>
    </w:p>
    <w:p w14:paraId="622F62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eastAsia="宋体" w:cs="宋体" w:asciiTheme="minorAscii" w:hAnsiTheme="minorAscii"/>
          <w:color w:val="000000"/>
          <w:kern w:val="0"/>
          <w:sz w:val="19"/>
          <w:szCs w:val="19"/>
          <w:lang w:val="en-US" w:eastAsia="zh-CN" w:bidi="ar"/>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65164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1F497D"/>
          </w:tcPr>
          <w:p w14:paraId="7F1E2EFA">
            <w:pPr>
              <w:spacing w:after="0" w:line="240" w:lineRule="auto"/>
              <w:jc w:val="center"/>
            </w:pPr>
            <w:r>
              <w:rPr>
                <w:rFonts w:ascii="宋体" w:hAnsi="宋体" w:eastAsia="宋体" w:cs="宋体"/>
                <w:sz w:val="24"/>
                <w:szCs w:val="24"/>
              </w:rPr>
              <w:t>Contract Name</w:t>
            </w:r>
          </w:p>
        </w:tc>
        <w:tc>
          <w:tcPr>
            <w:tcW w:w="3041" w:type="dxa"/>
            <w:shd w:val="clear" w:color="auto" w:fill="1F497D"/>
          </w:tcPr>
          <w:p w14:paraId="6FC8D9B1">
            <w:pPr>
              <w:spacing w:after="0" w:line="240" w:lineRule="auto"/>
              <w:jc w:val="center"/>
            </w:pPr>
            <w:r>
              <w:rPr>
                <w:rFonts w:ascii="宋体" w:hAnsi="宋体" w:eastAsia="宋体" w:cs="宋体"/>
                <w:sz w:val="24"/>
                <w:szCs w:val="24"/>
              </w:rPr>
              <w:t>File</w:t>
            </w:r>
          </w:p>
        </w:tc>
        <w:tc>
          <w:tcPr>
            <w:tcW w:w="3041" w:type="dxa"/>
            <w:shd w:val="clear" w:color="auto" w:fill="1F497D"/>
          </w:tcPr>
          <w:p w14:paraId="038E4316">
            <w:pPr>
              <w:spacing w:after="0" w:line="240" w:lineRule="auto"/>
              <w:jc w:val="center"/>
            </w:pPr>
            <w:r>
              <w:rPr>
                <w:rFonts w:ascii="宋体" w:hAnsi="宋体" w:eastAsia="宋体" w:cs="宋体"/>
                <w:sz w:val="24"/>
                <w:szCs w:val="24"/>
              </w:rPr>
              <w:t>Description</w:t>
            </w:r>
          </w:p>
        </w:tc>
      </w:tr>
      <w:tr w14:paraId="76E6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DCE6F1"/>
          </w:tcPr>
          <w:p w14:paraId="43C557F3">
            <w:pPr>
              <w:spacing w:after="0" w:line="240" w:lineRule="auto"/>
            </w:pPr>
            <w:r>
              <w:rPr>
                <w:rFonts w:hint="eastAsia" w:eastAsia="宋体"/>
                <w:b w:val="0"/>
                <w:sz w:val="19"/>
              </w:rPr>
              <w:t>Stablecoin (C5D)</w:t>
            </w:r>
          </w:p>
        </w:tc>
        <w:tc>
          <w:tcPr>
            <w:tcW w:w="3041" w:type="dxa"/>
            <w:shd w:val="clear" w:color="auto" w:fill="DCE6F1"/>
          </w:tcPr>
          <w:p w14:paraId="2B009CAC">
            <w:pPr>
              <w:spacing w:after="0" w:line="240" w:lineRule="auto"/>
            </w:pPr>
            <w:r>
              <w:rPr>
                <w:rFonts w:hint="eastAsia" w:eastAsia="宋体"/>
                <w:b w:val="0"/>
                <w:sz w:val="19"/>
              </w:rPr>
              <w:t>contracts/Stablecoin.sol</w:t>
            </w:r>
          </w:p>
        </w:tc>
        <w:tc>
          <w:tcPr>
            <w:tcW w:w="3041" w:type="dxa"/>
            <w:shd w:val="clear" w:color="auto" w:fill="DCE6F1"/>
          </w:tcPr>
          <w:p w14:paraId="0AEFFE43">
            <w:pPr>
              <w:spacing w:after="0" w:line="240" w:lineRule="auto"/>
              <w:rPr>
                <w:rFonts w:hint="eastAsia" w:eastAsia="宋体"/>
                <w:b w:val="0"/>
                <w:sz w:val="19"/>
              </w:rPr>
            </w:pPr>
            <w:r>
              <w:rPr>
                <w:rFonts w:hint="default" w:eastAsia="宋体"/>
                <w:b w:val="0"/>
                <w:sz w:val="19"/>
              </w:rPr>
              <w:t>ERC-20 stablecoin, 1 C5D = $1 USD, with faucet function</w:t>
            </w:r>
          </w:p>
        </w:tc>
      </w:tr>
      <w:tr w14:paraId="40D1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A8043D2">
            <w:pPr>
              <w:spacing w:after="0" w:line="240" w:lineRule="auto"/>
            </w:pPr>
            <w:r>
              <w:rPr>
                <w:rFonts w:hint="eastAsia" w:eastAsia="宋体"/>
                <w:b w:val="0"/>
                <w:sz w:val="19"/>
              </w:rPr>
              <w:t>MockWETH</w:t>
            </w:r>
          </w:p>
        </w:tc>
        <w:tc>
          <w:tcPr>
            <w:tcW w:w="3041" w:type="dxa"/>
          </w:tcPr>
          <w:p w14:paraId="395A5FBC">
            <w:pPr>
              <w:spacing w:after="0" w:line="240" w:lineRule="auto"/>
            </w:pPr>
            <w:r>
              <w:rPr>
                <w:rFonts w:hint="eastAsia" w:eastAsia="宋体"/>
                <w:b w:val="0"/>
                <w:sz w:val="19"/>
              </w:rPr>
              <w:t>contracts/MockWETH.sol</w:t>
            </w:r>
          </w:p>
        </w:tc>
        <w:tc>
          <w:tcPr>
            <w:tcW w:w="3041" w:type="dxa"/>
          </w:tcPr>
          <w:p w14:paraId="318CEB52">
            <w:pPr>
              <w:spacing w:after="0" w:line="240" w:lineRule="auto"/>
              <w:rPr>
                <w:rFonts w:hint="eastAsia" w:eastAsia="宋体"/>
                <w:b w:val="0"/>
                <w:sz w:val="19"/>
              </w:rPr>
            </w:pPr>
            <w:r>
              <w:rPr>
                <w:rFonts w:hint="eastAsia" w:eastAsia="宋体"/>
                <w:b w:val="0"/>
                <w:sz w:val="19"/>
              </w:rPr>
              <w:t>Mock WETH, 1 WETH = $2000 USD, with faucet function</w:t>
            </w:r>
          </w:p>
        </w:tc>
      </w:tr>
      <w:tr w14:paraId="67B0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DCE6F1"/>
          </w:tcPr>
          <w:p w14:paraId="6B47BE34">
            <w:pPr>
              <w:spacing w:after="0" w:line="240" w:lineRule="auto"/>
            </w:pPr>
            <w:r>
              <w:rPr>
                <w:rFonts w:hint="eastAsia" w:eastAsia="宋体"/>
                <w:b w:val="0"/>
                <w:sz w:val="19"/>
              </w:rPr>
              <w:t>LendingPool</w:t>
            </w:r>
          </w:p>
        </w:tc>
        <w:tc>
          <w:tcPr>
            <w:tcW w:w="3041" w:type="dxa"/>
            <w:shd w:val="clear" w:color="auto" w:fill="DCE6F1"/>
          </w:tcPr>
          <w:p w14:paraId="29D5EBDF">
            <w:pPr>
              <w:spacing w:after="0" w:line="240" w:lineRule="auto"/>
            </w:pPr>
            <w:r>
              <w:rPr>
                <w:rFonts w:hint="eastAsia" w:eastAsia="宋体"/>
                <w:b w:val="0"/>
                <w:sz w:val="19"/>
              </w:rPr>
              <w:t>contracts/LendingPool.sol</w:t>
            </w:r>
          </w:p>
        </w:tc>
        <w:tc>
          <w:tcPr>
            <w:tcW w:w="3041" w:type="dxa"/>
            <w:shd w:val="clear" w:color="auto" w:fill="DCE6F1"/>
          </w:tcPr>
          <w:p w14:paraId="2D80DE53">
            <w:pPr>
              <w:spacing w:after="0" w:line="240" w:lineRule="auto"/>
              <w:rPr>
                <w:rFonts w:hint="eastAsia" w:eastAsia="宋体"/>
                <w:b w:val="0"/>
                <w:sz w:val="19"/>
              </w:rPr>
            </w:pPr>
            <w:r>
              <w:rPr>
                <w:rFonts w:hint="eastAsia" w:eastAsia="宋体"/>
                <w:b w:val="0"/>
                <w:sz w:val="19"/>
              </w:rPr>
              <w:t>Core lending contract, implementing all deposit, borrow, repay, withdraw and interest rate calculation logic</w:t>
            </w:r>
          </w:p>
        </w:tc>
      </w:tr>
    </w:tbl>
    <w:p w14:paraId="6AED79BD"/>
    <w:p w14:paraId="409545F6">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2.2 LendingPool Core Interfaces</w:t>
      </w:r>
    </w:p>
    <w:p w14:paraId="14A0927E">
      <w:pPr>
        <w:spacing w:before="200" w:after="80"/>
        <w:rPr>
          <w:rFonts w:hint="eastAsia" w:eastAsia="Courier New"/>
          <w:b/>
          <w:color w:val="auto"/>
          <w:sz w:val="19"/>
        </w:rPr>
      </w:pPr>
      <w:r>
        <w:rPr>
          <w:rFonts w:hint="eastAsia" w:eastAsia="Courier New"/>
          <w:b/>
          <w:color w:val="00467F"/>
          <w:sz w:val="19"/>
        </w:rPr>
        <w:t xml:space="preserve">deposit(token, amount) </w:t>
      </w:r>
      <w:r>
        <w:rPr>
          <w:rFonts w:hint="eastAsia" w:eastAsia="Courier New"/>
          <w:b w:val="0"/>
          <w:bCs/>
          <w:color w:val="auto"/>
          <w:sz w:val="19"/>
        </w:rPr>
        <w:t>Deposit tokens, convert to scaledAmount based on supplyIndex, assets are used as collateral simultaneously</w:t>
      </w:r>
    </w:p>
    <w:p w14:paraId="469ACCD6">
      <w:pPr>
        <w:spacing w:before="200" w:after="80"/>
        <w:rPr>
          <w:rFonts w:hint="eastAsia" w:eastAsia="Courier New"/>
          <w:b w:val="0"/>
          <w:bCs/>
          <w:color w:val="auto"/>
          <w:sz w:val="19"/>
        </w:rPr>
      </w:pPr>
      <w:r>
        <w:rPr>
          <w:rFonts w:hint="eastAsia" w:eastAsia="Courier New"/>
          <w:b/>
          <w:color w:val="00467F"/>
          <w:sz w:val="19"/>
        </w:rPr>
        <w:t xml:space="preserve">withdraw(token, amount) </w:t>
      </w:r>
      <w:r>
        <w:rPr>
          <w:rFonts w:hint="eastAsia" w:eastAsia="Courier New"/>
          <w:b w:val="0"/>
          <w:bCs/>
          <w:color w:val="auto"/>
          <w:sz w:val="19"/>
        </w:rPr>
        <w:t>Withdraw deposits and interest, check health factor before withdrawal to ensure position safety</w:t>
      </w:r>
    </w:p>
    <w:p w14:paraId="210943D5">
      <w:pPr>
        <w:spacing w:before="200" w:after="80"/>
        <w:rPr>
          <w:rFonts w:hint="eastAsia" w:eastAsia="Courier New"/>
          <w:b w:val="0"/>
          <w:bCs/>
          <w:color w:val="auto"/>
          <w:sz w:val="19"/>
        </w:rPr>
      </w:pPr>
      <w:r>
        <w:rPr>
          <w:rFonts w:hint="eastAsia" w:eastAsia="Courier New"/>
          <w:b/>
          <w:color w:val="00467F"/>
          <w:sz w:val="19"/>
        </w:rPr>
        <w:t xml:space="preserve">borrow(token, amount) </w:t>
      </w:r>
      <w:r>
        <w:rPr>
          <w:rFonts w:hint="eastAsia" w:eastAsia="Courier New"/>
          <w:b w:val="0"/>
          <w:bCs/>
          <w:color w:val="auto"/>
          <w:sz w:val="19"/>
        </w:rPr>
        <w:t>Borrow tokens, verify maximum borrowable amount against LTV limit, reject excess</w:t>
      </w:r>
    </w:p>
    <w:p w14:paraId="4FF0CA46">
      <w:pPr>
        <w:spacing w:before="200" w:after="80"/>
        <w:rPr>
          <w:rFonts w:hint="eastAsia" w:eastAsia="Courier New"/>
          <w:b/>
          <w:color w:val="00467F"/>
          <w:sz w:val="19"/>
        </w:rPr>
      </w:pPr>
      <w:r>
        <w:rPr>
          <w:rFonts w:hint="eastAsia" w:eastAsia="Courier New"/>
          <w:b/>
          <w:color w:val="00467F"/>
          <w:sz w:val="19"/>
        </w:rPr>
        <w:t>repay(token, amount)</w:t>
      </w:r>
      <w:r>
        <w:rPr>
          <w:rFonts w:hint="eastAsia" w:eastAsia="Courier New"/>
          <w:b w:val="0"/>
          <w:bCs/>
          <w:color w:val="auto"/>
          <w:sz w:val="19"/>
        </w:rPr>
        <w:t xml:space="preserve"> Repay principal and interest, support MAX full repayment</w:t>
      </w:r>
    </w:p>
    <w:p w14:paraId="36775BB0">
      <w:pPr>
        <w:spacing w:before="200" w:after="80"/>
        <w:rPr>
          <w:rFonts w:hint="eastAsia" w:eastAsia="Courier New"/>
          <w:b w:val="0"/>
          <w:bCs/>
          <w:color w:val="auto"/>
          <w:sz w:val="19"/>
        </w:rPr>
      </w:pPr>
      <w:r>
        <w:rPr>
          <w:rFonts w:hint="eastAsia" w:eastAsia="Courier New"/>
          <w:b/>
          <w:color w:val="00467F"/>
          <w:sz w:val="19"/>
        </w:rPr>
        <w:t>_accrueInterest(token)</w:t>
      </w:r>
      <w:r>
        <w:rPr>
          <w:rFonts w:hint="eastAsia" w:eastAsia="Courier New"/>
          <w:b w:val="0"/>
          <w:bCs/>
          <w:color w:val="auto"/>
          <w:sz w:val="19"/>
        </w:rPr>
        <w:t xml:space="preserve"> Accumulate interest by block difference, update supplyIndex / borrowIndex (Compound style)</w:t>
      </w:r>
    </w:p>
    <w:p w14:paraId="70585E44">
      <w:pPr>
        <w:spacing w:before="200" w:after="80"/>
        <w:rPr>
          <w:rFonts w:hint="eastAsia" w:eastAsia="Courier New"/>
          <w:b/>
          <w:color w:val="00467F"/>
          <w:sz w:val="19"/>
        </w:rPr>
      </w:pPr>
      <w:r>
        <w:rPr>
          <w:rFonts w:hint="eastAsia" w:eastAsia="Courier New"/>
          <w:b/>
          <w:color w:val="00467F"/>
          <w:sz w:val="19"/>
        </w:rPr>
        <w:t xml:space="preserve">getHealthFactor(user) </w:t>
      </w:r>
      <w:r>
        <w:rPr>
          <w:rFonts w:hint="eastAsia" w:eastAsia="Courier New"/>
          <w:b w:val="0"/>
          <w:bCs/>
          <w:color w:val="auto"/>
          <w:sz w:val="19"/>
        </w:rPr>
        <w:t>Calculate HF = weighted collateral value / total debt value</w:t>
      </w:r>
    </w:p>
    <w:p w14:paraId="1BD17302">
      <w:pPr>
        <w:spacing w:before="200" w:after="80"/>
        <w:rPr>
          <w:rFonts w:hint="eastAsia" w:eastAsia="Courier New"/>
          <w:b/>
          <w:color w:val="00467F"/>
          <w:sz w:val="19"/>
        </w:rPr>
      </w:pPr>
      <w:r>
        <w:rPr>
          <w:rFonts w:hint="eastAsia" w:eastAsia="Courier New"/>
          <w:b/>
          <w:color w:val="00467F"/>
          <w:sz w:val="19"/>
        </w:rPr>
        <w:t>getMarketData(token)</w:t>
      </w:r>
      <w:r>
        <w:rPr>
          <w:rFonts w:hint="eastAsia" w:eastAsia="Courier New"/>
          <w:b w:val="0"/>
          <w:bCs/>
          <w:color w:val="auto"/>
          <w:sz w:val="19"/>
        </w:rPr>
        <w:t xml:space="preserve"> Return utilization rate, Supply APY, Borrow APY for front-end display</w:t>
      </w:r>
    </w:p>
    <w:p w14:paraId="2FAF28DF">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2.3 Interest Rate Model</w:t>
      </w:r>
    </w:p>
    <w:p w14:paraId="0530CFC6">
      <w:pPr>
        <w:spacing w:before="200" w:after="80"/>
        <w:rPr>
          <w:rFonts w:hint="eastAsia" w:eastAsia="Courier New"/>
          <w:b w:val="0"/>
          <w:bCs/>
          <w:color w:val="auto"/>
          <w:sz w:val="19"/>
        </w:rPr>
      </w:pPr>
      <w:r>
        <w:rPr>
          <w:rFonts w:hint="eastAsia" w:eastAsia="Courier New"/>
          <w:b w:val="0"/>
          <w:bCs/>
          <w:color w:val="auto"/>
          <w:sz w:val="19"/>
        </w:rPr>
        <w:t>This project adopts a Linear Interest Rate Model, where the interest rate increases linearly with the capital utilization rate:</w:t>
      </w:r>
    </w:p>
    <w:p w14:paraId="71D390BF">
      <w:pPr>
        <w:spacing w:before="200" w:after="80"/>
        <w:rPr>
          <w:rFonts w:hint="eastAsia" w:eastAsia="Courier New"/>
          <w:b w:val="0"/>
          <w:bCs/>
          <w:color w:val="auto"/>
          <w:sz w:val="19"/>
        </w:rPr>
      </w:pPr>
      <w:r>
        <w:rPr>
          <w:rFonts w:hint="eastAsia" w:eastAsia="Courier New"/>
          <w:b w:val="0"/>
          <w:bCs/>
          <w:color w:val="auto"/>
          <w:sz w:val="19"/>
        </w:rPr>
        <w:t>U (Utilization Rate) = Total Borrows / Total Deposits</w:t>
      </w:r>
    </w:p>
    <w:p w14:paraId="5AEEFCCD">
      <w:pPr>
        <w:spacing w:before="200" w:after="80"/>
        <w:rPr>
          <w:rFonts w:hint="eastAsia" w:eastAsia="Courier New"/>
          <w:b w:val="0"/>
          <w:bCs/>
          <w:color w:val="auto"/>
          <w:sz w:val="19"/>
        </w:rPr>
      </w:pPr>
      <w:r>
        <w:rPr>
          <w:rFonts w:hint="eastAsia" w:eastAsia="Courier New"/>
          <w:b w:val="0"/>
          <w:bCs/>
          <w:color w:val="auto"/>
          <w:sz w:val="19"/>
        </w:rPr>
        <w:t>Borrow APR = Base Rate + Slope × U</w:t>
      </w:r>
    </w:p>
    <w:p w14:paraId="2546CC4C">
      <w:pPr>
        <w:spacing w:before="200" w:after="80"/>
        <w:rPr>
          <w:rFonts w:hint="eastAsia" w:eastAsia="Courier New"/>
          <w:b w:val="0"/>
          <w:bCs/>
          <w:color w:val="auto"/>
          <w:sz w:val="19"/>
        </w:rPr>
      </w:pPr>
      <w:r>
        <w:rPr>
          <w:rFonts w:hint="eastAsia" w:eastAsia="Courier New"/>
          <w:b w:val="0"/>
          <w:bCs/>
          <w:color w:val="auto"/>
          <w:sz w:val="19"/>
        </w:rPr>
        <w:t>Supply APR = Borrow APR × U × 90%</w:t>
      </w:r>
    </w:p>
    <w:p w14:paraId="62838246">
      <w:pPr>
        <w:spacing w:before="200" w:after="80"/>
        <w:rPr>
          <w:rFonts w:hint="eastAsia" w:eastAsia="Courier New"/>
          <w:b w:val="0"/>
          <w:bCs/>
          <w:color w:val="auto"/>
          <w:sz w:val="19"/>
        </w:rPr>
      </w:pPr>
      <w:r>
        <w:rPr>
          <w:rFonts w:hint="eastAsia" w:eastAsia="Courier New"/>
          <w:b w:val="0"/>
          <w:bCs/>
          <w:color w:val="auto"/>
          <w:sz w:val="19"/>
        </w:rPr>
        <w:t>Parameters for each asset: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824"/>
        <w:gridCol w:w="1824"/>
        <w:gridCol w:w="1824"/>
        <w:gridCol w:w="1824"/>
      </w:tblGrid>
      <w:tr w14:paraId="0ABB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4" w:type="dxa"/>
            <w:shd w:val="clear" w:color="auto" w:fill="1F497D"/>
          </w:tcPr>
          <w:p w14:paraId="3E5C018D">
            <w:pPr>
              <w:spacing w:after="0" w:line="240" w:lineRule="auto"/>
              <w:jc w:val="center"/>
            </w:pPr>
            <w:r>
              <w:rPr>
                <w:rFonts w:ascii="宋体" w:hAnsi="宋体" w:eastAsia="宋体" w:cs="宋体"/>
                <w:sz w:val="24"/>
                <w:szCs w:val="24"/>
              </w:rPr>
              <w:t>Asset</w:t>
            </w:r>
          </w:p>
        </w:tc>
        <w:tc>
          <w:tcPr>
            <w:tcW w:w="1824" w:type="dxa"/>
            <w:shd w:val="clear" w:color="auto" w:fill="1F497D"/>
          </w:tcPr>
          <w:p w14:paraId="13D1C06A">
            <w:pPr>
              <w:spacing w:after="0" w:line="240" w:lineRule="auto"/>
              <w:jc w:val="center"/>
            </w:pPr>
            <w:r>
              <w:rPr>
                <w:rFonts w:ascii="宋体" w:hAnsi="宋体" w:eastAsia="宋体" w:cs="宋体"/>
                <w:sz w:val="24"/>
                <w:szCs w:val="24"/>
              </w:rPr>
              <w:t>Base Rate</w:t>
            </w:r>
          </w:p>
        </w:tc>
        <w:tc>
          <w:tcPr>
            <w:tcW w:w="1824" w:type="dxa"/>
            <w:shd w:val="clear" w:color="auto" w:fill="1F497D"/>
          </w:tcPr>
          <w:p w14:paraId="23178C69">
            <w:pPr>
              <w:spacing w:after="0" w:line="240" w:lineRule="auto"/>
              <w:jc w:val="center"/>
            </w:pPr>
            <w:r>
              <w:rPr>
                <w:rFonts w:ascii="宋体" w:hAnsi="宋体" w:eastAsia="宋体" w:cs="宋体"/>
                <w:sz w:val="24"/>
                <w:szCs w:val="24"/>
              </w:rPr>
              <w:t>Slope</w:t>
            </w:r>
          </w:p>
        </w:tc>
        <w:tc>
          <w:tcPr>
            <w:tcW w:w="1824" w:type="dxa"/>
            <w:shd w:val="clear" w:color="auto" w:fill="1F497D"/>
          </w:tcPr>
          <w:p w14:paraId="05A2C796">
            <w:pPr>
              <w:spacing w:after="0" w:line="240" w:lineRule="auto"/>
              <w:jc w:val="center"/>
            </w:pPr>
            <w:r>
              <w:rPr>
                <w:rFonts w:hint="eastAsia" w:eastAsia="黑体"/>
                <w:b/>
                <w:color w:val="FFFFFF"/>
                <w:sz w:val="20"/>
              </w:rPr>
              <w:t>LTV</w:t>
            </w:r>
          </w:p>
        </w:tc>
        <w:tc>
          <w:tcPr>
            <w:tcW w:w="1824" w:type="dxa"/>
            <w:shd w:val="clear" w:color="auto" w:fill="1F497D"/>
          </w:tcPr>
          <w:p w14:paraId="6453C73D">
            <w:pPr>
              <w:spacing w:after="0" w:line="240" w:lineRule="auto"/>
              <w:jc w:val="center"/>
            </w:pPr>
            <w:r>
              <w:rPr>
                <w:rFonts w:ascii="宋体" w:hAnsi="宋体" w:eastAsia="宋体" w:cs="宋体"/>
                <w:sz w:val="24"/>
                <w:szCs w:val="24"/>
              </w:rPr>
              <w:t>Liquidation Threshold</w:t>
            </w:r>
          </w:p>
        </w:tc>
      </w:tr>
      <w:tr w14:paraId="1A46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4" w:type="dxa"/>
            <w:shd w:val="clear" w:color="auto" w:fill="DCE6F1"/>
          </w:tcPr>
          <w:p w14:paraId="6D7212FB">
            <w:pPr>
              <w:spacing w:after="0" w:line="240" w:lineRule="auto"/>
              <w:rPr>
                <w:rFonts w:hint="default" w:asciiTheme="minorAscii" w:hAnsiTheme="minorAscii"/>
                <w:sz w:val="19"/>
                <w:szCs w:val="19"/>
              </w:rPr>
            </w:pPr>
            <w:r>
              <w:rPr>
                <w:rFonts w:hint="default" w:eastAsia="宋体" w:cs="宋体" w:asciiTheme="minorAscii" w:hAnsiTheme="minorAscii"/>
                <w:sz w:val="19"/>
                <w:szCs w:val="19"/>
              </w:rPr>
              <w:t>C5D (Stablecoin)</w:t>
            </w:r>
          </w:p>
        </w:tc>
        <w:tc>
          <w:tcPr>
            <w:tcW w:w="1824" w:type="dxa"/>
            <w:shd w:val="clear" w:color="auto" w:fill="DCE6F1"/>
          </w:tcPr>
          <w:p w14:paraId="0B23B0B9">
            <w:pPr>
              <w:spacing w:after="0" w:line="240" w:lineRule="auto"/>
            </w:pPr>
            <w:r>
              <w:rPr>
                <w:rFonts w:hint="eastAsia" w:eastAsia="宋体"/>
                <w:b w:val="0"/>
                <w:sz w:val="19"/>
              </w:rPr>
              <w:t>2%</w:t>
            </w:r>
          </w:p>
        </w:tc>
        <w:tc>
          <w:tcPr>
            <w:tcW w:w="1824" w:type="dxa"/>
            <w:shd w:val="clear" w:color="auto" w:fill="DCE6F1"/>
          </w:tcPr>
          <w:p w14:paraId="1311E57F">
            <w:pPr>
              <w:spacing w:after="0" w:line="240" w:lineRule="auto"/>
            </w:pPr>
            <w:r>
              <w:rPr>
                <w:rFonts w:hint="eastAsia" w:eastAsia="宋体"/>
                <w:b w:val="0"/>
                <w:sz w:val="19"/>
              </w:rPr>
              <w:t>10%</w:t>
            </w:r>
          </w:p>
        </w:tc>
        <w:tc>
          <w:tcPr>
            <w:tcW w:w="1824" w:type="dxa"/>
            <w:shd w:val="clear" w:color="auto" w:fill="DCE6F1"/>
          </w:tcPr>
          <w:p w14:paraId="1A6A3037">
            <w:pPr>
              <w:spacing w:after="0" w:line="240" w:lineRule="auto"/>
            </w:pPr>
            <w:r>
              <w:rPr>
                <w:rFonts w:hint="eastAsia" w:eastAsia="宋体"/>
                <w:b w:val="0"/>
                <w:sz w:val="19"/>
              </w:rPr>
              <w:t>80%</w:t>
            </w:r>
          </w:p>
        </w:tc>
        <w:tc>
          <w:tcPr>
            <w:tcW w:w="1824" w:type="dxa"/>
            <w:shd w:val="clear" w:color="auto" w:fill="DCE6F1"/>
          </w:tcPr>
          <w:p w14:paraId="6967DEAB">
            <w:pPr>
              <w:spacing w:after="0" w:line="240" w:lineRule="auto"/>
            </w:pPr>
            <w:r>
              <w:rPr>
                <w:rFonts w:hint="eastAsia" w:eastAsia="宋体"/>
                <w:b w:val="0"/>
                <w:sz w:val="19"/>
              </w:rPr>
              <w:t>85%</w:t>
            </w:r>
          </w:p>
        </w:tc>
      </w:tr>
      <w:tr w14:paraId="3863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4" w:type="dxa"/>
          </w:tcPr>
          <w:p w14:paraId="2B54CB51">
            <w:pPr>
              <w:spacing w:after="0" w:line="240" w:lineRule="auto"/>
              <w:rPr>
                <w:rFonts w:hint="default" w:asciiTheme="minorAscii" w:hAnsiTheme="minorAscii"/>
                <w:sz w:val="19"/>
                <w:szCs w:val="19"/>
              </w:rPr>
            </w:pPr>
            <w:r>
              <w:rPr>
                <w:rFonts w:hint="default" w:eastAsia="宋体" w:cs="宋体" w:asciiTheme="minorAscii" w:hAnsiTheme="minorAscii"/>
                <w:sz w:val="19"/>
                <w:szCs w:val="19"/>
              </w:rPr>
              <w:t>WETH (Mock Ethereum)</w:t>
            </w:r>
          </w:p>
        </w:tc>
        <w:tc>
          <w:tcPr>
            <w:tcW w:w="1824" w:type="dxa"/>
          </w:tcPr>
          <w:p w14:paraId="4EFCF9A6">
            <w:pPr>
              <w:spacing w:after="0" w:line="240" w:lineRule="auto"/>
            </w:pPr>
            <w:r>
              <w:rPr>
                <w:rFonts w:hint="eastAsia" w:eastAsia="宋体"/>
                <w:b w:val="0"/>
                <w:sz w:val="19"/>
              </w:rPr>
              <w:t>2%</w:t>
            </w:r>
          </w:p>
        </w:tc>
        <w:tc>
          <w:tcPr>
            <w:tcW w:w="1824" w:type="dxa"/>
          </w:tcPr>
          <w:p w14:paraId="188031B2">
            <w:pPr>
              <w:spacing w:after="0" w:line="240" w:lineRule="auto"/>
            </w:pPr>
            <w:r>
              <w:rPr>
                <w:rFonts w:hint="eastAsia" w:eastAsia="宋体"/>
                <w:b w:val="0"/>
                <w:sz w:val="19"/>
              </w:rPr>
              <w:t>20%</w:t>
            </w:r>
          </w:p>
        </w:tc>
        <w:tc>
          <w:tcPr>
            <w:tcW w:w="1824" w:type="dxa"/>
          </w:tcPr>
          <w:p w14:paraId="096CD698">
            <w:pPr>
              <w:spacing w:after="0" w:line="240" w:lineRule="auto"/>
            </w:pPr>
            <w:r>
              <w:rPr>
                <w:rFonts w:hint="eastAsia" w:eastAsia="宋体"/>
                <w:b w:val="0"/>
                <w:sz w:val="19"/>
              </w:rPr>
              <w:t>75%</w:t>
            </w:r>
          </w:p>
        </w:tc>
        <w:tc>
          <w:tcPr>
            <w:tcW w:w="1824" w:type="dxa"/>
          </w:tcPr>
          <w:p w14:paraId="1572308D">
            <w:pPr>
              <w:spacing w:after="0" w:line="240" w:lineRule="auto"/>
            </w:pPr>
            <w:r>
              <w:rPr>
                <w:rFonts w:hint="eastAsia" w:eastAsia="宋体"/>
                <w:b w:val="0"/>
                <w:sz w:val="19"/>
              </w:rPr>
              <w:t>80%</w:t>
            </w:r>
          </w:p>
        </w:tc>
      </w:tr>
    </w:tbl>
    <w:p w14:paraId="6CF353C9"/>
    <w:p w14:paraId="5CF2447E">
      <w:pPr>
        <w:spacing w:before="200" w:after="80"/>
        <w:rPr>
          <w:rFonts w:hint="default" w:eastAsia="宋体" w:asciiTheme="minorAscii" w:hAnsiTheme="minorAscii"/>
          <w:b w:val="0"/>
          <w:sz w:val="19"/>
          <w:szCs w:val="19"/>
        </w:rPr>
      </w:pPr>
      <w:r>
        <w:rPr>
          <w:rFonts w:hint="default" w:eastAsia="宋体" w:asciiTheme="minorAscii" w:hAnsiTheme="minorAscii"/>
          <w:b w:val="0"/>
          <w:sz w:val="19"/>
          <w:szCs w:val="19"/>
        </w:rPr>
        <w:t>Example: When C5D utilization rate is 50%, Borrow APR = 2% + 10%×50% = 7%, Supply APR = 7%×50%×90% = 3.15%, which is fully consistent with actual measurement.</w:t>
      </w:r>
    </w:p>
    <w:p w14:paraId="1B245E17">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2.4 Health Factor</w:t>
      </w:r>
    </w:p>
    <w:p w14:paraId="4F866385">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Health Factor (HF) is the core indicator measuring position safety:</w:t>
      </w:r>
    </w:p>
    <w:p w14:paraId="5368204C">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HF = Σ (Deposit Balance × Token Price × Liquidation Threshold)</w:t>
      </w:r>
    </w:p>
    <w:p w14:paraId="232EFBAC">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 Σ (Borrow Balance × Token Price)</w:t>
      </w:r>
    </w:p>
    <w:p w14:paraId="0E0DF04D">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HF ≥ 2.0 → Safe</w:t>
      </w:r>
    </w:p>
    <w:p w14:paraId="2741A949">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1.0 ≤ HF &lt; 2.0 → Need attention, it is recommended to supplement collateral or repay</w:t>
      </w:r>
    </w:p>
    <w:p w14:paraId="7D6575AD">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HF &lt; 1.0 → Can be liquidated, the protocol triggers a liquidation mechanism to protect solvency</w:t>
      </w:r>
    </w:p>
    <w:p w14:paraId="46E67D25">
      <w:pPr>
        <w:numPr>
          <w:ilvl w:val="0"/>
          <w:numId w:val="7"/>
        </w:numPr>
        <w:spacing w:before="360" w:after="120"/>
        <w:rPr>
          <w:rFonts w:hint="default" w:eastAsia="宋体" w:cs="宋体" w:asciiTheme="minorAscii" w:hAnsiTheme="minorAscii"/>
          <w:b/>
          <w:bCs/>
          <w:color w:val="1F497D" w:themeColor="text2"/>
          <w:sz w:val="28"/>
          <w:szCs w:val="28"/>
          <w14:textFill>
            <w14:solidFill>
              <w14:schemeClr w14:val="tx2"/>
            </w14:solidFill>
          </w14:textFill>
        </w:rPr>
      </w:pPr>
      <w:r>
        <w:rPr>
          <w:rFonts w:hint="default" w:eastAsia="宋体" w:cs="宋体" w:asciiTheme="minorAscii" w:hAnsiTheme="minorAscii"/>
          <w:b/>
          <w:bCs/>
          <w:color w:val="1F497D" w:themeColor="text2"/>
          <w:sz w:val="28"/>
          <w:szCs w:val="28"/>
          <w14:textFill>
            <w14:solidFill>
              <w14:schemeClr w14:val="tx2"/>
            </w14:solidFill>
          </w14:textFill>
        </w:rPr>
        <w:t>Frontend Interface Design</w:t>
      </w:r>
    </w:p>
    <w:p w14:paraId="704F7359">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3.1 Page Structure</w:t>
      </w:r>
    </w:p>
    <w:p w14:paraId="1903BE3D">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The front-end adopts a React Router single-page application with three core functional pages:</w:t>
      </w:r>
    </w:p>
    <w:p w14:paraId="70EF3380">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Dashboard: Display total collateral value, total debt, net position, health factor; as well as market utilization rate, Supply/Borrow APY</w:t>
      </w:r>
    </w:p>
    <w:p w14:paraId="500B492A">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Supply: Support deposit and withdrawal of two assets, display deposit balance, LTV, maximum withdrawable amount, require MetaMask double confirmation</w:t>
      </w:r>
    </w:p>
    <w:p w14:paraId="5F78E586">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rPr>
        <w:t>Borrow: Display maximum borrowable amount, support full repayment (MAX button), require MetaMask double confirmation</w:t>
      </w:r>
    </w:p>
    <w:p w14:paraId="4BBDE7E0">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3.2 Read-Write Separation Architecture</w:t>
      </w:r>
    </w:p>
    <w:p w14:paraId="1777171D">
      <w:pPr>
        <w:spacing w:before="200" w:after="80"/>
        <w:rPr>
          <w:rFonts w:hint="eastAsia" w:eastAsia="宋体"/>
          <w:b w:val="0"/>
          <w:sz w:val="21"/>
        </w:rPr>
      </w:pPr>
      <w:r>
        <w:rPr>
          <w:rFonts w:hint="eastAsia" w:eastAsia="宋体"/>
          <w:b w:val="0"/>
          <w:sz w:val="21"/>
        </w:rPr>
        <w:t>To solve the compatibility problem of MetaMask returning abnormal results for local chain view functions, a read-write separation scheme is adopted:</w:t>
      </w:r>
    </w:p>
    <w:p w14:paraId="30B3B6E7">
      <w:pPr>
        <w:numPr>
          <w:ilvl w:val="0"/>
          <w:numId w:val="0"/>
        </w:numPr>
        <w:spacing w:before="200" w:after="80"/>
        <w:ind w:leftChars="0"/>
        <w:rPr>
          <w:rFonts w:hint="eastAsia" w:eastAsia="宋体"/>
          <w:b w:val="0"/>
          <w:sz w:val="21"/>
        </w:rPr>
      </w:pPr>
      <w:r>
        <w:rPr>
          <w:rFonts w:hint="eastAsia" w:eastAsia="宋体"/>
          <w:b w:val="0"/>
          <w:sz w:val="21"/>
        </w:rPr>
        <w:t>•Read Operations: JsonRpcProvider directly connects to Hardhat node (http://127.0.0.1:8545), bypassing MetaMask</w:t>
      </w:r>
    </w:p>
    <w:p w14:paraId="13E221F8">
      <w:pPr>
        <w:numPr>
          <w:ilvl w:val="0"/>
          <w:numId w:val="0"/>
        </w:numPr>
        <w:spacing w:before="200" w:after="80"/>
        <w:ind w:leftChars="0"/>
        <w:rPr>
          <w:rFonts w:hint="eastAsia" w:eastAsia="宋体"/>
          <w:b w:val="0"/>
          <w:sz w:val="21"/>
        </w:rPr>
      </w:pPr>
      <w:r>
        <w:rPr>
          <w:rFonts w:hint="eastAsia" w:eastAsia="宋体"/>
          <w:b w:val="0"/>
          <w:sz w:val="21"/>
        </w:rPr>
        <w:t>•Write Operations: BrowserProvider + Signer signed via MetaMask to ensure transaction security</w:t>
      </w:r>
    </w:p>
    <w:p w14:paraId="0AEBC0A1">
      <w:pPr>
        <w:numPr>
          <w:ilvl w:val="0"/>
          <w:numId w:val="0"/>
        </w:numPr>
        <w:spacing w:before="200" w:after="80"/>
        <w:ind w:leftChars="0"/>
        <w:rPr>
          <w:rFonts w:hint="eastAsia" w:eastAsia="宋体"/>
          <w:b w:val="0"/>
          <w:sz w:val="21"/>
        </w:rPr>
      </w:pPr>
      <w:r>
        <w:rPr>
          <w:rFonts w:hint="eastAsia" w:eastAsia="宋体"/>
          <w:b w:val="0"/>
          <w:sz w:val="21"/>
        </w:rPr>
        <w:t>•Effect: Accurate data reading, normal confirmation of on-chain transactions</w:t>
      </w:r>
    </w:p>
    <w:p w14:paraId="7AB11AC6">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3.3 Key Technical Decisions</w:t>
      </w:r>
    </w:p>
    <w:p w14:paraId="50C4280C">
      <w:pPr>
        <w:spacing w:before="360" w:after="120"/>
        <w:rPr>
          <w:rFonts w:hint="eastAsia" w:eastAsia="宋体"/>
          <w:b w:val="0"/>
          <w:sz w:val="21"/>
        </w:rPr>
      </w:pPr>
      <w:r>
        <w:rPr>
          <w:rFonts w:hint="eastAsia" w:eastAsia="宋体"/>
          <w:b w:val="0"/>
          <w:sz w:val="21"/>
        </w:rPr>
        <w:t>•chainId uses 1337: Hardhat default 31337 is misjudged and blocked by MetaMask Blockaid, returns to normal after changing to 1337</w:t>
      </w:r>
    </w:p>
    <w:p w14:paraId="02C3BF23">
      <w:pPr>
        <w:spacing w:before="360" w:after="120"/>
        <w:rPr>
          <w:rFonts w:hint="eastAsia" w:eastAsia="宋体"/>
          <w:b w:val="0"/>
          <w:sz w:val="21"/>
        </w:rPr>
      </w:pPr>
      <w:r>
        <w:rPr>
          <w:rFonts w:hint="eastAsia" w:eastAsia="宋体"/>
          <w:b w:val="0"/>
          <w:sz w:val="21"/>
        </w:rPr>
        <w:t>•Automatic front-end configuration generation: Deployment script automatically writes to lendingContracts.js, no manual maintenance of contract addresses required</w:t>
      </w:r>
    </w:p>
    <w:p w14:paraId="496CE934">
      <w:pPr>
        <w:spacing w:before="360" w:after="120"/>
        <w:rPr>
          <w:rFonts w:hint="eastAsia" w:eastAsia="宋体"/>
          <w:b w:val="0"/>
          <w:sz w:val="21"/>
        </w:rPr>
      </w:pPr>
      <w:r>
        <w:rPr>
          <w:rFonts w:hint="eastAsia" w:eastAsia="宋体"/>
          <w:b w:val="0"/>
          <w:sz w:val="21"/>
        </w:rPr>
        <w:t>•Index-based interest: scaledAmount mechanism makes Gas cost constant, does not increase over time</w:t>
      </w:r>
    </w:p>
    <w:p w14:paraId="6F735D1B">
      <w:pPr>
        <w:numPr>
          <w:ilvl w:val="0"/>
          <w:numId w:val="7"/>
        </w:numPr>
        <w:spacing w:before="360" w:after="120"/>
        <w:rPr>
          <w:rFonts w:hint="default" w:eastAsia="宋体" w:cs="宋体" w:asciiTheme="minorAscii" w:hAnsiTheme="minorAscii"/>
          <w:b/>
          <w:bCs/>
          <w:color w:val="1F497D" w:themeColor="text2"/>
          <w:sz w:val="28"/>
          <w:szCs w:val="28"/>
          <w14:textFill>
            <w14:solidFill>
              <w14:schemeClr w14:val="tx2"/>
            </w14:solidFill>
          </w14:textFill>
        </w:rPr>
      </w:pPr>
      <w:r>
        <w:rPr>
          <w:rFonts w:hint="default" w:eastAsia="宋体" w:cs="宋体" w:asciiTheme="minorAscii" w:hAnsiTheme="minorAscii"/>
          <w:b/>
          <w:bCs/>
          <w:color w:val="1F497D" w:themeColor="text2"/>
          <w:sz w:val="28"/>
          <w:szCs w:val="28"/>
          <w14:textFill>
            <w14:solidFill>
              <w14:schemeClr w14:val="tx2"/>
            </w14:solidFill>
          </w14:textFill>
        </w:rPr>
        <w:t>Test Results</w:t>
      </w:r>
    </w:p>
    <w:p w14:paraId="3B6DAB3B">
      <w:pPr>
        <w:spacing w:before="200" w:after="80"/>
        <w:rPr>
          <w:b/>
          <w:bCs/>
        </w:rPr>
      </w:pPr>
      <w:r>
        <w:rPr>
          <w:rFonts w:hint="default" w:eastAsia="宋体" w:cs="宋体" w:asciiTheme="minorAscii" w:hAnsiTheme="minorAscii"/>
          <w:b/>
          <w:bCs/>
          <w:color w:val="1F497D" w:themeColor="text2"/>
          <w:sz w:val="24"/>
          <w:szCs w:val="24"/>
          <w14:textFill>
            <w14:solidFill>
              <w14:schemeClr w14:val="tx2"/>
            </w14:solidFill>
          </w14:textFill>
        </w:rPr>
        <w:t>4.1 Functional Testing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28FC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1F497D"/>
          </w:tcPr>
          <w:p w14:paraId="1A16F490">
            <w:pPr>
              <w:spacing w:after="0" w:line="240" w:lineRule="auto"/>
              <w:jc w:val="center"/>
            </w:pPr>
            <w:r>
              <w:rPr>
                <w:rFonts w:ascii="宋体" w:hAnsi="宋体" w:eastAsia="宋体" w:cs="宋体"/>
                <w:sz w:val="24"/>
                <w:szCs w:val="24"/>
              </w:rPr>
              <w:t>Test Item</w:t>
            </w:r>
          </w:p>
        </w:tc>
        <w:tc>
          <w:tcPr>
            <w:tcW w:w="3041" w:type="dxa"/>
            <w:shd w:val="clear" w:color="auto" w:fill="1F497D"/>
          </w:tcPr>
          <w:p w14:paraId="4A3CD65E">
            <w:pPr>
              <w:spacing w:after="0" w:line="240" w:lineRule="auto"/>
              <w:jc w:val="center"/>
            </w:pPr>
            <w:r>
              <w:rPr>
                <w:rFonts w:ascii="宋体" w:hAnsi="宋体" w:eastAsia="宋体" w:cs="宋体"/>
                <w:sz w:val="24"/>
                <w:szCs w:val="24"/>
              </w:rPr>
              <w:t>Operation</w:t>
            </w:r>
          </w:p>
        </w:tc>
        <w:tc>
          <w:tcPr>
            <w:tcW w:w="3041" w:type="dxa"/>
            <w:shd w:val="clear" w:color="auto" w:fill="1F497D"/>
          </w:tcPr>
          <w:p w14:paraId="09F1523D">
            <w:pPr>
              <w:spacing w:after="0" w:line="240" w:lineRule="auto"/>
              <w:jc w:val="center"/>
            </w:pPr>
            <w:r>
              <w:rPr>
                <w:rFonts w:ascii="宋体" w:hAnsi="宋体" w:eastAsia="宋体" w:cs="宋体"/>
                <w:sz w:val="24"/>
                <w:szCs w:val="24"/>
              </w:rPr>
              <w:t>Result</w:t>
            </w:r>
          </w:p>
        </w:tc>
      </w:tr>
      <w:tr w14:paraId="1969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DCE6F1"/>
          </w:tcPr>
          <w:p w14:paraId="49416FE0">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Deposit</w:t>
            </w:r>
          </w:p>
        </w:tc>
        <w:tc>
          <w:tcPr>
            <w:tcW w:w="3041" w:type="dxa"/>
            <w:shd w:val="clear" w:color="auto" w:fill="DCE6F1"/>
          </w:tcPr>
          <w:p w14:paraId="2630F329">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Deposit 1000 C5D, MetaMask double confirmation</w:t>
            </w:r>
          </w:p>
        </w:tc>
        <w:tc>
          <w:tcPr>
            <w:tcW w:w="3041" w:type="dxa"/>
            <w:shd w:val="clear" w:color="auto" w:fill="DCE6F1"/>
          </w:tcPr>
          <w:p w14:paraId="65C7481E">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 Success, correct balance</w:t>
            </w:r>
          </w:p>
        </w:tc>
      </w:tr>
      <w:tr w14:paraId="517D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575893AA">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Borrow</w:t>
            </w:r>
          </w:p>
        </w:tc>
        <w:tc>
          <w:tcPr>
            <w:tcW w:w="3041" w:type="dxa"/>
          </w:tcPr>
          <w:p w14:paraId="2934C9DD">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Borrow 500 C5D, HF calculated correctly</w:t>
            </w:r>
          </w:p>
        </w:tc>
        <w:tc>
          <w:tcPr>
            <w:tcW w:w="3041" w:type="dxa"/>
          </w:tcPr>
          <w:p w14:paraId="6A833586">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 Success, correct data</w:t>
            </w:r>
          </w:p>
        </w:tc>
      </w:tr>
      <w:tr w14:paraId="41EB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DCE6F1"/>
          </w:tcPr>
          <w:p w14:paraId="2EDD8F94">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Repay</w:t>
            </w:r>
          </w:p>
        </w:tc>
        <w:tc>
          <w:tcPr>
            <w:tcW w:w="3041" w:type="dxa"/>
            <w:shd w:val="clear" w:color="auto" w:fill="DCE6F1"/>
          </w:tcPr>
          <w:p w14:paraId="543144A2">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Repay 200 C5D, debt reduced correctly</w:t>
            </w:r>
          </w:p>
        </w:tc>
        <w:tc>
          <w:tcPr>
            <w:tcW w:w="3041" w:type="dxa"/>
            <w:shd w:val="clear" w:color="auto" w:fill="DCE6F1"/>
          </w:tcPr>
          <w:p w14:paraId="3FEA2028">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 Success</w:t>
            </w:r>
          </w:p>
        </w:tc>
      </w:tr>
      <w:tr w14:paraId="46FE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DEAF4F8">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Withdraw</w:t>
            </w:r>
          </w:p>
        </w:tc>
        <w:tc>
          <w:tcPr>
            <w:tcW w:w="3041" w:type="dxa"/>
          </w:tcPr>
          <w:p w14:paraId="3ACB2952">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Withdraw 100 C5D, HF verification passed</w:t>
            </w:r>
          </w:p>
        </w:tc>
        <w:tc>
          <w:tcPr>
            <w:tcW w:w="3041" w:type="dxa"/>
          </w:tcPr>
          <w:p w14:paraId="699DE898">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 Success</w:t>
            </w:r>
          </w:p>
        </w:tc>
      </w:tr>
      <w:tr w14:paraId="4C5E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DCE6F1"/>
          </w:tcPr>
          <w:p w14:paraId="08916325">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Health Factor Block</w:t>
            </w:r>
          </w:p>
        </w:tc>
        <w:tc>
          <w:tcPr>
            <w:tcW w:w="3041" w:type="dxa"/>
            <w:shd w:val="clear" w:color="auto" w:fill="DCE6F1"/>
          </w:tcPr>
          <w:p w14:paraId="070AC7D9">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Withdrawal rejected by contract when HF &lt; 1.0</w:t>
            </w:r>
          </w:p>
        </w:tc>
        <w:tc>
          <w:tcPr>
            <w:tcW w:w="3041" w:type="dxa"/>
            <w:shd w:val="clear" w:color="auto" w:fill="DCE6F1"/>
          </w:tcPr>
          <w:p w14:paraId="33E2D89B">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w:t>
            </w:r>
            <w:r>
              <w:rPr>
                <w:rFonts w:hint="default" w:eastAsia="宋体" w:asciiTheme="minorAscii" w:hAnsiTheme="minorAscii"/>
                <w:b w:val="0"/>
                <w:sz w:val="19"/>
                <w:szCs w:val="19"/>
                <w:lang w:val="en-US" w:eastAsia="zh-CN"/>
              </w:rPr>
              <w:t xml:space="preserve">  </w:t>
            </w:r>
            <w:r>
              <w:rPr>
                <w:rFonts w:hint="default" w:eastAsia="宋体" w:asciiTheme="minorAscii" w:hAnsiTheme="minorAscii"/>
                <w:b w:val="0"/>
                <w:sz w:val="19"/>
                <w:szCs w:val="19"/>
              </w:rPr>
              <w:t>Correctly blocked</w:t>
            </w:r>
          </w:p>
        </w:tc>
      </w:tr>
      <w:tr w14:paraId="69A78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DAE2766">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Dynamic Interest Rate</w:t>
            </w:r>
          </w:p>
        </w:tc>
        <w:tc>
          <w:tcPr>
            <w:tcW w:w="3041" w:type="dxa"/>
          </w:tcPr>
          <w:p w14:paraId="521DDA70">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50% utilization: Supply 3.15%, Borrow 7%</w:t>
            </w:r>
          </w:p>
        </w:tc>
        <w:tc>
          <w:tcPr>
            <w:tcW w:w="3041" w:type="dxa"/>
          </w:tcPr>
          <w:p w14:paraId="4FDBDF4F">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 Consistent with formula</w:t>
            </w:r>
          </w:p>
        </w:tc>
      </w:tr>
      <w:tr w14:paraId="6F2C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DCE6F1"/>
          </w:tcPr>
          <w:p w14:paraId="07E7D44C">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LTV Limit</w:t>
            </w:r>
          </w:p>
        </w:tc>
        <w:tc>
          <w:tcPr>
            <w:tcW w:w="3041" w:type="dxa"/>
            <w:shd w:val="clear" w:color="auto" w:fill="DCE6F1"/>
          </w:tcPr>
          <w:p w14:paraId="6CCADBB0">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Borrow rejected by contract when exceeding 80% limit</w:t>
            </w:r>
          </w:p>
        </w:tc>
        <w:tc>
          <w:tcPr>
            <w:tcW w:w="3041" w:type="dxa"/>
            <w:shd w:val="clear" w:color="auto" w:fill="DCE6F1"/>
          </w:tcPr>
          <w:p w14:paraId="304C3247">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 Correctly rejected</w:t>
            </w:r>
          </w:p>
        </w:tc>
      </w:tr>
      <w:tr w14:paraId="21AB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4C13F97">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Data Refresh</w:t>
            </w:r>
          </w:p>
        </w:tc>
        <w:tc>
          <w:tcPr>
            <w:tcW w:w="3041" w:type="dxa"/>
          </w:tcPr>
          <w:p w14:paraId="33B88C1C">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Dashboard Refresh updates latest data</w:t>
            </w:r>
          </w:p>
        </w:tc>
        <w:tc>
          <w:tcPr>
            <w:tcW w:w="3041" w:type="dxa"/>
          </w:tcPr>
          <w:p w14:paraId="06A63614">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 Normal</w:t>
            </w:r>
          </w:p>
        </w:tc>
      </w:tr>
    </w:tbl>
    <w:p w14:paraId="52C91EAC"/>
    <w:p w14:paraId="6F318ACE">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4.2 Boundary Condition Verification</w:t>
      </w:r>
    </w:p>
    <w:p w14:paraId="33396103">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•Excess Borrow (exceeding LTV 80%): Contract correctly rejects, returns "Exceeds max borrow"</w:t>
      </w:r>
    </w:p>
    <w:p w14:paraId="7D5D6E62">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•Excess Withdrawal (HF &lt; 1.0 after withdrawal): Contract correctly rejects, returns "Withdrawal would undercollateralize position"</w:t>
      </w:r>
    </w:p>
    <w:p w14:paraId="7B624B18">
      <w:pPr>
        <w:spacing w:before="360" w:after="120"/>
        <w:rPr>
          <w:rFonts w:hint="default" w:eastAsia="宋体" w:asciiTheme="minorAscii" w:hAnsiTheme="minorAscii"/>
          <w:b w:val="0"/>
          <w:sz w:val="19"/>
          <w:szCs w:val="19"/>
        </w:rPr>
      </w:pPr>
      <w:r>
        <w:rPr>
          <w:rFonts w:hint="default" w:eastAsia="宋体" w:asciiTheme="minorAscii" w:hAnsiTheme="minorAscii"/>
          <w:b w:val="0"/>
          <w:sz w:val="19"/>
          <w:szCs w:val="19"/>
        </w:rPr>
        <w:t>•Dynamic Interest Rate Change: Utilization rate decreases after increasing deposits, APY decreases accordingly, as expected</w:t>
      </w:r>
    </w:p>
    <w:p w14:paraId="09D51FD2">
      <w:pPr>
        <w:numPr>
          <w:ilvl w:val="0"/>
          <w:numId w:val="7"/>
        </w:numPr>
        <w:spacing w:before="360" w:after="120"/>
        <w:rPr>
          <w:rFonts w:hint="default" w:eastAsia="宋体" w:cs="宋体" w:asciiTheme="minorAscii" w:hAnsiTheme="minorAscii"/>
          <w:b/>
          <w:bCs/>
          <w:color w:val="1F497D" w:themeColor="text2"/>
          <w:sz w:val="28"/>
          <w:szCs w:val="28"/>
          <w14:textFill>
            <w14:solidFill>
              <w14:schemeClr w14:val="tx2"/>
            </w14:solidFill>
          </w14:textFill>
        </w:rPr>
      </w:pPr>
      <w:r>
        <w:rPr>
          <w:rFonts w:hint="default" w:eastAsia="宋体" w:cs="宋体" w:asciiTheme="minorAscii" w:hAnsiTheme="minorAscii"/>
          <w:b/>
          <w:bCs/>
          <w:color w:val="1F497D" w:themeColor="text2"/>
          <w:sz w:val="28"/>
          <w:szCs w:val="28"/>
          <w14:textFill>
            <w14:solidFill>
              <w14:schemeClr w14:val="tx2"/>
            </w14:solidFill>
          </w14:textFill>
        </w:rPr>
        <w:t>Demo Operation Process</w:t>
      </w:r>
    </w:p>
    <w:p w14:paraId="3588C62D">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5.1 Environment Startup (Three Terminal Windows)</w:t>
      </w:r>
    </w:p>
    <w:p w14:paraId="3C0C4C85">
      <w:pPr>
        <w:spacing w:after="120" w:line="400" w:lineRule="exact"/>
        <w:ind w:left="850"/>
      </w:pPr>
      <w:r>
        <w:rPr>
          <w:rFonts w:hint="eastAsia" w:eastAsia="Courier New"/>
          <w:b w:val="0"/>
          <w:color w:val="282828"/>
          <w:sz w:val="19"/>
        </w:rPr>
        <w:t>#Terminal 1: Start local blockchain node</w:t>
      </w:r>
      <w:r>
        <w:rPr>
          <w:rFonts w:hint="eastAsia" w:eastAsia="Courier New"/>
          <w:b w:val="0"/>
          <w:color w:val="282828"/>
          <w:sz w:val="19"/>
        </w:rPr>
        <w:br w:type="textWrapping"/>
      </w:r>
      <w:r>
        <w:rPr>
          <w:rFonts w:hint="eastAsia" w:eastAsia="Courier New"/>
          <w:b w:val="0"/>
          <w:color w:val="282828"/>
          <w:sz w:val="19"/>
        </w:rPr>
        <w:t>npm run node</w:t>
      </w:r>
      <w:r>
        <w:rPr>
          <w:rFonts w:hint="eastAsia" w:eastAsia="Courier New"/>
          <w:b w:val="0"/>
          <w:color w:val="282828"/>
          <w:sz w:val="19"/>
        </w:rPr>
        <w:br w:type="textWrapping"/>
      </w:r>
      <w:r>
        <w:rPr>
          <w:rFonts w:hint="eastAsia" w:eastAsia="Courier New"/>
          <w:b w:val="0"/>
          <w:color w:val="282828"/>
          <w:sz w:val="19"/>
        </w:rPr>
        <w:br w:type="textWrapping"/>
      </w:r>
      <w:r>
        <w:rPr>
          <w:rFonts w:hint="eastAsia" w:eastAsia="Courier New"/>
          <w:b w:val="0"/>
          <w:color w:val="282828"/>
          <w:sz w:val="19"/>
        </w:rPr>
        <w:t># Terminal 2: Deploy smart contracts (execute after Terminal 1 is ready)</w:t>
      </w:r>
      <w:r>
        <w:rPr>
          <w:rFonts w:hint="eastAsia" w:eastAsia="Courier New"/>
          <w:b w:val="0"/>
          <w:color w:val="282828"/>
          <w:sz w:val="19"/>
        </w:rPr>
        <w:br w:type="textWrapping"/>
      </w:r>
      <w:r>
        <w:rPr>
          <w:rFonts w:hint="eastAsia" w:eastAsia="Courier New"/>
          <w:b w:val="0"/>
          <w:color w:val="282828"/>
          <w:sz w:val="19"/>
        </w:rPr>
        <w:t>npm run deploy</w:t>
      </w:r>
      <w:r>
        <w:rPr>
          <w:rFonts w:hint="eastAsia" w:eastAsia="Courier New"/>
          <w:b w:val="0"/>
          <w:color w:val="282828"/>
          <w:sz w:val="19"/>
        </w:rPr>
        <w:br w:type="textWrapping"/>
      </w:r>
      <w:r>
        <w:rPr>
          <w:rFonts w:hint="eastAsia" w:eastAsia="Courier New"/>
          <w:b w:val="0"/>
          <w:color w:val="282828"/>
          <w:sz w:val="19"/>
        </w:rPr>
        <w:br w:type="textWrapping"/>
      </w:r>
      <w:r>
        <w:rPr>
          <w:rFonts w:hint="eastAsia" w:eastAsia="Courier New"/>
          <w:b w:val="0"/>
          <w:color w:val="282828"/>
          <w:sz w:val="19"/>
        </w:rPr>
        <w:t># Terminal 3: Start frontend</w:t>
      </w:r>
      <w:r>
        <w:rPr>
          <w:rFonts w:hint="eastAsia" w:eastAsia="Courier New"/>
          <w:b w:val="0"/>
          <w:color w:val="282828"/>
          <w:sz w:val="19"/>
        </w:rPr>
        <w:br w:type="textWrapping"/>
      </w:r>
      <w:r>
        <w:rPr>
          <w:rFonts w:hint="eastAsia" w:eastAsia="Courier New"/>
          <w:b w:val="0"/>
          <w:color w:val="282828"/>
          <w:sz w:val="19"/>
        </w:rPr>
        <w:t>npm run frontend</w:t>
      </w:r>
      <w:r>
        <w:rPr>
          <w:rFonts w:hint="eastAsia" w:eastAsia="Courier New"/>
          <w:b w:val="0"/>
          <w:color w:val="282828"/>
          <w:sz w:val="19"/>
        </w:rPr>
        <w:br w:type="textWrapping"/>
      </w:r>
      <w:r>
        <w:rPr>
          <w:rFonts w:hint="eastAsia" w:eastAsia="Courier New"/>
          <w:b w:val="0"/>
          <w:color w:val="282828"/>
          <w:sz w:val="19"/>
        </w:rPr>
        <w:t># → Browser access http://localhost:3000</w:t>
      </w:r>
    </w:p>
    <w:p w14:paraId="37A5B2F6">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5.2 MetaMask Configuration (First Demo)</w:t>
      </w:r>
    </w:p>
    <w:p w14:paraId="4E3B171B">
      <w:pPr>
        <w:numPr>
          <w:ilvl w:val="0"/>
          <w:numId w:val="8"/>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Install MetaMask Chrome plugin (metamask.io)</w:t>
      </w:r>
    </w:p>
    <w:p w14:paraId="6919BA1B">
      <w:pPr>
        <w:numPr>
          <w:ilvl w:val="0"/>
          <w:numId w:val="8"/>
        </w:numPr>
        <w:spacing w:before="360" w:after="120"/>
        <w:ind w:left="425" w:leftChars="0" w:hanging="425" w:firstLineChars="0"/>
        <w:rPr>
          <w:rFonts w:hint="default" w:eastAsia="宋体" w:asciiTheme="minorAscii" w:hAnsiTheme="minorAscii"/>
          <w:b w:val="0"/>
          <w:sz w:val="19"/>
          <w:szCs w:val="19"/>
        </w:rPr>
      </w:pPr>
      <w:r>
        <w:rPr>
          <w:rFonts w:hint="eastAsia" w:eastAsia="宋体" w:asciiTheme="minorAscii" w:hAnsiTheme="minorAscii"/>
          <w:b w:val="0"/>
          <w:sz w:val="19"/>
          <w:szCs w:val="19"/>
        </w:rPr>
        <w:t xml:space="preserve"> </w:t>
      </w:r>
      <w:r>
        <w:rPr>
          <w:rFonts w:hint="default" w:eastAsia="宋体" w:asciiTheme="minorAscii" w:hAnsiTheme="minorAscii"/>
          <w:b w:val="0"/>
          <w:sz w:val="19"/>
          <w:szCs w:val="19"/>
        </w:rPr>
        <w:t xml:space="preserve">Add local network: RPC URL = </w:t>
      </w:r>
      <w:r>
        <w:rPr>
          <w:rFonts w:hint="default" w:eastAsia="宋体" w:asciiTheme="minorAscii" w:hAnsiTheme="minorAscii"/>
          <w:b w:val="0"/>
          <w:sz w:val="19"/>
          <w:szCs w:val="19"/>
        </w:rPr>
        <w:fldChar w:fldCharType="begin"/>
      </w:r>
      <w:r>
        <w:rPr>
          <w:rFonts w:hint="default" w:eastAsia="宋体" w:asciiTheme="minorAscii" w:hAnsiTheme="minorAscii"/>
          <w:b w:val="0"/>
          <w:sz w:val="19"/>
          <w:szCs w:val="19"/>
        </w:rPr>
        <w:instrText xml:space="preserve"> HYPERLINK "http://127.0.0.1:8545" \t "_blank" </w:instrText>
      </w:r>
      <w:r>
        <w:rPr>
          <w:rFonts w:hint="default" w:eastAsia="宋体" w:asciiTheme="minorAscii" w:hAnsiTheme="minorAscii"/>
          <w:b w:val="0"/>
          <w:sz w:val="19"/>
          <w:szCs w:val="19"/>
        </w:rPr>
        <w:fldChar w:fldCharType="separate"/>
      </w:r>
      <w:r>
        <w:rPr>
          <w:rFonts w:hint="default" w:eastAsia="宋体" w:asciiTheme="minorAscii" w:hAnsiTheme="minorAscii"/>
          <w:b w:val="0"/>
          <w:sz w:val="19"/>
          <w:szCs w:val="19"/>
        </w:rPr>
        <w:t>http://127.0.0.1:8545</w:t>
      </w:r>
      <w:r>
        <w:rPr>
          <w:rFonts w:hint="default" w:eastAsia="宋体" w:asciiTheme="minorAscii" w:hAnsiTheme="minorAscii"/>
          <w:b w:val="0"/>
          <w:sz w:val="19"/>
          <w:szCs w:val="19"/>
        </w:rPr>
        <w:fldChar w:fldCharType="end"/>
      </w:r>
      <w:r>
        <w:rPr>
          <w:rFonts w:hint="default" w:eastAsia="宋体" w:asciiTheme="minorAscii" w:hAnsiTheme="minorAscii"/>
          <w:b w:val="0"/>
          <w:sz w:val="19"/>
          <w:szCs w:val="19"/>
        </w:rPr>
        <w:t>, Chain ID = 1337, Currency Symbol = ETH</w:t>
      </w:r>
    </w:p>
    <w:p w14:paraId="7157630A">
      <w:pPr>
        <w:numPr>
          <w:ilvl w:val="0"/>
          <w:numId w:val="8"/>
        </w:numPr>
        <w:spacing w:before="360" w:after="120"/>
        <w:ind w:left="425" w:leftChars="0" w:hanging="425" w:firstLineChars="0"/>
        <w:rPr>
          <w:rFonts w:hint="default" w:eastAsia="宋体" w:asciiTheme="minorAscii" w:hAnsiTheme="minorAscii"/>
          <w:b w:val="0"/>
          <w:sz w:val="19"/>
          <w:szCs w:val="19"/>
        </w:rPr>
      </w:pPr>
      <w:r>
        <w:rPr>
          <w:rFonts w:hint="eastAsia" w:eastAsia="宋体" w:asciiTheme="minorAscii" w:hAnsiTheme="minorAscii"/>
          <w:b w:val="0"/>
          <w:sz w:val="19"/>
          <w:szCs w:val="19"/>
        </w:rPr>
        <w:t xml:space="preserve"> </w:t>
      </w:r>
      <w:r>
        <w:rPr>
          <w:rFonts w:hint="default" w:eastAsia="宋体" w:asciiTheme="minorAscii" w:hAnsiTheme="minorAscii"/>
          <w:b w:val="0"/>
          <w:sz w:val="19"/>
          <w:szCs w:val="19"/>
        </w:rPr>
        <w:t>Import test account (private key: ac0974bec39a17e36ba4a6b4d238ff944bacb478cbed5efcae784d7bf4f2ff80), the account will display 10000 ETH</w:t>
      </w:r>
    </w:p>
    <w:p w14:paraId="18D3E8BC">
      <w:pPr>
        <w:numPr>
          <w:ilvl w:val="0"/>
          <w:numId w:val="8"/>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Turn off security interception: MetaMask → Settings → Security &amp; Privacy → Turn off Blockaid</w:t>
      </w:r>
    </w:p>
    <w:p w14:paraId="30EA8BE3">
      <w:pPr>
        <w:numPr>
          <w:ilvl w:val="0"/>
          <w:numId w:val="8"/>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In case of balance error: MetaMask → Settings → Advanced → Reset Account</w:t>
      </w:r>
    </w:p>
    <w:p w14:paraId="5386385F">
      <w:pPr>
        <w:spacing w:before="200" w:after="80"/>
        <w:rPr>
          <w:b/>
          <w:bCs/>
        </w:rPr>
      </w:pPr>
      <w:r>
        <w:rPr>
          <w:rFonts w:hint="default" w:eastAsia="宋体" w:cs="宋体" w:asciiTheme="minorAscii" w:hAnsiTheme="minorAscii"/>
          <w:b/>
          <w:bCs/>
          <w:color w:val="1F497D" w:themeColor="text2"/>
          <w:sz w:val="24"/>
          <w:szCs w:val="24"/>
          <w14:textFill>
            <w14:solidFill>
              <w14:schemeClr w14:val="tx2"/>
            </w14:solidFill>
          </w14:textFill>
        </w:rPr>
        <w:t>5.3 Deposit (Supply)</w:t>
      </w:r>
    </w:p>
    <w:p w14:paraId="66B9DDE1">
      <w:pPr>
        <w:numPr>
          <w:ilvl w:val="0"/>
          <w:numId w:val="9"/>
        </w:numPr>
        <w:spacing w:before="360" w:after="120"/>
        <w:ind w:left="425" w:leftChars="0" w:hanging="425" w:firstLineChars="0"/>
        <w:rPr>
          <w:rFonts w:hint="default" w:eastAsia="宋体" w:asciiTheme="minorAscii" w:hAnsiTheme="minorAscii"/>
          <w:b w:val="0"/>
          <w:sz w:val="19"/>
          <w:szCs w:val="19"/>
        </w:rPr>
      </w:pPr>
      <w:r>
        <w:rPr>
          <w:rFonts w:hint="eastAsia" w:eastAsia="宋体" w:asciiTheme="minorAscii" w:hAnsiTheme="minorAscii"/>
          <w:b w:val="0"/>
          <w:sz w:val="19"/>
          <w:szCs w:val="19"/>
        </w:rPr>
        <w:t xml:space="preserve"> </w:t>
      </w:r>
      <w:r>
        <w:rPr>
          <w:rFonts w:hint="default" w:eastAsia="宋体" w:asciiTheme="minorAscii" w:hAnsiTheme="minorAscii"/>
          <w:b w:val="0"/>
          <w:sz w:val="19"/>
          <w:szCs w:val="19"/>
        </w:rPr>
        <w:t xml:space="preserve">Open </w:t>
      </w:r>
      <w:r>
        <w:rPr>
          <w:rFonts w:hint="default" w:eastAsia="宋体" w:asciiTheme="minorAscii" w:hAnsiTheme="minorAscii"/>
          <w:b w:val="0"/>
          <w:sz w:val="19"/>
          <w:szCs w:val="19"/>
        </w:rPr>
        <w:fldChar w:fldCharType="begin"/>
      </w:r>
      <w:r>
        <w:rPr>
          <w:rFonts w:hint="default" w:eastAsia="宋体" w:asciiTheme="minorAscii" w:hAnsiTheme="minorAscii"/>
          <w:b w:val="0"/>
          <w:sz w:val="19"/>
          <w:szCs w:val="19"/>
        </w:rPr>
        <w:instrText xml:space="preserve"> HYPERLINK "http://localhost:3000" \t "_blank" </w:instrText>
      </w:r>
      <w:r>
        <w:rPr>
          <w:rFonts w:hint="default" w:eastAsia="宋体" w:asciiTheme="minorAscii" w:hAnsiTheme="minorAscii"/>
          <w:b w:val="0"/>
          <w:sz w:val="19"/>
          <w:szCs w:val="19"/>
        </w:rPr>
        <w:fldChar w:fldCharType="separate"/>
      </w:r>
      <w:r>
        <w:rPr>
          <w:rFonts w:hint="default" w:eastAsia="宋体" w:asciiTheme="minorAscii" w:hAnsiTheme="minorAscii"/>
          <w:b w:val="0"/>
          <w:sz w:val="19"/>
          <w:szCs w:val="19"/>
        </w:rPr>
        <w:t>http://localhost:3000</w:t>
      </w:r>
      <w:r>
        <w:rPr>
          <w:rFonts w:hint="default" w:eastAsia="宋体" w:asciiTheme="minorAscii" w:hAnsiTheme="minorAscii"/>
          <w:b w:val="0"/>
          <w:sz w:val="19"/>
          <w:szCs w:val="19"/>
        </w:rPr>
        <w:fldChar w:fldCharType="end"/>
      </w:r>
      <w:r>
        <w:rPr>
          <w:rFonts w:hint="default" w:eastAsia="宋体" w:asciiTheme="minorAscii" w:hAnsiTheme="minorAscii"/>
          <w:b w:val="0"/>
          <w:sz w:val="19"/>
          <w:szCs w:val="19"/>
        </w:rPr>
        <w:t>, click "Connect Wallet" in the upper right corner, click "Connect" in the MetaMask pop-up</w:t>
      </w:r>
    </w:p>
    <w:p w14:paraId="4EB55AB5">
      <w:pPr>
        <w:numPr>
          <w:ilvl w:val="0"/>
          <w:numId w:val="9"/>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Click "Supply" on the navigation bar, select C5D, enter the amount (e.g. 1000), click "Deposit"</w:t>
      </w:r>
    </w:p>
    <w:p w14:paraId="2D7EE776">
      <w:pPr>
        <w:numPr>
          <w:ilvl w:val="0"/>
          <w:numId w:val="9"/>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MetaMask first confirmation (Approve authorization) → click confirm</w:t>
      </w:r>
    </w:p>
    <w:p w14:paraId="75D975AD">
      <w:pPr>
        <w:numPr>
          <w:ilvl w:val="0"/>
          <w:numId w:val="9"/>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MetaMask second confirmation (Deposit) → click confirm</w:t>
      </w:r>
    </w:p>
    <w:p w14:paraId="7363ED15">
      <w:pPr>
        <w:numPr>
          <w:ilvl w:val="0"/>
          <w:numId w:val="9"/>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Page displays ✅ Successfully deposited; Total Collateral = $1000 in Dashboard</w:t>
      </w:r>
    </w:p>
    <w:p w14:paraId="368FEE39">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5.4 Borrow</w:t>
      </w:r>
    </w:p>
    <w:p w14:paraId="1B5CB875">
      <w:pPr>
        <w:numPr>
          <w:ilvl w:val="0"/>
          <w:numId w:val="10"/>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Click "Borrow" on the navigation bar, view Max Borrowable (max 800 C5D can be borrowed after depositing 1000 C5D)</w:t>
      </w:r>
    </w:p>
    <w:p w14:paraId="5EF8CA4C">
      <w:pPr>
        <w:numPr>
          <w:ilvl w:val="0"/>
          <w:numId w:val="10"/>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Enter the borrow amount (e.g. 500), click "Borrow"</w:t>
      </w:r>
    </w:p>
    <w:p w14:paraId="32196529">
      <w:pPr>
        <w:numPr>
          <w:ilvl w:val="0"/>
          <w:numId w:val="10"/>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MetaMask confirmation → borrow successful</w:t>
      </w:r>
    </w:p>
    <w:p w14:paraId="5333A25D">
      <w:pPr>
        <w:numPr>
          <w:ilvl w:val="0"/>
          <w:numId w:val="10"/>
        </w:numPr>
        <w:spacing w:before="360" w:after="120"/>
        <w:ind w:left="425" w:leftChars="0" w:hanging="425" w:firstLineChars="0"/>
        <w:rPr>
          <w:rFonts w:hint="default" w:eastAsia="宋体" w:asciiTheme="minorAscii" w:hAnsiTheme="minorAscii"/>
          <w:b w:val="0"/>
          <w:sz w:val="19"/>
          <w:szCs w:val="19"/>
        </w:rPr>
      </w:pPr>
      <w:r>
        <w:rPr>
          <w:rFonts w:hint="default" w:eastAsia="宋体" w:asciiTheme="minorAscii" w:hAnsiTheme="minorAscii"/>
          <w:b w:val="0"/>
          <w:sz w:val="19"/>
          <w:szCs w:val="19"/>
        </w:rPr>
        <w:t>Dashboard: Total Debt = $500, Health Factor ≈ 1.7</w:t>
      </w:r>
    </w:p>
    <w:p w14:paraId="67C5718E">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5.5 Repay</w:t>
      </w:r>
    </w:p>
    <w:p w14:paraId="0B3438A8">
      <w:pPr>
        <w:numPr>
          <w:ilvl w:val="0"/>
          <w:numId w:val="11"/>
        </w:numPr>
        <w:spacing w:before="360" w:after="120"/>
        <w:ind w:left="425" w:leftChars="0" w:hanging="425" w:firstLineChars="0"/>
        <w:rPr>
          <w:rFonts w:hint="eastAsia" w:eastAsia="宋体" w:asciiTheme="minorAscii" w:hAnsiTheme="minorAscii"/>
          <w:b w:val="0"/>
          <w:sz w:val="19"/>
          <w:szCs w:val="19"/>
        </w:rPr>
      </w:pPr>
      <w:r>
        <w:rPr>
          <w:rFonts w:hint="eastAsia" w:eastAsia="宋体" w:asciiTheme="minorAscii" w:hAnsiTheme="minorAscii"/>
          <w:b w:val="0"/>
          <w:sz w:val="19"/>
          <w:szCs w:val="19"/>
        </w:rPr>
        <w:t>Click the "↩ Repay" tab on the Borrow page, select C5D, enter the repayment amount (e.g. 200)</w:t>
      </w:r>
    </w:p>
    <w:p w14:paraId="389F00A2">
      <w:pPr>
        <w:numPr>
          <w:ilvl w:val="0"/>
          <w:numId w:val="11"/>
        </w:numPr>
        <w:spacing w:before="360" w:after="120"/>
        <w:ind w:left="425" w:leftChars="0" w:hanging="425" w:firstLineChars="0"/>
        <w:rPr>
          <w:rFonts w:hint="eastAsia" w:eastAsia="宋体" w:asciiTheme="minorAscii" w:hAnsiTheme="minorAscii"/>
          <w:b w:val="0"/>
          <w:sz w:val="19"/>
          <w:szCs w:val="19"/>
        </w:rPr>
      </w:pPr>
      <w:r>
        <w:rPr>
          <w:rFonts w:hint="eastAsia" w:eastAsia="宋体" w:asciiTheme="minorAscii" w:hAnsiTheme="minorAscii"/>
          <w:b w:val="0"/>
          <w:sz w:val="19"/>
          <w:szCs w:val="19"/>
        </w:rPr>
        <w:t>Click "Repay", MetaMask double confirmation (Approve + Repay)</w:t>
      </w:r>
    </w:p>
    <w:p w14:paraId="04E2C5E6">
      <w:pPr>
        <w:numPr>
          <w:ilvl w:val="0"/>
          <w:numId w:val="11"/>
        </w:numPr>
        <w:spacing w:before="360" w:after="120"/>
        <w:ind w:left="425" w:leftChars="0" w:hanging="425" w:firstLineChars="0"/>
        <w:rPr>
          <w:rFonts w:hint="eastAsia" w:eastAsia="宋体" w:asciiTheme="minorAscii" w:hAnsiTheme="minorAscii"/>
          <w:b w:val="0"/>
          <w:sz w:val="19"/>
          <w:szCs w:val="19"/>
        </w:rPr>
      </w:pPr>
      <w:r>
        <w:rPr>
          <w:rFonts w:hint="eastAsia" w:eastAsia="宋体" w:asciiTheme="minorAscii" w:hAnsiTheme="minorAscii"/>
          <w:b w:val="0"/>
          <w:sz w:val="19"/>
          <w:szCs w:val="19"/>
        </w:rPr>
        <w:t>Total Debt decreases and Health Factor rises after success</w:t>
      </w:r>
    </w:p>
    <w:p w14:paraId="2702AA4E">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5.6 Withdraw</w:t>
      </w:r>
    </w:p>
    <w:p w14:paraId="63E6262C">
      <w:pPr>
        <w:numPr>
          <w:ilvl w:val="0"/>
          <w:numId w:val="12"/>
        </w:numPr>
        <w:spacing w:before="360" w:after="120"/>
        <w:ind w:left="425" w:leftChars="0" w:hanging="425" w:firstLineChars="0"/>
        <w:rPr>
          <w:rFonts w:hint="eastAsia" w:eastAsia="宋体" w:asciiTheme="minorAscii" w:hAnsiTheme="minorAscii"/>
          <w:b w:val="0"/>
          <w:sz w:val="19"/>
          <w:szCs w:val="19"/>
        </w:rPr>
      </w:pPr>
      <w:r>
        <w:rPr>
          <w:rFonts w:hint="eastAsia" w:eastAsia="宋体" w:asciiTheme="minorAscii" w:hAnsiTheme="minorAscii"/>
          <w:b w:val="0"/>
          <w:sz w:val="19"/>
          <w:szCs w:val="19"/>
        </w:rPr>
        <w:t>Click the "⬆ Withdraw" tab on the Supply page, enter the withdrawal amount (ensure HF ≥ 1.0 after withdrawal)</w:t>
      </w:r>
    </w:p>
    <w:p w14:paraId="28F729E8">
      <w:pPr>
        <w:numPr>
          <w:ilvl w:val="0"/>
          <w:numId w:val="12"/>
        </w:numPr>
        <w:spacing w:before="360" w:after="120"/>
        <w:ind w:left="425" w:leftChars="0" w:hanging="425" w:firstLineChars="0"/>
        <w:rPr>
          <w:rFonts w:hint="eastAsia" w:eastAsia="宋体" w:asciiTheme="minorAscii" w:hAnsiTheme="minorAscii"/>
          <w:b w:val="0"/>
          <w:sz w:val="19"/>
          <w:szCs w:val="19"/>
        </w:rPr>
      </w:pPr>
      <w:r>
        <w:rPr>
          <w:rFonts w:hint="eastAsia" w:eastAsia="宋体" w:asciiTheme="minorAscii" w:hAnsiTheme="minorAscii"/>
          <w:b w:val="0"/>
          <w:sz w:val="19"/>
          <w:szCs w:val="19"/>
        </w:rPr>
        <w:t>Click "Withdraw", MetaMask confirmation</w:t>
      </w:r>
    </w:p>
    <w:p w14:paraId="4FF9E9DD">
      <w:pPr>
        <w:numPr>
          <w:ilvl w:val="0"/>
          <w:numId w:val="12"/>
        </w:numPr>
        <w:spacing w:before="360" w:after="120"/>
        <w:ind w:left="425" w:leftChars="0" w:hanging="425" w:firstLineChars="0"/>
        <w:rPr>
          <w:rFonts w:hint="eastAsia" w:eastAsia="宋体" w:asciiTheme="minorAscii" w:hAnsiTheme="minorAscii"/>
          <w:b w:val="0"/>
          <w:sz w:val="19"/>
          <w:szCs w:val="19"/>
        </w:rPr>
      </w:pPr>
      <w:r>
        <w:rPr>
          <w:rFonts w:hint="eastAsia" w:eastAsia="宋体" w:asciiTheme="minorAscii" w:hAnsiTheme="minorAscii"/>
          <w:b w:val="0"/>
          <w:sz w:val="19"/>
          <w:szCs w:val="19"/>
        </w:rPr>
        <w:t>Tokens return to wallet after success, Total Collateral decreases</w:t>
      </w:r>
    </w:p>
    <w:p w14:paraId="7F38305A">
      <w:pPr>
        <w:numPr>
          <w:ilvl w:val="0"/>
          <w:numId w:val="12"/>
        </w:numPr>
        <w:spacing w:before="360" w:after="120"/>
        <w:ind w:left="425" w:leftChars="0" w:hanging="425" w:firstLineChars="0"/>
        <w:rPr>
          <w:rFonts w:hint="eastAsia" w:eastAsia="宋体" w:asciiTheme="minorAscii" w:hAnsiTheme="minorAscii"/>
          <w:b w:val="0"/>
          <w:sz w:val="19"/>
          <w:szCs w:val="19"/>
        </w:rPr>
      </w:pPr>
      <w:r>
        <w:rPr>
          <w:rFonts w:hint="eastAsia" w:eastAsia="宋体" w:asciiTheme="minorAscii" w:hAnsiTheme="minorAscii"/>
          <w:b w:val="0"/>
          <w:sz w:val="19"/>
          <w:szCs w:val="19"/>
        </w:rPr>
        <w:t>Demo boundary: Enter an excessive amount, contract rejects and displays an error prompt, reflecting the health factor protection mechanism</w:t>
      </w:r>
    </w:p>
    <w:p w14:paraId="55FB1BF7">
      <w:pPr>
        <w:numPr>
          <w:ilvl w:val="0"/>
          <w:numId w:val="7"/>
        </w:numPr>
        <w:spacing w:before="360" w:after="120"/>
        <w:rPr>
          <w:rFonts w:hint="default" w:eastAsia="宋体" w:cs="宋体" w:asciiTheme="minorAscii" w:hAnsiTheme="minorAscii"/>
          <w:b/>
          <w:bCs/>
          <w:color w:val="1F497D" w:themeColor="text2"/>
          <w:sz w:val="28"/>
          <w:szCs w:val="28"/>
          <w14:textFill>
            <w14:solidFill>
              <w14:schemeClr w14:val="tx2"/>
            </w14:solidFill>
          </w14:textFill>
        </w:rPr>
      </w:pPr>
      <w:r>
        <w:rPr>
          <w:rFonts w:hint="default" w:eastAsia="宋体" w:cs="宋体" w:asciiTheme="minorAscii" w:hAnsiTheme="minorAscii"/>
          <w:b/>
          <w:bCs/>
          <w:color w:val="1F497D" w:themeColor="text2"/>
          <w:sz w:val="28"/>
          <w:szCs w:val="28"/>
          <w14:textFill>
            <w14:solidFill>
              <w14:schemeClr w14:val="tx2"/>
            </w14:solidFill>
          </w14:textFill>
        </w:rPr>
        <w:t>Project Highlights and Summary</w:t>
      </w:r>
    </w:p>
    <w:p w14:paraId="4F2E9DAA">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6.1 Technical Highlights</w:t>
      </w:r>
    </w:p>
    <w:p w14:paraId="0B39C5D1">
      <w:pPr>
        <w:numPr>
          <w:ilvl w:val="0"/>
          <w:numId w:val="0"/>
        </w:numPr>
        <w:spacing w:before="360" w:after="120"/>
        <w:ind w:leftChars="0"/>
        <w:rPr>
          <w:rFonts w:hint="eastAsia" w:eastAsia="宋体" w:asciiTheme="minorAscii" w:hAnsiTheme="minorAscii"/>
          <w:b w:val="0"/>
          <w:sz w:val="19"/>
          <w:szCs w:val="19"/>
        </w:rPr>
      </w:pPr>
      <w:r>
        <w:rPr>
          <w:rFonts w:hint="eastAsia" w:eastAsia="宋体" w:asciiTheme="minorAscii" w:hAnsiTheme="minorAscii"/>
          <w:b w:val="0"/>
          <w:sz w:val="19"/>
          <w:szCs w:val="19"/>
        </w:rPr>
        <w:t>·  Index-based interest accumulation (same as Compound V2): scaledAmount mechanism makes Gas cost constant, does not increase over time</w:t>
      </w:r>
    </w:p>
    <w:p w14:paraId="3ED06D74">
      <w:pPr>
        <w:numPr>
          <w:ilvl w:val="0"/>
          <w:numId w:val="0"/>
        </w:numPr>
        <w:spacing w:before="360" w:after="120"/>
        <w:ind w:leftChars="0"/>
        <w:rPr>
          <w:rFonts w:hint="eastAsia" w:eastAsia="宋体" w:asciiTheme="minorAscii" w:hAnsiTheme="minorAscii"/>
          <w:b w:val="0"/>
          <w:sz w:val="19"/>
          <w:szCs w:val="19"/>
        </w:rPr>
      </w:pPr>
      <w:r>
        <w:rPr>
          <w:rFonts w:hint="default" w:eastAsia="宋体" w:asciiTheme="minorAscii" w:hAnsiTheme="minorAscii"/>
          <w:b w:val="0"/>
          <w:sz w:val="19"/>
          <w:szCs w:val="19"/>
        </w:rPr>
        <w:t>·</w:t>
      </w:r>
      <w:r>
        <w:rPr>
          <w:rFonts w:hint="eastAsia" w:eastAsia="宋体" w:asciiTheme="minorAscii" w:hAnsiTheme="minorAscii"/>
          <w:b w:val="0"/>
          <w:sz w:val="19"/>
          <w:szCs w:val="19"/>
        </w:rPr>
        <w:t xml:space="preserve">  Rad-write separation architecture: View functions connect directly to nodes, completely solving the compatibility problem between MetaMask and Hardhat local chain</w:t>
      </w:r>
    </w:p>
    <w:p w14:paraId="6CE8A339">
      <w:pPr>
        <w:numPr>
          <w:ilvl w:val="0"/>
          <w:numId w:val="0"/>
        </w:numPr>
        <w:spacing w:before="360" w:after="120"/>
        <w:ind w:leftChars="0"/>
        <w:rPr>
          <w:rFonts w:hint="eastAsia" w:eastAsia="宋体" w:asciiTheme="minorAscii" w:hAnsiTheme="minorAscii"/>
          <w:b w:val="0"/>
          <w:sz w:val="19"/>
          <w:szCs w:val="19"/>
        </w:rPr>
      </w:pPr>
      <w:r>
        <w:rPr>
          <w:rFonts w:hint="default" w:eastAsia="宋体" w:asciiTheme="minorAscii" w:hAnsiTheme="minorAscii"/>
          <w:b w:val="0"/>
          <w:sz w:val="19"/>
          <w:szCs w:val="19"/>
        </w:rPr>
        <w:t>·</w:t>
      </w:r>
      <w:r>
        <w:rPr>
          <w:rFonts w:hint="eastAsia" w:eastAsia="宋体" w:asciiTheme="minorAscii" w:hAnsiTheme="minorAscii"/>
          <w:b w:val="0"/>
          <w:sz w:val="19"/>
          <w:szCs w:val="19"/>
        </w:rPr>
        <w:t xml:space="preserve">  Complete risk control: LTV limits maximum borrowing, liquidation threshold protects protocol solvency, health factor monitors positions in real time</w:t>
      </w:r>
    </w:p>
    <w:p w14:paraId="4846F276">
      <w:pPr>
        <w:numPr>
          <w:ilvl w:val="0"/>
          <w:numId w:val="0"/>
        </w:numPr>
        <w:spacing w:before="360" w:after="120"/>
        <w:ind w:leftChars="0"/>
        <w:rPr>
          <w:rFonts w:hint="eastAsia" w:eastAsia="宋体" w:asciiTheme="minorAscii" w:hAnsiTheme="minorAscii"/>
          <w:b w:val="0"/>
          <w:sz w:val="19"/>
          <w:szCs w:val="19"/>
        </w:rPr>
      </w:pPr>
      <w:r>
        <w:rPr>
          <w:rFonts w:hint="default" w:eastAsia="宋体" w:asciiTheme="minorAscii" w:hAnsiTheme="minorAscii"/>
          <w:b w:val="0"/>
          <w:sz w:val="19"/>
          <w:szCs w:val="19"/>
        </w:rPr>
        <w:t>·</w:t>
      </w:r>
      <w:r>
        <w:rPr>
          <w:rFonts w:hint="eastAsia" w:eastAsia="宋体" w:asciiTheme="minorAscii" w:hAnsiTheme="minorAscii"/>
          <w:b w:val="0"/>
          <w:sz w:val="19"/>
          <w:szCs w:val="19"/>
        </w:rPr>
        <w:t xml:space="preserve">  L</w:t>
      </w:r>
      <w:r>
        <w:rPr>
          <w:rFonts w:hint="eastAsia" w:eastAsia="宋体" w:asciiTheme="minorAscii" w:hAnsiTheme="minorAscii"/>
          <w:b w:val="0"/>
          <w:sz w:val="19"/>
          <w:szCs w:val="19"/>
          <w:lang w:val="en-US" w:eastAsia="zh-CN"/>
        </w:rPr>
        <w:t>i</w:t>
      </w:r>
      <w:r>
        <w:rPr>
          <w:rFonts w:hint="eastAsia" w:eastAsia="宋体" w:asciiTheme="minorAscii" w:hAnsiTheme="minorAscii"/>
          <w:b w:val="0"/>
          <w:sz w:val="19"/>
          <w:szCs w:val="19"/>
        </w:rPr>
        <w:t>near interest rate model: Higher utilization rate leads to higher interest rate, automatically balances market supply and demand, incentivizes liquidity supplementation</w:t>
      </w:r>
    </w:p>
    <w:p w14:paraId="13E85411">
      <w:pPr>
        <w:numPr>
          <w:ilvl w:val="0"/>
          <w:numId w:val="0"/>
        </w:numPr>
        <w:spacing w:before="360" w:after="120"/>
        <w:ind w:leftChars="0"/>
        <w:rPr>
          <w:rFonts w:hint="eastAsia" w:eastAsia="宋体" w:asciiTheme="minorAscii" w:hAnsiTheme="minorAscii"/>
          <w:b w:val="0"/>
          <w:sz w:val="19"/>
          <w:szCs w:val="19"/>
        </w:rPr>
      </w:pPr>
      <w:r>
        <w:rPr>
          <w:rFonts w:hint="default" w:eastAsia="宋体" w:asciiTheme="minorAscii" w:hAnsiTheme="minorAscii"/>
          <w:b w:val="0"/>
          <w:sz w:val="19"/>
          <w:szCs w:val="19"/>
        </w:rPr>
        <w:t>·</w:t>
      </w:r>
      <w:r>
        <w:rPr>
          <w:rFonts w:hint="eastAsia" w:eastAsia="宋体" w:asciiTheme="minorAscii" w:hAnsiTheme="minorAscii"/>
          <w:b w:val="0"/>
          <w:sz w:val="19"/>
          <w:szCs w:val="19"/>
        </w:rPr>
        <w:t xml:space="preserve">  O</w:t>
      </w:r>
      <w:r>
        <w:rPr>
          <w:rFonts w:hint="eastAsia" w:eastAsia="宋体" w:asciiTheme="minorAscii" w:hAnsiTheme="minorAscii"/>
          <w:b w:val="0"/>
          <w:sz w:val="19"/>
          <w:szCs w:val="19"/>
          <w:lang w:val="en-US" w:eastAsia="zh-CN"/>
        </w:rPr>
        <w:t>n</w:t>
      </w:r>
      <w:r>
        <w:rPr>
          <w:rFonts w:hint="eastAsia" w:eastAsia="宋体" w:asciiTheme="minorAscii" w:hAnsiTheme="minorAscii"/>
          <w:b w:val="0"/>
          <w:sz w:val="19"/>
          <w:szCs w:val="19"/>
        </w:rPr>
        <w:t>e-click deployment automatic configuration: deploy.cjs automatically writes front-end contract addresses, eliminating human errors</w:t>
      </w:r>
    </w:p>
    <w:p w14:paraId="128E7CC2">
      <w:pPr>
        <w:spacing w:before="200" w:after="80"/>
        <w:rPr>
          <w:rFonts w:hint="default" w:eastAsia="宋体" w:cs="宋体" w:asciiTheme="minorAscii" w:hAnsiTheme="minorAscii"/>
          <w:b/>
          <w:bCs/>
          <w:color w:val="1F497D" w:themeColor="text2"/>
          <w:sz w:val="24"/>
          <w:szCs w:val="24"/>
          <w14:textFill>
            <w14:solidFill>
              <w14:schemeClr w14:val="tx2"/>
            </w14:solidFill>
          </w14:textFill>
        </w:rPr>
      </w:pPr>
      <w:r>
        <w:rPr>
          <w:rFonts w:hint="default" w:eastAsia="宋体" w:cs="宋体" w:asciiTheme="minorAscii" w:hAnsiTheme="minorAscii"/>
          <w:b/>
          <w:bCs/>
          <w:color w:val="1F497D" w:themeColor="text2"/>
          <w:sz w:val="24"/>
          <w:szCs w:val="24"/>
          <w14:textFill>
            <w14:solidFill>
              <w14:schemeClr w14:val="tx2"/>
            </w14:solidFill>
          </w14:textFill>
        </w:rPr>
        <w:t>6.2 Summary</w:t>
      </w:r>
    </w:p>
    <w:p w14:paraId="233D9D1B">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lang w:val="en-US" w:eastAsia="zh-CN"/>
        </w:rPr>
        <w:t>This project fully implements the core functions of a decentralized lending protocol, covering four major operations: deposit, borrow, repay, and withdraw, as well as key mechanisms such as dynamic interest rate model, health factor calculation, and LTV risk control, and presents on-chain data to users in real time through a web interface.</w:t>
      </w:r>
    </w:p>
    <w:p w14:paraId="0A76B575">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lang w:val="en-US" w:eastAsia="zh-CN"/>
        </w:rPr>
        <w:t>During the development process, a series of engineering problems were solved, including MetaMask Blockaid blocking local contracts, ethers.js v6 API changes, and Hardhat and front-end ESM module conflicts, accumulating complete DeFi development experience from contract design to front-end integration.</w:t>
      </w:r>
    </w:p>
    <w:p w14:paraId="708D82F0">
      <w:pPr>
        <w:spacing w:before="200" w:after="80"/>
        <w:rPr>
          <w:rFonts w:hint="eastAsia" w:eastAsia="宋体" w:asciiTheme="minorAscii" w:hAnsiTheme="minorAscii"/>
          <w:b w:val="0"/>
          <w:sz w:val="19"/>
          <w:szCs w:val="19"/>
        </w:rPr>
      </w:pPr>
      <w:r>
        <w:rPr>
          <w:rFonts w:hint="eastAsia" w:eastAsia="宋体" w:asciiTheme="minorAscii" w:hAnsiTheme="minorAscii"/>
          <w:b w:val="0"/>
          <w:sz w:val="19"/>
          <w:szCs w:val="19"/>
          <w:lang w:val="en-US" w:eastAsia="zh-CN"/>
        </w:rPr>
        <w:t>Future expandable directions: liquidation mechanism (allow third-party liquidation with 5%-10% reward when HF &lt; 1), NFT assets as collateral, Flash Loan, and accessing Chainlink on-chain oracle to replace hard-coded prices.</w:t>
      </w:r>
    </w:p>
    <w:p w14:paraId="7DDED6E1">
      <w:pPr>
        <w:spacing w:after="80" w:line="400" w:lineRule="exact"/>
        <w:ind w:firstLine="420"/>
      </w:pP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AFEC54"/>
    <w:multiLevelType w:val="singleLevel"/>
    <w:tmpl w:val="D7AFEC54"/>
    <w:lvl w:ilvl="0" w:tentative="0">
      <w:start w:val="1"/>
      <w:numFmt w:val="decimal"/>
      <w:lvlText w:val="%1."/>
      <w:lvlJc w:val="left"/>
      <w:pPr>
        <w:ind w:left="425" w:hanging="425"/>
      </w:pPr>
      <w:rPr>
        <w:rFonts w:hint="default"/>
      </w:rPr>
    </w:lvl>
  </w:abstractNum>
  <w:abstractNum w:abstractNumId="1">
    <w:nsid w:val="D809E8B1"/>
    <w:multiLevelType w:val="singleLevel"/>
    <w:tmpl w:val="D809E8B1"/>
    <w:lvl w:ilvl="0" w:tentative="0">
      <w:start w:val="1"/>
      <w:numFmt w:val="decimal"/>
      <w:lvlText w:val="%1."/>
      <w:lvlJc w:val="left"/>
      <w:pPr>
        <w:ind w:left="425" w:hanging="425"/>
      </w:pPr>
      <w:rPr>
        <w:rFonts w:hint="default"/>
      </w:rPr>
    </w:lvl>
  </w:abstractNum>
  <w:abstractNum w:abstractNumId="2">
    <w:nsid w:val="DA0EE704"/>
    <w:multiLevelType w:val="singleLevel"/>
    <w:tmpl w:val="DA0EE704"/>
    <w:lvl w:ilvl="0" w:tentative="0">
      <w:start w:val="1"/>
      <w:numFmt w:val="decimal"/>
      <w:lvlText w:val="%1."/>
      <w:lvlJc w:val="left"/>
      <w:pPr>
        <w:ind w:left="425" w:hanging="425"/>
      </w:pPr>
      <w:rPr>
        <w:rFonts w:hint="default"/>
      </w:rPr>
    </w:lvl>
  </w:abstractNum>
  <w:abstractNum w:abstractNumId="3">
    <w:nsid w:val="FC1FAF5C"/>
    <w:multiLevelType w:val="singleLevel"/>
    <w:tmpl w:val="FC1FAF5C"/>
    <w:lvl w:ilvl="0" w:tentative="0">
      <w:start w:val="1"/>
      <w:numFmt w:val="decimal"/>
      <w:lvlText w:val="%1."/>
      <w:lvlJc w:val="left"/>
      <w:pPr>
        <w:ind w:left="425" w:hanging="425"/>
      </w:pPr>
      <w:rPr>
        <w:rFonts w:hint="default"/>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
    <w:nsid w:val="4AEB9FB7"/>
    <w:multiLevelType w:val="singleLevel"/>
    <w:tmpl w:val="4AEB9FB7"/>
    <w:lvl w:ilvl="0" w:tentative="0">
      <w:start w:val="2"/>
      <w:numFmt w:val="decimal"/>
      <w:suff w:val="space"/>
      <w:lvlText w:val="%1."/>
      <w:lvlJc w:val="left"/>
    </w:lvl>
  </w:abstractNum>
  <w:abstractNum w:abstractNumId="11">
    <w:nsid w:val="53E0258F"/>
    <w:multiLevelType w:val="singleLevel"/>
    <w:tmpl w:val="53E0258F"/>
    <w:lvl w:ilvl="0" w:tentative="0">
      <w:start w:val="1"/>
      <w:numFmt w:val="decimal"/>
      <w:lvlText w:val="%1."/>
      <w:lvlJc w:val="left"/>
      <w:pPr>
        <w:ind w:left="425" w:hanging="425"/>
      </w:pPr>
      <w:rPr>
        <w:rFonts w:hint="default"/>
      </w:r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0"/>
  </w:num>
  <w:num w:numId="8">
    <w:abstractNumId w:val="11"/>
  </w:num>
  <w:num w:numId="9">
    <w:abstractNumId w:val="2"/>
  </w:num>
  <w:num w:numId="10">
    <w:abstractNumId w:val="0"/>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513B4F"/>
    <w:rsid w:val="63405F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qFormat/>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988</Words>
  <Characters>5926</Characters>
  <Lines>0</Lines>
  <Paragraphs>0</Paragraphs>
  <TotalTime>31</TotalTime>
  <ScaleCrop>false</ScaleCrop>
  <LinksUpToDate>false</LinksUpToDate>
  <CharactersWithSpaces>6785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curtain</cp:lastModifiedBy>
  <dcterms:modified xsi:type="dcterms:W3CDTF">2026-04-16T08:25:44Z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eyJoZGlkIjoiM2Q5ODE2MWNkZmRkN2Y5ZWRkZjcxMmIzMzJkNDdhOTUiLCJ1c2VySWQiOiIxOTAzNzQxNDAifQ==</vt:lpwstr>
  </property>
  <property fmtid="{D5CDD505-2E9C-101B-9397-08002B2CF9AE}" pid="3" name="KSOProductBuildVer">
    <vt:lpwstr>2052-12.1.0.25225</vt:lpwstr>
  </property>
  <property fmtid="{D5CDD505-2E9C-101B-9397-08002B2CF9AE}" pid="4" name="ICV">
    <vt:lpwstr>96C04EBFCDB6469D928ED1B7730244F1_13</vt:lpwstr>
  </property>
</Properties>
</file>