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PacketForge V1.0 | M7 Milestone Record</w:t>
      </w:r>
    </w:p>
    <w:p>
      <w:r>
        <w:t>M7 — Failure &amp; Lifecycle Validation</w:t>
      </w:r>
    </w:p>
    <w:p>
      <w:r>
        <w:t>Status: COMPLETE / PASS    |    Closure: GAP-031 through GAP-040</w:t>
      </w:r>
    </w:p>
    <w:p>
      <w:r>
        <w:t>Document status: Draft for review. This record consolidates the M7 GAP definitions, acceptance basis, runtime/source evidence, closure decisions, recovery validation, and known qualifications captured during the M7 work.</w:t>
      </w:r>
    </w:p>
    <w:p>
      <w:pPr>
        <w:pStyle w:val="Heading1"/>
      </w:pPr>
      <w:r>
        <w:t>1. Objective</w:t>
      </w:r>
    </w:p>
    <w:p>
      <w:r>
        <w:t>Validate PacketForge V1 failure handling, lifecycle behavior, resource cleanup, error propagation, and restart recovery across the defined V1 runtime paths. M7 validates the frozen V1 architecture; it does not introduce asynchronous networking, dynamic scaling, persistence, multi-client operation, automatic reconnection, automatic server restart, or other V1 scope changes.</w:t>
      </w:r>
    </w:p>
    <w:p>
      <w:pPr>
        <w:pStyle w:val="Heading1"/>
      </w:pPr>
      <w:r>
        <w:t>2. Frozen V1 Test Context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Constraint / Element</w:t>
            </w:r>
          </w:p>
        </w:tc>
        <w:tc>
          <w:tcPr>
            <w:tcW w:type="dxa" w:w="5112"/>
            <w:vAlign w:val="center"/>
          </w:tcPr>
          <w:p>
            <w:r>
              <w:rPr>
                <w:b/>
              </w:rPr>
              <w:t>M7 validation context</w:t>
            </w:r>
          </w:p>
        </w:tc>
      </w:tr>
      <w:tr>
        <w:tc>
          <w:tcPr>
            <w:tcW w:type="dxa" w:w="5112"/>
            <w:vAlign w:val="top"/>
          </w:tcPr>
          <w:p>
            <w:r>
              <w:t>Client model</w:t>
            </w:r>
          </w:p>
        </w:tc>
        <w:tc>
          <w:tcPr>
            <w:tcW w:type="dxa" w:w="5112"/>
            <w:vAlign w:val="top"/>
          </w:tcPr>
          <w:p>
            <w:r>
              <w:t>Single TCP client</w:t>
            </w:r>
          </w:p>
        </w:tc>
      </w:tr>
      <w:tr>
        <w:tc>
          <w:tcPr>
            <w:tcW w:type="dxa" w:w="5112"/>
            <w:vAlign w:val="top"/>
          </w:tcPr>
          <w:p>
            <w:r>
              <w:t>Server model</w:t>
            </w:r>
          </w:p>
        </w:tc>
        <w:tc>
          <w:tcPr>
            <w:tcW w:type="dxa" w:w="5112"/>
            <w:vAlign w:val="top"/>
          </w:tcPr>
          <w:p>
            <w:r>
              <w:t>Single server instance</w:t>
            </w:r>
          </w:p>
        </w:tc>
      </w:tr>
      <w:tr>
        <w:tc>
          <w:tcPr>
            <w:tcW w:type="dxa" w:w="5112"/>
            <w:vAlign w:val="top"/>
          </w:tcPr>
          <w:p>
            <w:r>
              <w:t>I/O model</w:t>
            </w:r>
          </w:p>
        </w:tc>
        <w:tc>
          <w:tcPr>
            <w:tcW w:type="dxa" w:w="5112"/>
            <w:vAlign w:val="top"/>
          </w:tcPr>
          <w:p>
            <w:r>
              <w:t>Synchronous / blocking TCP sockets</w:t>
            </w:r>
          </w:p>
        </w:tc>
      </w:tr>
      <w:tr>
        <w:tc>
          <w:tcPr>
            <w:tcW w:type="dxa" w:w="5112"/>
            <w:vAlign w:val="top"/>
          </w:tcPr>
          <w:p>
            <w:r>
              <w:t>Multiplexing</w:t>
            </w:r>
          </w:p>
        </w:tc>
        <w:tc>
          <w:tcPr>
            <w:tcW w:type="dxa" w:w="5112"/>
            <w:vAlign w:val="top"/>
          </w:tcPr>
          <w:p>
            <w:r>
              <w:t>No select(), poll(), epoll(), non-blocking sockets, or async event loop</w:t>
            </w:r>
          </w:p>
        </w:tc>
      </w:tr>
      <w:tr>
        <w:tc>
          <w:tcPr>
            <w:tcW w:type="dxa" w:w="5112"/>
            <w:vAlign w:val="top"/>
          </w:tcPr>
          <w:p>
            <w:r>
              <w:t>Protocol</w:t>
            </w:r>
          </w:p>
        </w:tc>
        <w:tc>
          <w:tcPr>
            <w:tcW w:type="dxa" w:w="5112"/>
            <w:vAlign w:val="top"/>
          </w:tcPr>
          <w:p>
            <w:r>
              <w:t>Text-based V1 packet protocol; fixed binary structure reserved for V2</w:t>
            </w:r>
          </w:p>
        </w:tc>
      </w:tr>
      <w:tr>
        <w:tc>
          <w:tcPr>
            <w:tcW w:type="dxa" w:w="5112"/>
            <w:vAlign w:val="top"/>
          </w:tcPr>
          <w:p>
            <w:r>
              <w:t>Processing</w:t>
            </w:r>
          </w:p>
        </w:tc>
        <w:tc>
          <w:tcPr>
            <w:tcW w:type="dxa" w:w="5112"/>
            <w:vAlign w:val="top"/>
          </w:tcPr>
          <w:p>
            <w:r>
              <w:t>In-memory packet processing</w:t>
            </w:r>
          </w:p>
        </w:tc>
      </w:tr>
      <w:tr>
        <w:tc>
          <w:tcPr>
            <w:tcW w:type="dxa" w:w="5112"/>
            <w:vAlign w:val="top"/>
          </w:tcPr>
          <w:p>
            <w:r>
              <w:t>Persistence</w:t>
            </w:r>
          </w:p>
        </w:tc>
        <w:tc>
          <w:tcPr>
            <w:tcW w:type="dxa" w:w="5112"/>
            <w:vAlign w:val="top"/>
          </w:tcPr>
          <w:p>
            <w:r>
              <w:t>No persistent packet storage</w:t>
            </w:r>
          </w:p>
        </w:tc>
      </w:tr>
      <w:tr>
        <w:tc>
          <w:tcPr>
            <w:tcW w:type="dxa" w:w="5112"/>
            <w:vAlign w:val="top"/>
          </w:tcPr>
          <w:p>
            <w:r>
              <w:t>Scaling / scheduling</w:t>
            </w:r>
          </w:p>
        </w:tc>
        <w:tc>
          <w:tcPr>
            <w:tcW w:type="dxa" w:w="5112"/>
            <w:vAlign w:val="top"/>
          </w:tcPr>
          <w:p>
            <w:r>
              <w:t>No dynamic thread scaling; no priority scheduling</w:t>
            </w:r>
          </w:p>
        </w:tc>
      </w:tr>
      <w:tr>
        <w:tc>
          <w:tcPr>
            <w:tcW w:type="dxa" w:w="5112"/>
            <w:vAlign w:val="top"/>
          </w:tcPr>
          <w:p>
            <w:r>
              <w:t>Configuration</w:t>
            </w:r>
          </w:p>
        </w:tc>
        <w:tc>
          <w:tcPr>
            <w:tcW w:type="dxa" w:w="5112"/>
            <w:vAlign w:val="top"/>
          </w:tcPr>
          <w:p>
            <w:r>
              <w:t>Configuration file only; no runtime configuration updates</w:t>
            </w:r>
          </w:p>
        </w:tc>
      </w:tr>
      <w:tr>
        <w:tc>
          <w:tcPr>
            <w:tcW w:type="dxa" w:w="5112"/>
            <w:vAlign w:val="top"/>
          </w:tcPr>
          <w:p>
            <w:r>
              <w:t>Logging</w:t>
            </w:r>
          </w:p>
        </w:tc>
        <w:tc>
          <w:tcPr>
            <w:tcW w:type="dxa" w:w="5112"/>
            <w:vAlign w:val="top"/>
          </w:tcPr>
          <w:p>
            <w:r>
              <w:t>Centralized logging / console-visible runtime results</w:t>
            </w:r>
          </w:p>
        </w:tc>
      </w:tr>
      <w:tr>
        <w:tc>
          <w:tcPr>
            <w:tcW w:type="dxa" w:w="5112"/>
            <w:vAlign w:val="top"/>
          </w:tcPr>
          <w:p>
            <w:r>
              <w:t>Platform</w:t>
            </w:r>
          </w:p>
        </w:tc>
        <w:tc>
          <w:tcPr>
            <w:tcW w:type="dxa" w:w="5112"/>
            <w:vAlign w:val="top"/>
          </w:tcPr>
          <w:p>
            <w:r>
              <w:t>Linux</w:t>
            </w:r>
          </w:p>
        </w:tc>
      </w:tr>
      <w:tr>
        <w:tc>
          <w:tcPr>
            <w:tcW w:type="dxa" w:w="5112"/>
            <w:vAlign w:val="top"/>
          </w:tcPr>
          <w:p>
            <w:r>
              <w:t>Application type</w:t>
            </w:r>
          </w:p>
        </w:tc>
        <w:tc>
          <w:tcPr>
            <w:tcW w:type="dxa" w:w="5112"/>
            <w:vAlign w:val="top"/>
          </w:tcPr>
          <w:p>
            <w:r>
              <w:t>Console application</w:t>
            </w:r>
          </w:p>
        </w:tc>
      </w:tr>
      <w:tr>
        <w:tc>
          <w:tcPr>
            <w:tcW w:type="dxa" w:w="5112"/>
            <w:vAlign w:val="top"/>
          </w:tcPr>
          <w:p>
            <w:r>
              <w:t>Recovery model</w:t>
            </w:r>
          </w:p>
        </w:tc>
        <w:tc>
          <w:tcPr>
            <w:tcW w:type="dxa" w:w="5112"/>
            <w:vAlign w:val="top"/>
          </w:tcPr>
          <w:p>
            <w:r>
              <w:t>Restart recovery only; no runtime self-healing or automatic restart</w:t>
            </w:r>
          </w:p>
        </w:tc>
      </w:tr>
    </w:tbl>
    <w:p>
      <w:pPr>
        <w:pStyle w:val="Heading1"/>
      </w:pPr>
      <w:r>
        <w:t>3. M7 GAP Closure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GAP</w:t>
            </w:r>
          </w:p>
        </w:tc>
        <w:tc>
          <w:tcPr>
            <w:tcW w:type="dxa" w:w="3408"/>
            <w:vAlign w:val="center"/>
          </w:tcPr>
          <w:p>
            <w:r>
              <w:rPr>
                <w:b/>
              </w:rPr>
              <w:t>Description</w:t>
            </w:r>
          </w:p>
        </w:tc>
        <w:tc>
          <w:tcPr>
            <w:tcW w:type="dxa" w:w="3408"/>
            <w:vAlign w:val="center"/>
          </w:tcPr>
          <w:p>
            <w:r>
              <w:rPr>
                <w:b/>
              </w:rPr>
              <w:t>Final status</w:t>
            </w:r>
          </w:p>
        </w:tc>
      </w:tr>
      <w:tr>
        <w:tc>
          <w:tcPr>
            <w:tcW w:type="dxa" w:w="3408"/>
            <w:vAlign w:val="top"/>
          </w:tcPr>
          <w:p>
            <w:r>
              <w:t>GAP-031</w:t>
            </w:r>
          </w:p>
        </w:tc>
        <w:tc>
          <w:tcPr>
            <w:tcW w:type="dxa" w:w="3408"/>
            <w:vAlign w:val="top"/>
          </w:tcPr>
          <w:p>
            <w:r>
              <w:t>Failure Validation Baseline</w:t>
            </w:r>
          </w:p>
        </w:tc>
        <w:tc>
          <w:tcPr>
            <w:tcW w:type="dxa" w:w="3408"/>
            <w:vAlign w:val="top"/>
          </w:tcPr>
          <w:p>
            <w:r>
              <w:t>CLOSED / PASS</w:t>
            </w:r>
          </w:p>
        </w:tc>
      </w:tr>
      <w:tr>
        <w:tc>
          <w:tcPr>
            <w:tcW w:type="dxa" w:w="3408"/>
            <w:vAlign w:val="top"/>
          </w:tcPr>
          <w:p>
            <w:r>
              <w:t>GAP-032</w:t>
            </w:r>
          </w:p>
        </w:tc>
        <w:tc>
          <w:tcPr>
            <w:tcW w:type="dxa" w:w="3408"/>
            <w:vAlign w:val="top"/>
          </w:tcPr>
          <w:p>
            <w:r>
              <w:t>Receive-Side Failure Handling</w:t>
            </w:r>
          </w:p>
        </w:tc>
        <w:tc>
          <w:tcPr>
            <w:tcW w:type="dxa" w:w="3408"/>
            <w:vAlign w:val="top"/>
          </w:tcPr>
          <w:p>
            <w:r>
              <w:t>CLOSED / PASS</w:t>
            </w:r>
          </w:p>
        </w:tc>
      </w:tr>
      <w:tr>
        <w:tc>
          <w:tcPr>
            <w:tcW w:type="dxa" w:w="3408"/>
            <w:vAlign w:val="top"/>
          </w:tcPr>
          <w:p>
            <w:r>
              <w:t>GAP-033</w:t>
            </w:r>
          </w:p>
        </w:tc>
        <w:tc>
          <w:tcPr>
            <w:tcW w:type="dxa" w:w="3408"/>
            <w:vAlign w:val="top"/>
          </w:tcPr>
          <w:p>
            <w:r>
              <w:t>Send-Side Failure Handling</w:t>
            </w:r>
          </w:p>
        </w:tc>
        <w:tc>
          <w:tcPr>
            <w:tcW w:type="dxa" w:w="3408"/>
            <w:vAlign w:val="top"/>
          </w:tcPr>
          <w:p>
            <w:r>
              <w:t>CLOSED / PASS</w:t>
            </w:r>
          </w:p>
        </w:tc>
      </w:tr>
      <w:tr>
        <w:tc>
          <w:tcPr>
            <w:tcW w:type="dxa" w:w="3408"/>
            <w:vAlign w:val="top"/>
          </w:tcPr>
          <w:p>
            <w:r>
              <w:t>GAP-034</w:t>
            </w:r>
          </w:p>
        </w:tc>
        <w:tc>
          <w:tcPr>
            <w:tcW w:type="dxa" w:w="3408"/>
            <w:vAlign w:val="top"/>
          </w:tcPr>
          <w:p>
            <w:r>
              <w:t>Malformed Packet Handling</w:t>
            </w:r>
          </w:p>
        </w:tc>
        <w:tc>
          <w:tcPr>
            <w:tcW w:type="dxa" w:w="3408"/>
            <w:vAlign w:val="top"/>
          </w:tcPr>
          <w:p>
            <w:r>
              <w:t>CLOSED / PASS</w:t>
            </w:r>
          </w:p>
        </w:tc>
      </w:tr>
      <w:tr>
        <w:tc>
          <w:tcPr>
            <w:tcW w:type="dxa" w:w="3408"/>
            <w:vAlign w:val="top"/>
          </w:tcPr>
          <w:p>
            <w:r>
              <w:t>GAP-035</w:t>
            </w:r>
          </w:p>
        </w:tc>
        <w:tc>
          <w:tcPr>
            <w:tcW w:type="dxa" w:w="3408"/>
            <w:vAlign w:val="top"/>
          </w:tcPr>
          <w:p>
            <w:r>
              <w:t>Peer Disconnect During Workflow</w:t>
            </w:r>
          </w:p>
        </w:tc>
        <w:tc>
          <w:tcPr>
            <w:tcW w:type="dxa" w:w="3408"/>
            <w:vAlign w:val="top"/>
          </w:tcPr>
          <w:p>
            <w:r>
              <w:t>CLOSED / PASS</w:t>
            </w:r>
          </w:p>
        </w:tc>
      </w:tr>
      <w:tr>
        <w:tc>
          <w:tcPr>
            <w:tcW w:type="dxa" w:w="3408"/>
            <w:vAlign w:val="top"/>
          </w:tcPr>
          <w:p>
            <w:r>
              <w:t>GAP-036</w:t>
            </w:r>
          </w:p>
        </w:tc>
        <w:tc>
          <w:tcPr>
            <w:tcW w:type="dxa" w:w="3408"/>
            <w:vAlign w:val="top"/>
          </w:tcPr>
          <w:p>
            <w:r>
              <w:t>Repeated Connect / Disconnect</w:t>
            </w:r>
          </w:p>
        </w:tc>
        <w:tc>
          <w:tcPr>
            <w:tcW w:type="dxa" w:w="3408"/>
            <w:vAlign w:val="top"/>
          </w:tcPr>
          <w:p>
            <w:r>
              <w:t>CLOSED / PASS</w:t>
            </w:r>
          </w:p>
        </w:tc>
      </w:tr>
      <w:tr>
        <w:tc>
          <w:tcPr>
            <w:tcW w:type="dxa" w:w="3408"/>
            <w:vAlign w:val="top"/>
          </w:tcPr>
          <w:p>
            <w:r>
              <w:t>GAP-037</w:t>
            </w:r>
          </w:p>
        </w:tc>
        <w:tc>
          <w:tcPr>
            <w:tcW w:type="dxa" w:w="3408"/>
            <w:vAlign w:val="top"/>
          </w:tcPr>
          <w:p>
            <w:r>
              <w:t>Resource Cleanup</w:t>
            </w:r>
          </w:p>
        </w:tc>
        <w:tc>
          <w:tcPr>
            <w:tcW w:type="dxa" w:w="3408"/>
            <w:vAlign w:val="top"/>
          </w:tcPr>
          <w:p>
            <w:r>
              <w:t>CLOSED / PASS</w:t>
            </w:r>
          </w:p>
        </w:tc>
      </w:tr>
      <w:tr>
        <w:tc>
          <w:tcPr>
            <w:tcW w:type="dxa" w:w="3408"/>
            <w:vAlign w:val="top"/>
          </w:tcPr>
          <w:p>
            <w:r>
              <w:t>GAP-038</w:t>
            </w:r>
          </w:p>
        </w:tc>
        <w:tc>
          <w:tcPr>
            <w:tcW w:type="dxa" w:w="3408"/>
            <w:vAlign w:val="top"/>
          </w:tcPr>
          <w:p>
            <w:r>
              <w:t>Error Propagation Consistency</w:t>
            </w:r>
          </w:p>
        </w:tc>
        <w:tc>
          <w:tcPr>
            <w:tcW w:type="dxa" w:w="3408"/>
            <w:vAlign w:val="top"/>
          </w:tcPr>
          <w:p>
            <w:r>
              <w:t>CLOSED / PASS</w:t>
            </w:r>
          </w:p>
        </w:tc>
      </w:tr>
      <w:tr>
        <w:tc>
          <w:tcPr>
            <w:tcW w:type="dxa" w:w="3408"/>
            <w:vAlign w:val="top"/>
          </w:tcPr>
          <w:p>
            <w:r>
              <w:t>GAP-039</w:t>
            </w:r>
          </w:p>
        </w:tc>
        <w:tc>
          <w:tcPr>
            <w:tcW w:type="dxa" w:w="3408"/>
            <w:vAlign w:val="top"/>
          </w:tcPr>
          <w:p>
            <w:r>
              <w:t>Recovery / Restart Validation</w:t>
            </w:r>
          </w:p>
        </w:tc>
        <w:tc>
          <w:tcPr>
            <w:tcW w:type="dxa" w:w="3408"/>
            <w:vAlign w:val="top"/>
          </w:tcPr>
          <w:p>
            <w:r>
              <w:t>CLOSED / PASS</w:t>
            </w:r>
          </w:p>
        </w:tc>
      </w:tr>
      <w:tr>
        <w:tc>
          <w:tcPr>
            <w:tcW w:type="dxa" w:w="3408"/>
            <w:vAlign w:val="top"/>
          </w:tcPr>
          <w:p>
            <w:r>
              <w:t>GAP-040</w:t>
            </w:r>
          </w:p>
        </w:tc>
        <w:tc>
          <w:tcPr>
            <w:tcW w:type="dxa" w:w="3408"/>
            <w:vAlign w:val="top"/>
          </w:tcPr>
          <w:p>
            <w:r>
              <w:t>M7 Completion</w:t>
            </w:r>
          </w:p>
        </w:tc>
        <w:tc>
          <w:tcPr>
            <w:tcW w:type="dxa" w:w="3408"/>
            <w:vAlign w:val="top"/>
          </w:tcPr>
          <w:p>
            <w:r>
              <w:t>CLOSED / PASS</w:t>
            </w:r>
          </w:p>
        </w:tc>
      </w:tr>
    </w:tbl>
    <w:p>
      <w:pPr>
        <w:pStyle w:val="Heading1"/>
      </w:pPr>
      <w:r>
        <w:t>4. Detailed GAP Records</w:t>
      </w:r>
    </w:p>
    <w:p>
      <w:pPr>
        <w:pStyle w:val="Heading2"/>
      </w:pPr>
      <w:r>
        <w:t>GAP-031 — Failure Validation Baseline</w:t>
      </w:r>
    </w:p>
    <w:p>
      <w:r>
        <w:t>Objective: Establish the M7 failure/lifecycle validation baseline by identifying the existing failure paths, cleanup behavior, lifecycle states, and reusable runtime evidence before adding new validation logic.</w:t>
      </w:r>
    </w:p>
    <w:p>
      <w:r>
        <w:t>Acceptance criteria</w:t>
      </w:r>
    </w:p>
    <w:p>
      <w:pPr>
        <w:pStyle w:val="ListBullet"/>
      </w:pPr>
      <w:r>
        <w:t>Connection-establishment failure path identified.</w:t>
      </w:r>
    </w:p>
    <w:p>
      <w:pPr>
        <w:pStyle w:val="ListBullet"/>
      </w:pPr>
      <w:r>
        <w:t>Receive-side failure path identified.</w:t>
      </w:r>
    </w:p>
    <w:p>
      <w:pPr>
        <w:pStyle w:val="ListBullet"/>
      </w:pPr>
      <w:r>
        <w:t>Protocol/decode failure path identified.</w:t>
      </w:r>
    </w:p>
    <w:p>
      <w:pPr>
        <w:pStyle w:val="ListBullet"/>
      </w:pPr>
      <w:r>
        <w:t>Dispatch failure path identified.</w:t>
      </w:r>
    </w:p>
    <w:p>
      <w:pPr>
        <w:pStyle w:val="ListBullet"/>
      </w:pPr>
      <w:r>
        <w:t>Send-side failure path identified.</w:t>
      </w:r>
    </w:p>
    <w:p>
      <w:pPr>
        <w:pStyle w:val="ListBullet"/>
      </w:pPr>
      <w:r>
        <w:t>Connection lifecycle states identified.</w:t>
      </w:r>
    </w:p>
    <w:p>
      <w:pPr>
        <w:pStyle w:val="ListBullet"/>
      </w:pPr>
      <w:r>
        <w:t>Centralized cleanup path identified.</w:t>
      </w:r>
    </w:p>
    <w:p>
      <w:pPr>
        <w:pStyle w:val="ListBullet"/>
      </w:pPr>
      <w:r>
        <w:t>Existing failure executables and prior evidence reusable without architecture change.</w:t>
      </w:r>
    </w:p>
    <w:p>
      <w:pPr>
        <w:pStyle w:val="ListBullet"/>
      </w:pPr>
      <w:r>
        <w:t>M7 scope defined within frozen V1 constraints.</w:t>
      </w:r>
    </w:p>
    <w:p>
      <w:r>
        <w:t>Evidence: Existing PacketForge source and prior Phase 6 runtime evidence were reviewed. The baseline covered connection failure, receive failure, protocol/decode failure, dispatch failure, send failure, connection states, centralized cleanup, and restart prerequisites.</w:t>
      </w:r>
    </w:p>
    <w:p>
      <w:r>
        <w:t>Disposition: CLOSED / PASS. GAP-031 established the M7 baseline without requiring a production architecture change.</w:t>
      </w:r>
    </w:p>
    <w:p>
      <w:pPr>
        <w:pStyle w:val="Heading2"/>
      </w:pPr>
      <w:r>
        <w:t>GAP-032 — Receive-Side Failure Handling</w:t>
      </w:r>
    </w:p>
    <w:p>
      <w:r>
        <w:t>Objective: Validate the real server receive-side socket failure path and confirm that the failure is detected, propagated, logged, and followed by cleanup.</w:t>
      </w:r>
    </w:p>
    <w:p>
      <w:r>
        <w:t>Acceptance criteria</w:t>
      </w:r>
    </w:p>
    <w:p>
      <w:pPr>
        <w:pStyle w:val="ListBullet"/>
      </w:pPr>
      <w:r>
        <w:t>Client establishes a valid TCP connection.</w:t>
      </w:r>
    </w:p>
    <w:p>
      <w:pPr>
        <w:pStyle w:val="ListBullet"/>
      </w:pPr>
      <w:r>
        <w:t>Controlled TCP reset is injected.</w:t>
      </w:r>
    </w:p>
    <w:p>
      <w:pPr>
        <w:pStyle w:val="ListBullet"/>
      </w:pPr>
      <w:r>
        <w:t>Server enters the recv() failure path.</w:t>
      </w:r>
    </w:p>
    <w:p>
      <w:pPr>
        <w:pStyle w:val="ListBullet"/>
      </w:pPr>
      <w:r>
        <w:t>SocketError is returned from the transport layer.</w:t>
      </w:r>
    </w:p>
    <w:p>
      <w:pPr>
        <w:pStyle w:val="ListBullet"/>
      </w:pPr>
      <w:r>
        <w:t>Server reports receive failure.</w:t>
      </w:r>
    </w:p>
    <w:p>
      <w:pPr>
        <w:pStyle w:val="ListBullet"/>
      </w:pPr>
      <w:r>
        <w:t>No request dispatch occurs after the failure.</w:t>
      </w:r>
    </w:p>
    <w:p>
      <w:pPr>
        <w:pStyle w:val="ListBullet"/>
      </w:pPr>
      <w:r>
        <w:t>Connection cleanup occurs.</w:t>
      </w:r>
    </w:p>
    <w:p>
      <w:pPr>
        <w:pStyle w:val="ListBullet"/>
      </w:pPr>
      <w:r>
        <w:t>Server terminates with the expected failure status.</w:t>
      </w:r>
    </w:p>
    <w:p>
      <w:r>
        <w:t>Evidence: Dedicated executable bin/packetforge_receive_failure_client injected an abortive TCP reset. Server runtime showed Client connected successfully, Failed to receive packet: Receive failed, Client connection closed, and PacketForge server stopped successfully. Client reported TCP reset injection PASS and exited 0; the server failure execution returned exit 1.</w:t>
      </w:r>
    </w:p>
    <w:p>
      <w:r>
        <w:t>Disposition: CLOSED / PASS.</w:t>
      </w:r>
    </w:p>
    <w:p>
      <w:pPr>
        <w:pStyle w:val="Heading2"/>
      </w:pPr>
      <w:r>
        <w:t>GAP-033 — Send-Side Failure Handling</w:t>
      </w:r>
    </w:p>
    <w:p>
      <w:r>
        <w:t>Objective: Validate transport-level send failure and its propagation through PacketIO, using deterministic peer-reset injection rather than a timing race.</w:t>
      </w:r>
    </w:p>
    <w:p>
      <w:r>
        <w:t>Acceptance criteria</w:t>
      </w:r>
    </w:p>
    <w:p>
      <w:pPr>
        <w:pStyle w:val="ListBullet"/>
      </w:pPr>
      <w:r>
        <w:t>Connected peer is established.</w:t>
      </w:r>
    </w:p>
    <w:p>
      <w:pPr>
        <w:pStyle w:val="ListBullet"/>
      </w:pPr>
      <w:r>
        <w:t>Peer reset is injected before send.</w:t>
      </w:r>
    </w:p>
    <w:p>
      <w:pPr>
        <w:pStyle w:val="ListBullet"/>
      </w:pPr>
      <w:r>
        <w:t>Transport::send() detects the send failure.</w:t>
      </w:r>
    </w:p>
    <w:p>
      <w:pPr>
        <w:pStyle w:val="ListBullet"/>
      </w:pPr>
      <w:r>
        <w:t>SocketError is returned.</w:t>
      </w:r>
    </w:p>
    <w:p>
      <w:pPr>
        <w:pStyle w:val="ListBullet"/>
      </w:pPr>
      <w:r>
        <w:t>PacketIO::send() propagates the transport error.</w:t>
      </w:r>
    </w:p>
    <w:p>
      <w:pPr>
        <w:pStyle w:val="ListBullet"/>
      </w:pPr>
      <w:r>
        <w:t>Failure message is observable.</w:t>
      </w:r>
    </w:p>
    <w:p>
      <w:pPr>
        <w:pStyle w:val="ListBullet"/>
      </w:pPr>
      <w:r>
        <w:t>Connection cleanup is completed.</w:t>
      </w:r>
    </w:p>
    <w:p>
      <w:r>
        <w:t>Evidence: Two deterministic validations were completed. Transport-level testing showed Transport::send() returning SocketError with message Send failed after the peer reset. PacketIO-level testing showed PacketIO::send() returning SocketError with the same failure message, followed by cleanup and DISCONNECTED state. GAP-035 additionally demonstrated the application-level response-send failure during a real server workflow.</w:t>
      </w:r>
    </w:p>
    <w:p>
      <w:r>
        <w:t>Disposition: CLOSED / PASS.</w:t>
      </w:r>
    </w:p>
    <w:p>
      <w:pPr>
        <w:pStyle w:val="Heading2"/>
      </w:pPr>
      <w:r>
        <w:t>GAP-034 — Malformed Packet Handling</w:t>
      </w:r>
    </w:p>
    <w:p>
      <w:r>
        <w:t>Objective: Validate decoder rejection and application propagation for malformed packet inputs without entering normal request processing.</w:t>
      </w:r>
    </w:p>
    <w:p>
      <w:r>
        <w:t>Acceptance criteria</w:t>
      </w:r>
    </w:p>
    <w:p>
      <w:pPr>
        <w:pStyle w:val="ListBullet"/>
      </w:pPr>
      <w:r>
        <w:t>Truncated packet header is rejected.</w:t>
      </w:r>
    </w:p>
    <w:p>
      <w:pPr>
        <w:pStyle w:val="ListBullet"/>
      </w:pPr>
      <w:r>
        <w:t>Invalid magic is rejected.</w:t>
      </w:r>
    </w:p>
    <w:p>
      <w:pPr>
        <w:pStyle w:val="ListBullet"/>
      </w:pPr>
      <w:r>
        <w:t>Payload size mismatch is rejected.</w:t>
      </w:r>
    </w:p>
    <w:p>
      <w:pPr>
        <w:pStyle w:val="ListBullet"/>
      </w:pPr>
      <w:r>
        <w:t>Protocol/decode error is propagated through PacketIO.</w:t>
      </w:r>
    </w:p>
    <w:p>
      <w:pPr>
        <w:pStyle w:val="ListBullet"/>
      </w:pPr>
      <w:r>
        <w:t>Malformed input does not produce a false successful workflow.</w:t>
      </w:r>
    </w:p>
    <w:p>
      <w:r>
        <w:t>Evidence: Dedicated executable bin/packetforge_malformed_packet_client reported Truncated header rejected: PASS, Invalid magic rejected: PASS, Payload size mismatch rejected: PASS, PacketIO malformed-packet propagation: PASS, and GAP-034 malformed packet handling: PASS.</w:t>
      </w:r>
    </w:p>
    <w:p>
      <w:r>
        <w:t>Disposition: CLOSED / PASS.</w:t>
      </w:r>
    </w:p>
    <w:p>
      <w:pPr>
        <w:pStyle w:val="Heading2"/>
      </w:pPr>
      <w:r>
        <w:t>GAP-035 — Peer Disconnect During Workflow</w:t>
      </w:r>
    </w:p>
    <w:p>
      <w:r>
        <w:t>Objective: Validate the server application behavior when the peer disconnects abruptly after request processing and immediately before response transmission.</w:t>
      </w:r>
    </w:p>
    <w:p>
      <w:r>
        <w:t>Acceptance criteria</w:t>
      </w:r>
    </w:p>
    <w:p>
      <w:pPr>
        <w:pStyle w:val="ListBullet"/>
      </w:pPr>
      <w:r>
        <w:t>Client connects and sends a valid HelloRequest.</w:t>
      </w:r>
    </w:p>
    <w:p>
      <w:pPr>
        <w:pStyle w:val="ListBullet"/>
      </w:pPr>
      <w:r>
        <w:t>Server receives and dispatches the request.</w:t>
      </w:r>
    </w:p>
    <w:p>
      <w:pPr>
        <w:pStyle w:val="ListBullet"/>
      </w:pPr>
      <w:r>
        <w:t>Server is deterministically paused at the response-send boundary.</w:t>
      </w:r>
    </w:p>
    <w:p>
      <w:pPr>
        <w:pStyle w:val="ListBullet"/>
      </w:pPr>
      <w:r>
        <w:t>Client injects TCP RST.</w:t>
      </w:r>
    </w:p>
    <w:p>
      <w:pPr>
        <w:pStyle w:val="ListBullet"/>
      </w:pPr>
      <w:r>
        <w:t>Server resumes and attempts response transmission.</w:t>
      </w:r>
    </w:p>
    <w:p>
      <w:pPr>
        <w:pStyle w:val="ListBullet"/>
      </w:pPr>
      <w:r>
        <w:t>Send failure is detected and reported.</w:t>
      </w:r>
    </w:p>
    <w:p>
      <w:pPr>
        <w:pStyle w:val="ListBullet"/>
      </w:pPr>
      <w:r>
        <w:t>No false response success is reported.</w:t>
      </w:r>
    </w:p>
    <w:p>
      <w:pPr>
        <w:pStyle w:val="ListBullet"/>
      </w:pPr>
      <w:r>
        <w:t>Centralized cleanup executes.</w:t>
      </w:r>
    </w:p>
    <w:p>
      <w:pPr>
        <w:pStyle w:val="ListBullet"/>
      </w:pPr>
      <w:r>
        <w:t>Server terminates with the expected failure status.</w:t>
      </w:r>
    </w:p>
    <w:p>
      <w:pPr>
        <w:pStyle w:val="ListBullet"/>
      </w:pPr>
      <w:r>
        <w:t>No uncontrolled termination or hang occurs.</w:t>
      </w:r>
    </w:p>
    <w:p>
      <w:r>
        <w:t>Evidence: Dedicated GAP-035 client and GDB synchronization were used to remove the timing race. The server was stopped at packetIO.send(response); the client then injected SO_LINGER {1,0}. On resume, the server reported Failed to send response packet: Send failed, then Client connection closed and PacketForge server stopped successfully. Client validation reported TCP reset injection PASS and DISCONNECTED state.</w:t>
      </w:r>
    </w:p>
    <w:p>
      <w:r>
        <w:t>Disposition: CLOSED / PASS. No production source change was required.</w:t>
      </w:r>
    </w:p>
    <w:p>
      <w:pPr>
        <w:pStyle w:val="Heading2"/>
      </w:pPr>
      <w:r>
        <w:t>GAP-036 — Repeated Connect / Disconnect</w:t>
      </w:r>
    </w:p>
    <w:p>
      <w:r>
        <w:t>Objective: Validate repeated independent V1 connection lifecycles without turning the single-client V1 server into a persistent multi-client server.</w:t>
      </w:r>
    </w:p>
    <w:p>
      <w:r>
        <w:t>Acceptance criteria</w:t>
      </w:r>
    </w:p>
    <w:p>
      <w:pPr>
        <w:pStyle w:val="ListBullet"/>
      </w:pPr>
      <w:r>
        <w:t>Server instance 1 starts and completes a normal workflow.</w:t>
      </w:r>
    </w:p>
    <w:p>
      <w:pPr>
        <w:pStyle w:val="ListBullet"/>
      </w:pPr>
      <w:r>
        <w:t>Server instance 1 releases resources and terminates.</w:t>
      </w:r>
    </w:p>
    <w:p>
      <w:pPr>
        <w:pStyle w:val="ListBullet"/>
      </w:pPr>
      <w:r>
        <w:t>Server instance 2 binds the same port.</w:t>
      </w:r>
    </w:p>
    <w:p>
      <w:pPr>
        <w:pStyle w:val="ListBullet"/>
      </w:pPr>
      <w:r>
        <w:t>Server instance 2 completes a normal workflow.</w:t>
      </w:r>
    </w:p>
    <w:p>
      <w:pPr>
        <w:pStyle w:val="ListBullet"/>
      </w:pPr>
      <w:r>
        <w:t>Server instance 3 binds the same port.</w:t>
      </w:r>
    </w:p>
    <w:p>
      <w:pPr>
        <w:pStyle w:val="ListBullet"/>
      </w:pPr>
      <w:r>
        <w:t>Server instance 3 completes a normal workflow.</w:t>
      </w:r>
    </w:p>
    <w:p>
      <w:pPr>
        <w:pStyle w:val="ListBullet"/>
      </w:pPr>
      <w:r>
        <w:t>No stale connection or descriptor state affects subsequent runs.</w:t>
      </w:r>
    </w:p>
    <w:p>
      <w:pPr>
        <w:pStyle w:val="ListBullet"/>
      </w:pPr>
      <w:r>
        <w:t>No source modification occurs between cycles.</w:t>
      </w:r>
    </w:p>
    <w:p>
      <w:r>
        <w:t>Evidence: Three independent server/client cycles were executed using the existing successful integration client. Each cycle showed server startup/listening, client Connect PASS, successful HelloRequest/HelloResponse workflow, Disconnect PASS, server connection cleanup, and clean server termination. Port 9090 was successfully reused between cycles.</w:t>
      </w:r>
    </w:p>
    <w:p>
      <w:r>
        <w:t>Disposition: CLOSED / PASS.</w:t>
      </w:r>
    </w:p>
    <w:p>
      <w:pPr>
        <w:pStyle w:val="Heading2"/>
      </w:pPr>
      <w:r>
        <w:t>GAP-037 — Resource Cleanup</w:t>
      </w:r>
    </w:p>
    <w:p>
      <w:r>
        <w:t>Objective: Verify release of accepted sockets, listening sockets, Connection/Transport ownership, server resources, and port state across normal and failure paths.</w:t>
      </w:r>
    </w:p>
    <w:p>
      <w:r>
        <w:t>Acceptance criteria</w:t>
      </w:r>
    </w:p>
    <w:p>
      <w:pPr>
        <w:pStyle w:val="ListBullet"/>
      </w:pPr>
      <w:r>
        <w:t>Successful workflow reaches cleanup.</w:t>
      </w:r>
    </w:p>
    <w:p>
      <w:pPr>
        <w:pStyle w:val="ListBullet"/>
      </w:pPr>
      <w:r>
        <w:t>Accepted client connection is closed.</w:t>
      </w:r>
    </w:p>
    <w:p>
      <w:pPr>
        <w:pStyle w:val="ListBullet"/>
      </w:pPr>
      <w:r>
        <w:t>Connection reaches DISCONNECTED.</w:t>
      </w:r>
    </w:p>
    <w:p>
      <w:pPr>
        <w:pStyle w:val="ListBullet"/>
      </w:pPr>
      <w:r>
        <w:t>Listening socket is closed.</w:t>
      </w:r>
    </w:p>
    <w:p>
      <w:pPr>
        <w:pStyle w:val="ListBullet"/>
      </w:pPr>
      <w:r>
        <w:t>Server stop completes.</w:t>
      </w:r>
    </w:p>
    <w:p>
      <w:pPr>
        <w:pStyle w:val="ListBullet"/>
      </w:pPr>
      <w:r>
        <w:t>Port 9090 can be reused.</w:t>
      </w:r>
    </w:p>
    <w:p>
      <w:pPr>
        <w:pStyle w:val="ListBullet"/>
      </w:pPr>
      <w:r>
        <w:t>Receive failure cleanup is verified.</w:t>
      </w:r>
    </w:p>
    <w:p>
      <w:pPr>
        <w:pStyle w:val="ListBullet"/>
      </w:pPr>
      <w:r>
        <w:t>Send failure cleanup is verified.</w:t>
      </w:r>
    </w:p>
    <w:p>
      <w:pPr>
        <w:pStyle w:val="ListBullet"/>
      </w:pPr>
      <w:r>
        <w:t>Protocol-failure cleanup is supported by runtime and source evidence.</w:t>
      </w:r>
    </w:p>
    <w:p>
      <w:pPr>
        <w:pStyle w:val="ListBullet"/>
      </w:pPr>
      <w:r>
        <w:t>No resource accumulation is observed across repeated runs.</w:t>
      </w:r>
    </w:p>
    <w:p>
      <w:r>
        <w:t>Evidence: Source audit confirmed RAII ownership and centralized application cleanup. Runtime validation confirmed file-descriptor release and port reuse for normal workflow, receive failure, and send failure. Existing GAP-034 protocol-failure runtime plus the centralized cleanup path provided supporting evidence for malformed-packet cleanup. No production architecture or source change was required.</w:t>
      </w:r>
    </w:p>
    <w:p>
      <w:r>
        <w:t>Disposition: CLOSED / PASS. Protocol-failure FD observation was not independently repeated; it is supported by existing GAP-034 runtime evidence and source audit.</w:t>
      </w:r>
    </w:p>
    <w:p>
      <w:pPr>
        <w:pStyle w:val="Heading2"/>
      </w:pPr>
      <w:r>
        <w:t>GAP-038 — Error Propagation Consistency</w:t>
      </w:r>
    </w:p>
    <w:p>
      <w:r>
        <w:t>Objective: Verify that lower-layer errors are detected, represented by the correct error code, propagated to callers, logged, and converted into the expected application behavior without false success.</w:t>
      </w:r>
    </w:p>
    <w:p>
      <w:r>
        <w:t>Acceptance criteria</w:t>
      </w:r>
    </w:p>
    <w:p>
      <w:pPr>
        <w:pStyle w:val="ListBullet"/>
      </w:pPr>
      <w:r>
        <w:t>Connection failures are represented consistently.</w:t>
      </w:r>
    </w:p>
    <w:p>
      <w:pPr>
        <w:pStyle w:val="ListBullet"/>
      </w:pPr>
      <w:r>
        <w:t>Receive failures propagate correctly.</w:t>
      </w:r>
    </w:p>
    <w:p>
      <w:pPr>
        <w:pStyle w:val="ListBullet"/>
      </w:pPr>
      <w:r>
        <w:t>Peer-close errors propagate correctly.</w:t>
      </w:r>
    </w:p>
    <w:p>
      <w:pPr>
        <w:pStyle w:val="ListBullet"/>
      </w:pPr>
      <w:r>
        <w:t>Send failures propagate correctly.</w:t>
      </w:r>
    </w:p>
    <w:p>
      <w:pPr>
        <w:pStyle w:val="ListBullet"/>
      </w:pPr>
      <w:r>
        <w:t>Malformed/decode errors propagate correctly.</w:t>
      </w:r>
    </w:p>
    <w:p>
      <w:pPr>
        <w:pStyle w:val="ListBullet"/>
      </w:pPr>
      <w:r>
        <w:t>Unsupported-version errors propagate correctly.</w:t>
      </w:r>
    </w:p>
    <w:p>
      <w:pPr>
        <w:pStyle w:val="ListBullet"/>
      </w:pPr>
      <w:r>
        <w:t>Serialization errors are mapped correctly.</w:t>
      </w:r>
    </w:p>
    <w:p>
      <w:pPr>
        <w:pStyle w:val="ListBullet"/>
      </w:pPr>
      <w:r>
        <w:t>Application layer checks returned errors.</w:t>
      </w:r>
    </w:p>
    <w:p>
      <w:pPr>
        <w:pStyle w:val="ListBullet"/>
      </w:pPr>
      <w:r>
        <w:t>No false success follows a failure.</w:t>
      </w:r>
    </w:p>
    <w:p>
      <w:pPr>
        <w:pStyle w:val="ListBullet"/>
      </w:pPr>
      <w:r>
        <w:t>Centralized cleanup follows fatal application errors.</w:t>
      </w:r>
    </w:p>
    <w:p>
      <w:r>
        <w:t>Evidence: Source audit covered Socket, Connection, Transport, PacketIO, and server_main error handling. Existing GAP-032, GAP-033, GAP-034, GAP-035, and GAP-037 runtime evidence confirmed the corresponding failure behavior. The application logs errors before entering centralized cleanup and does not report success after a failed operation.</w:t>
      </w:r>
    </w:p>
    <w:p>
      <w:r>
        <w:t>Disposition: CLOSED / PASS. No production source change was required.</w:t>
      </w:r>
    </w:p>
    <w:p>
      <w:pPr>
        <w:pStyle w:val="Heading2"/>
      </w:pPr>
      <w:r>
        <w:t>GAP-039 — Recovery / Restart Validation</w:t>
      </w:r>
    </w:p>
    <w:p>
      <w:r>
        <w:t>Objective: Validate operational restart recovery after a failed server execution: failure detection, cleanup, termination, port release, fresh server startup, new client connection, and successful request/response workflow.</w:t>
      </w:r>
    </w:p>
    <w:p>
      <w:r>
        <w:t>Acceptance criteria</w:t>
      </w:r>
    </w:p>
    <w:p>
      <w:pPr>
        <w:pStyle w:val="ListBullet"/>
      </w:pPr>
      <w:r>
        <w:t>Server #1 starts and binds 127.0.0.1:9090.</w:t>
      </w:r>
    </w:p>
    <w:p>
      <w:pPr>
        <w:pStyle w:val="ListBullet"/>
      </w:pPr>
      <w:r>
        <w:t>Client establishes a connection.</w:t>
      </w:r>
    </w:p>
    <w:p>
      <w:pPr>
        <w:pStyle w:val="ListBullet"/>
      </w:pPr>
      <w:r>
        <w:t>Controlled receive failure is injected.</w:t>
      </w:r>
    </w:p>
    <w:p>
      <w:pPr>
        <w:pStyle w:val="ListBullet"/>
      </w:pPr>
      <w:r>
        <w:t>Server detects and reports the failure.</w:t>
      </w:r>
    </w:p>
    <w:p>
      <w:pPr>
        <w:pStyle w:val="ListBullet"/>
      </w:pPr>
      <w:r>
        <w:t>Centralized cleanup occurs.</w:t>
      </w:r>
    </w:p>
    <w:p>
      <w:pPr>
        <w:pStyle w:val="ListBullet"/>
      </w:pPr>
      <w:r>
        <w:t>Server #1 terminates.</w:t>
      </w:r>
    </w:p>
    <w:p>
      <w:pPr>
        <w:pStyle w:val="ListBullet"/>
      </w:pPr>
      <w:r>
        <w:t>Port 9090 is released.</w:t>
      </w:r>
    </w:p>
    <w:p>
      <w:pPr>
        <w:pStyle w:val="ListBullet"/>
      </w:pPr>
      <w:r>
        <w:t>Server #2 starts as a fresh process.</w:t>
      </w:r>
    </w:p>
    <w:p>
      <w:pPr>
        <w:pStyle w:val="ListBullet"/>
      </w:pPr>
      <w:r>
        <w:t>Server #2 binds 127.0.0.1:9090.</w:t>
      </w:r>
    </w:p>
    <w:p>
      <w:pPr>
        <w:pStyle w:val="ListBullet"/>
      </w:pPr>
      <w:r>
        <w:t>New client establishes a connection.</w:t>
      </w:r>
    </w:p>
    <w:p>
      <w:pPr>
        <w:pStyle w:val="ListBullet"/>
      </w:pPr>
      <w:r>
        <w:t>Normal HelloRequest/HelloResponse workflow completes.</w:t>
      </w:r>
    </w:p>
    <w:p>
      <w:pPr>
        <w:pStyle w:val="ListBullet"/>
      </w:pPr>
      <w:r>
        <w:t>Client disconnects cleanly.</w:t>
      </w:r>
    </w:p>
    <w:p>
      <w:pPr>
        <w:pStyle w:val="ListBullet"/>
      </w:pPr>
      <w:r>
        <w:t>Server #2 terminates normally.</w:t>
      </w:r>
    </w:p>
    <w:p>
      <w:pPr>
        <w:pStyle w:val="ListBullet"/>
      </w:pPr>
      <w:r>
        <w:t>Port 9090 is released again.</w:t>
      </w:r>
    </w:p>
    <w:p>
      <w:r>
        <w:t>Evidence: End-to-end execution used bin/packetforge_receive_failure_client for Server #1 failure and bin/packetforge_integration_success_client for Server #2 recovery. Server #1 logged Failed to receive packet: Receive failed, Client connection closed, and PacketForge server stopped successfully. A fresh Server #2 process successfully bound 9090, processed a HelloRequest, sent a HelloResponse, and stopped with exit 0. Final port check showed 9090 free.</w:t>
      </w:r>
    </w:p>
    <w:p>
      <w:r>
        <w:t>Disposition: CLOSED / PASS. The shell wait check for Server #1 was attempted after the background-job PID variable was no longer available; this was a test-shell issue and did not affect the observed server cleanup, port release, or restart evidence.</w:t>
      </w:r>
    </w:p>
    <w:p>
      <w:pPr>
        <w:pStyle w:val="Heading2"/>
      </w:pPr>
      <w:r>
        <w:t>GAP-040 — M7 Completion</w:t>
      </w:r>
    </w:p>
    <w:p>
      <w:r>
        <w:t>Objective: Confirm that GAP-031 through GAP-039 are addressed, no unresolved M7 functional gap remains based on the executed evidence, and the complete M7 validation remains within the frozen V1 architecture.</w:t>
      </w:r>
    </w:p>
    <w:p>
      <w:r>
        <w:t>Acceptance criteria</w:t>
      </w:r>
    </w:p>
    <w:p>
      <w:pPr>
        <w:pStyle w:val="ListBullet"/>
      </w:pPr>
      <w:r>
        <w:t>GAP-031 through GAP-039 are dispositioned.</w:t>
      </w:r>
    </w:p>
    <w:p>
      <w:pPr>
        <w:pStyle w:val="ListBullet"/>
      </w:pPr>
      <w:r>
        <w:t>Failure handling coverage is complete for the defined M7 scenarios.</w:t>
      </w:r>
    </w:p>
    <w:p>
      <w:pPr>
        <w:pStyle w:val="ListBullet"/>
      </w:pPr>
      <w:r>
        <w:t>Lifecycle and cleanup coverage is complete.</w:t>
      </w:r>
    </w:p>
    <w:p>
      <w:pPr>
        <w:pStyle w:val="ListBullet"/>
      </w:pPr>
      <w:r>
        <w:t>Error propagation and observable application behavior are covered.</w:t>
      </w:r>
    </w:p>
    <w:p>
      <w:pPr>
        <w:pStyle w:val="ListBullet"/>
      </w:pPr>
      <w:r>
        <w:t>Restart recovery is validated.</w:t>
      </w:r>
    </w:p>
    <w:p>
      <w:pPr>
        <w:pStyle w:val="ListBullet"/>
      </w:pPr>
      <w:r>
        <w:t>Known qualifications are explicitly documented.</w:t>
      </w:r>
    </w:p>
    <w:p>
      <w:pPr>
        <w:pStyle w:val="ListBullet"/>
      </w:pPr>
      <w:r>
        <w:t>No unresolved M7 functional gap remains based on the executed evidence.</w:t>
      </w:r>
    </w:p>
    <w:p>
      <w:pPr>
        <w:pStyle w:val="ListBullet"/>
      </w:pPr>
      <w:r>
        <w:t>No frozen V1 architecture constraint was violated.</w:t>
      </w:r>
    </w:p>
    <w:p>
      <w:pPr>
        <w:pStyle w:val="ListBullet"/>
      </w:pPr>
      <w:r>
        <w:t>No M7 activity requires a production architecture change.</w:t>
      </w:r>
    </w:p>
    <w:p>
      <w:pPr>
        <w:pStyle w:val="ListBullet"/>
      </w:pPr>
      <w:r>
        <w:t>M7 scope can be declared complete.</w:t>
      </w:r>
    </w:p>
    <w:p>
      <w:r>
        <w:t>Evidence: GAP-031 through GAP-039 are recorded as CLOSED / PASS. M7 covered failure baseline, receive failure, send failure, malformed packets, peer disconnect during workflow, repeated lifecycle, resource cleanup, error propagation consistency, and restart recovery. The validation remained within the frozen V1 synchronous, single-client architecture. No production architecture changes were introduced.</w:t>
      </w:r>
    </w:p>
    <w:p>
      <w:r>
        <w:t>Disposition: CLOSED / PASS. M7 Failure &amp; Lifecycle Validation is complete.</w:t>
      </w:r>
    </w:p>
    <w:p>
      <w:pPr>
        <w:pStyle w:val="Heading1"/>
      </w:pPr>
      <w:r>
        <w:t>5. M7 Runtime Evidence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Scenario</w:t>
            </w:r>
          </w:p>
        </w:tc>
        <w:tc>
          <w:tcPr>
            <w:tcW w:type="dxa" w:w="2556"/>
            <w:vAlign w:val="center"/>
          </w:tcPr>
          <w:p>
            <w:r>
              <w:rPr>
                <w:b/>
              </w:rPr>
              <w:t>Executable / Path</w:t>
            </w:r>
          </w:p>
        </w:tc>
        <w:tc>
          <w:tcPr>
            <w:tcW w:type="dxa" w:w="2556"/>
            <w:vAlign w:val="center"/>
          </w:tcPr>
          <w:p>
            <w:r>
              <w:rPr>
                <w:b/>
              </w:rPr>
              <w:t>Key evidence</w:t>
            </w:r>
          </w:p>
        </w:tc>
        <w:tc>
          <w:tcPr>
            <w:tcW w:type="dxa" w:w="2556"/>
            <w:vAlign w:val="center"/>
          </w:tcPr>
          <w:p>
            <w:r>
              <w:rPr>
                <w:b/>
              </w:rPr>
              <w:t>Observed exit</w:t>
            </w:r>
          </w:p>
        </w:tc>
      </w:tr>
      <w:tr>
        <w:tc>
          <w:tcPr>
            <w:tcW w:type="dxa" w:w="2556"/>
            <w:vAlign w:val="top"/>
          </w:tcPr>
          <w:p>
            <w:r>
              <w:t>GAP-032</w:t>
            </w:r>
          </w:p>
        </w:tc>
        <w:tc>
          <w:tcPr>
            <w:tcW w:type="dxa" w:w="2556"/>
            <w:vAlign w:val="top"/>
          </w:tcPr>
          <w:p>
            <w:r>
              <w:t>bin/packetforge_receive_failure_client</w:t>
            </w:r>
          </w:p>
        </w:tc>
        <w:tc>
          <w:tcPr>
            <w:tcW w:type="dxa" w:w="2556"/>
            <w:vAlign w:val="top"/>
          </w:tcPr>
          <w:p>
            <w:r>
              <w:t>TCP reset injected; server recv() failure; centralized cleanup</w:t>
            </w:r>
          </w:p>
        </w:tc>
        <w:tc>
          <w:tcPr>
            <w:tcW w:type="dxa" w:w="2556"/>
            <w:vAlign w:val="top"/>
          </w:tcPr>
          <w:p>
            <w:r>
              <w:t>Client 0 / Server 1</w:t>
            </w:r>
          </w:p>
        </w:tc>
      </w:tr>
      <w:tr>
        <w:tc>
          <w:tcPr>
            <w:tcW w:type="dxa" w:w="2556"/>
            <w:vAlign w:val="top"/>
          </w:tcPr>
          <w:p>
            <w:r>
              <w:t>GAP-033</w:t>
            </w:r>
          </w:p>
        </w:tc>
        <w:tc>
          <w:tcPr>
            <w:tcW w:type="dxa" w:w="2556"/>
            <w:vAlign w:val="top"/>
          </w:tcPr>
          <w:p>
            <w:r>
              <w:t>packetforge_transport_send_failure_client; packetforge_packetio_send_failure_client</w:t>
            </w:r>
          </w:p>
        </w:tc>
        <w:tc>
          <w:tcPr>
            <w:tcW w:type="dxa" w:w="2556"/>
            <w:vAlign w:val="top"/>
          </w:tcPr>
          <w:p>
            <w:r>
              <w:t>Transport and PacketIO send failures return SocketError; cleanup verified</w:t>
            </w:r>
          </w:p>
        </w:tc>
        <w:tc>
          <w:tcPr>
            <w:tcW w:type="dxa" w:w="2556"/>
            <w:vAlign w:val="top"/>
          </w:tcPr>
          <w:p>
            <w:r>
              <w:t>Test clients 0</w:t>
            </w:r>
          </w:p>
        </w:tc>
      </w:tr>
      <w:tr>
        <w:tc>
          <w:tcPr>
            <w:tcW w:type="dxa" w:w="2556"/>
            <w:vAlign w:val="top"/>
          </w:tcPr>
          <w:p>
            <w:r>
              <w:t>GAP-034</w:t>
            </w:r>
          </w:p>
        </w:tc>
        <w:tc>
          <w:tcPr>
            <w:tcW w:type="dxa" w:w="2556"/>
            <w:vAlign w:val="top"/>
          </w:tcPr>
          <w:p>
            <w:r>
              <w:t>bin/packetforge_malformed_packet_client</w:t>
            </w:r>
          </w:p>
        </w:tc>
        <w:tc>
          <w:tcPr>
            <w:tcW w:type="dxa" w:w="2556"/>
            <w:vAlign w:val="top"/>
          </w:tcPr>
          <w:p>
            <w:r>
              <w:t>Truncated header, invalid magic, payload mismatch rejected</w:t>
            </w:r>
          </w:p>
        </w:tc>
        <w:tc>
          <w:tcPr>
            <w:tcW w:type="dxa" w:w="2556"/>
            <w:vAlign w:val="top"/>
          </w:tcPr>
          <w:p>
            <w:r>
              <w:t>Test client 0</w:t>
            </w:r>
          </w:p>
        </w:tc>
      </w:tr>
      <w:tr>
        <w:tc>
          <w:tcPr>
            <w:tcW w:type="dxa" w:w="2556"/>
            <w:vAlign w:val="top"/>
          </w:tcPr>
          <w:p>
            <w:r>
              <w:t>GAP-035</w:t>
            </w:r>
          </w:p>
        </w:tc>
        <w:tc>
          <w:tcPr>
            <w:tcW w:type="dxa" w:w="2556"/>
            <w:vAlign w:val="top"/>
          </w:tcPr>
          <w:p>
            <w:r>
              <w:t>bin/packetforge_gap035_client + packetforge_server under GDB</w:t>
            </w:r>
          </w:p>
        </w:tc>
        <w:tc>
          <w:tcPr>
            <w:tcW w:type="dxa" w:w="2556"/>
            <w:vAlign w:val="top"/>
          </w:tcPr>
          <w:p>
            <w:r>
              <w:t>RST immediately before response send; server detects Send failed</w:t>
            </w:r>
          </w:p>
        </w:tc>
        <w:tc>
          <w:tcPr>
            <w:tcW w:type="dxa" w:w="2556"/>
            <w:vAlign w:val="top"/>
          </w:tcPr>
          <w:p>
            <w:r>
              <w:t>Client 0 / Server 1</w:t>
            </w:r>
          </w:p>
        </w:tc>
      </w:tr>
      <w:tr>
        <w:tc>
          <w:tcPr>
            <w:tcW w:type="dxa" w:w="2556"/>
            <w:vAlign w:val="top"/>
          </w:tcPr>
          <w:p>
            <w:r>
              <w:t>GAP-036</w:t>
            </w:r>
          </w:p>
        </w:tc>
        <w:tc>
          <w:tcPr>
            <w:tcW w:type="dxa" w:w="2556"/>
            <w:vAlign w:val="top"/>
          </w:tcPr>
          <w:p>
            <w:r>
              <w:t>bin/packetforge_integration_success_client</w:t>
            </w:r>
          </w:p>
        </w:tc>
        <w:tc>
          <w:tcPr>
            <w:tcW w:type="dxa" w:w="2556"/>
            <w:vAlign w:val="top"/>
          </w:tcPr>
          <w:p>
            <w:r>
              <w:t>Three independent connect/workflow/disconnect cycles</w:t>
            </w:r>
          </w:p>
        </w:tc>
        <w:tc>
          <w:tcPr>
            <w:tcW w:type="dxa" w:w="2556"/>
            <w:vAlign w:val="top"/>
          </w:tcPr>
          <w:p>
            <w:r>
              <w:t>All tested cycles PASS</w:t>
            </w:r>
          </w:p>
        </w:tc>
      </w:tr>
      <w:tr>
        <w:tc>
          <w:tcPr>
            <w:tcW w:type="dxa" w:w="2556"/>
            <w:vAlign w:val="top"/>
          </w:tcPr>
          <w:p>
            <w:r>
              <w:t>GAP-037</w:t>
            </w:r>
          </w:p>
        </w:tc>
        <w:tc>
          <w:tcPr>
            <w:tcW w:type="dxa" w:w="2556"/>
            <w:vAlign w:val="top"/>
          </w:tcPr>
          <w:p>
            <w:r>
              <w:t>packetforge_server + GAP failure clients</w:t>
            </w:r>
          </w:p>
        </w:tc>
        <w:tc>
          <w:tcPr>
            <w:tcW w:type="dxa" w:w="2556"/>
            <w:vAlign w:val="top"/>
          </w:tcPr>
          <w:p>
            <w:r>
              <w:t>FD/resource cleanup and port reuse observed</w:t>
            </w:r>
          </w:p>
        </w:tc>
        <w:tc>
          <w:tcPr>
            <w:tcW w:type="dxa" w:w="2556"/>
            <w:vAlign w:val="top"/>
          </w:tcPr>
          <w:p>
            <w:r>
              <w:t>Normal/failure paths validated</w:t>
            </w:r>
          </w:p>
        </w:tc>
      </w:tr>
      <w:tr>
        <w:tc>
          <w:tcPr>
            <w:tcW w:type="dxa" w:w="2556"/>
            <w:vAlign w:val="top"/>
          </w:tcPr>
          <w:p>
            <w:r>
              <w:t>GAP-038</w:t>
            </w:r>
          </w:p>
        </w:tc>
        <w:tc>
          <w:tcPr>
            <w:tcW w:type="dxa" w:w="2556"/>
            <w:vAlign w:val="top"/>
          </w:tcPr>
          <w:p>
            <w:r>
              <w:t>Source audit + GAP-032 through GAP-037 evidence</w:t>
            </w:r>
          </w:p>
        </w:tc>
        <w:tc>
          <w:tcPr>
            <w:tcW w:type="dxa" w:w="2556"/>
            <w:vAlign w:val="top"/>
          </w:tcPr>
          <w:p>
            <w:r>
              <w:t>Lower-layer errors propagate to application and cleanup</w:t>
            </w:r>
          </w:p>
        </w:tc>
        <w:tc>
          <w:tcPr>
            <w:tcW w:type="dxa" w:w="2556"/>
            <w:vAlign w:val="top"/>
          </w:tcPr>
          <w:p>
            <w:r>
              <w:t>Behavior consistent with expected outcomes</w:t>
            </w:r>
          </w:p>
        </w:tc>
      </w:tr>
      <w:tr>
        <w:tc>
          <w:tcPr>
            <w:tcW w:type="dxa" w:w="2556"/>
            <w:vAlign w:val="top"/>
          </w:tcPr>
          <w:p>
            <w:r>
              <w:t>GAP-039</w:t>
            </w:r>
          </w:p>
        </w:tc>
        <w:tc>
          <w:tcPr>
            <w:tcW w:type="dxa" w:w="2556"/>
            <w:vAlign w:val="top"/>
          </w:tcPr>
          <w:p>
            <w:r>
              <w:t>packetforge_receive_failure_client + packetforge_integration_success_client</w:t>
            </w:r>
          </w:p>
        </w:tc>
        <w:tc>
          <w:tcPr>
            <w:tcW w:type="dxa" w:w="2556"/>
            <w:vAlign w:val="top"/>
          </w:tcPr>
          <w:p>
            <w:r>
              <w:t>Failure → cleanup → port release → fresh server → successful workflow</w:t>
            </w:r>
          </w:p>
        </w:tc>
        <w:tc>
          <w:tcPr>
            <w:tcW w:type="dxa" w:w="2556"/>
            <w:vAlign w:val="top"/>
          </w:tcPr>
          <w:p>
            <w:r>
              <w:t>Server #2 0; client #2 0</w:t>
            </w:r>
          </w:p>
        </w:tc>
      </w:tr>
    </w:tbl>
    <w:p>
      <w:pPr>
        <w:pStyle w:val="Heading1"/>
      </w:pPr>
      <w:r>
        <w:t>6. Failure / Lifecycle Coverage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Validation area</w:t>
            </w:r>
          </w:p>
        </w:tc>
        <w:tc>
          <w:tcPr>
            <w:tcW w:type="dxa" w:w="3408"/>
            <w:vAlign w:val="center"/>
          </w:tcPr>
          <w:p>
            <w:r>
              <w:rPr>
                <w:b/>
              </w:rPr>
              <w:t>Covered by</w:t>
            </w:r>
          </w:p>
        </w:tc>
        <w:tc>
          <w:tcPr>
            <w:tcW w:type="dxa" w:w="3408"/>
            <w:vAlign w:val="center"/>
          </w:tcPr>
          <w:p>
            <w:r>
              <w:rPr>
                <w:b/>
              </w:rPr>
              <w:t>Result</w:t>
            </w:r>
          </w:p>
        </w:tc>
      </w:tr>
      <w:tr>
        <w:tc>
          <w:tcPr>
            <w:tcW w:type="dxa" w:w="3408"/>
            <w:vAlign w:val="top"/>
          </w:tcPr>
          <w:p>
            <w:r>
              <w:t>Connection establishment failure</w:t>
            </w:r>
          </w:p>
        </w:tc>
        <w:tc>
          <w:tcPr>
            <w:tcW w:type="dxa" w:w="3408"/>
            <w:vAlign w:val="top"/>
          </w:tcPr>
          <w:p>
            <w:r>
              <w:t>GAP-031 / GAP-038 and prior Phase 6 evidence</w:t>
            </w:r>
          </w:p>
        </w:tc>
        <w:tc>
          <w:tcPr>
            <w:tcW w:type="dxa" w:w="3408"/>
            <w:vAlign w:val="top"/>
          </w:tcPr>
          <w:p>
            <w:r>
              <w:t>PASS</w:t>
            </w:r>
          </w:p>
        </w:tc>
      </w:tr>
      <w:tr>
        <w:tc>
          <w:tcPr>
            <w:tcW w:type="dxa" w:w="3408"/>
            <w:vAlign w:val="top"/>
          </w:tcPr>
          <w:p>
            <w:r>
              <w:t>Receive-side socket failure</w:t>
            </w:r>
          </w:p>
        </w:tc>
        <w:tc>
          <w:tcPr>
            <w:tcW w:type="dxa" w:w="3408"/>
            <w:vAlign w:val="top"/>
          </w:tcPr>
          <w:p>
            <w:r>
              <w:t>GAP-032</w:t>
            </w:r>
          </w:p>
        </w:tc>
        <w:tc>
          <w:tcPr>
            <w:tcW w:type="dxa" w:w="3408"/>
            <w:vAlign w:val="top"/>
          </w:tcPr>
          <w:p>
            <w:r>
              <w:t>PASS</w:t>
            </w:r>
          </w:p>
        </w:tc>
      </w:tr>
      <w:tr>
        <w:tc>
          <w:tcPr>
            <w:tcW w:type="dxa" w:w="3408"/>
            <w:vAlign w:val="top"/>
          </w:tcPr>
          <w:p>
            <w:r>
              <w:t>Send-side transport failure</w:t>
            </w:r>
          </w:p>
        </w:tc>
        <w:tc>
          <w:tcPr>
            <w:tcW w:type="dxa" w:w="3408"/>
            <w:vAlign w:val="top"/>
          </w:tcPr>
          <w:p>
            <w:r>
              <w:t>GAP-033</w:t>
            </w:r>
          </w:p>
        </w:tc>
        <w:tc>
          <w:tcPr>
            <w:tcW w:type="dxa" w:w="3408"/>
            <w:vAlign w:val="top"/>
          </w:tcPr>
          <w:p>
            <w:r>
              <w:t>PASS</w:t>
            </w:r>
          </w:p>
        </w:tc>
      </w:tr>
      <w:tr>
        <w:tc>
          <w:tcPr>
            <w:tcW w:type="dxa" w:w="3408"/>
            <w:vAlign w:val="top"/>
          </w:tcPr>
          <w:p>
            <w:r>
              <w:t>Malformed / decode failure</w:t>
            </w:r>
          </w:p>
        </w:tc>
        <w:tc>
          <w:tcPr>
            <w:tcW w:type="dxa" w:w="3408"/>
            <w:vAlign w:val="top"/>
          </w:tcPr>
          <w:p>
            <w:r>
              <w:t>GAP-034</w:t>
            </w:r>
          </w:p>
        </w:tc>
        <w:tc>
          <w:tcPr>
            <w:tcW w:type="dxa" w:w="3408"/>
            <w:vAlign w:val="top"/>
          </w:tcPr>
          <w:p>
            <w:r>
              <w:t>PASS</w:t>
            </w:r>
          </w:p>
        </w:tc>
      </w:tr>
      <w:tr>
        <w:tc>
          <w:tcPr>
            <w:tcW w:type="dxa" w:w="3408"/>
            <w:vAlign w:val="top"/>
          </w:tcPr>
          <w:p>
            <w:r>
              <w:t>Peer disconnect during active workflow</w:t>
            </w:r>
          </w:p>
        </w:tc>
        <w:tc>
          <w:tcPr>
            <w:tcW w:type="dxa" w:w="3408"/>
            <w:vAlign w:val="top"/>
          </w:tcPr>
          <w:p>
            <w:r>
              <w:t>GAP-035</w:t>
            </w:r>
          </w:p>
        </w:tc>
        <w:tc>
          <w:tcPr>
            <w:tcW w:type="dxa" w:w="3408"/>
            <w:vAlign w:val="top"/>
          </w:tcPr>
          <w:p>
            <w:r>
              <w:t>PASS</w:t>
            </w:r>
          </w:p>
        </w:tc>
      </w:tr>
      <w:tr>
        <w:tc>
          <w:tcPr>
            <w:tcW w:type="dxa" w:w="3408"/>
            <w:vAlign w:val="top"/>
          </w:tcPr>
          <w:p>
            <w:r>
              <w:t>Repeated independent lifecycle</w:t>
            </w:r>
          </w:p>
        </w:tc>
        <w:tc>
          <w:tcPr>
            <w:tcW w:type="dxa" w:w="3408"/>
            <w:vAlign w:val="top"/>
          </w:tcPr>
          <w:p>
            <w:r>
              <w:t>GAP-036</w:t>
            </w:r>
          </w:p>
        </w:tc>
        <w:tc>
          <w:tcPr>
            <w:tcW w:type="dxa" w:w="3408"/>
            <w:vAlign w:val="top"/>
          </w:tcPr>
          <w:p>
            <w:r>
              <w:t>PASS</w:t>
            </w:r>
          </w:p>
        </w:tc>
      </w:tr>
      <w:tr>
        <w:tc>
          <w:tcPr>
            <w:tcW w:type="dxa" w:w="3408"/>
            <w:vAlign w:val="top"/>
          </w:tcPr>
          <w:p>
            <w:r>
              <w:t>Resource cleanup / port reuse</w:t>
            </w:r>
          </w:p>
        </w:tc>
        <w:tc>
          <w:tcPr>
            <w:tcW w:type="dxa" w:w="3408"/>
            <w:vAlign w:val="top"/>
          </w:tcPr>
          <w:p>
            <w:r>
              <w:t>GAP-037</w:t>
            </w:r>
          </w:p>
        </w:tc>
        <w:tc>
          <w:tcPr>
            <w:tcW w:type="dxa" w:w="3408"/>
            <w:vAlign w:val="top"/>
          </w:tcPr>
          <w:p>
            <w:r>
              <w:t>PASS</w:t>
            </w:r>
          </w:p>
        </w:tc>
      </w:tr>
      <w:tr>
        <w:tc>
          <w:tcPr>
            <w:tcW w:type="dxa" w:w="3408"/>
            <w:vAlign w:val="top"/>
          </w:tcPr>
          <w:p>
            <w:r>
              <w:t>Error propagation consistency</w:t>
            </w:r>
          </w:p>
        </w:tc>
        <w:tc>
          <w:tcPr>
            <w:tcW w:type="dxa" w:w="3408"/>
            <w:vAlign w:val="top"/>
          </w:tcPr>
          <w:p>
            <w:r>
              <w:t>GAP-038</w:t>
            </w:r>
          </w:p>
        </w:tc>
        <w:tc>
          <w:tcPr>
            <w:tcW w:type="dxa" w:w="3408"/>
            <w:vAlign w:val="top"/>
          </w:tcPr>
          <w:p>
            <w:r>
              <w:t>PASS</w:t>
            </w:r>
          </w:p>
        </w:tc>
      </w:tr>
      <w:tr>
        <w:tc>
          <w:tcPr>
            <w:tcW w:type="dxa" w:w="3408"/>
            <w:vAlign w:val="top"/>
          </w:tcPr>
          <w:p>
            <w:r>
              <w:t>Restart / recovery</w:t>
            </w:r>
          </w:p>
        </w:tc>
        <w:tc>
          <w:tcPr>
            <w:tcW w:type="dxa" w:w="3408"/>
            <w:vAlign w:val="top"/>
          </w:tcPr>
          <w:p>
            <w:r>
              <w:t>GAP-039</w:t>
            </w:r>
          </w:p>
        </w:tc>
        <w:tc>
          <w:tcPr>
            <w:tcW w:type="dxa" w:w="3408"/>
            <w:vAlign w:val="top"/>
          </w:tcPr>
          <w:p>
            <w:r>
              <w:t>PASS</w:t>
            </w:r>
          </w:p>
        </w:tc>
      </w:tr>
      <w:tr>
        <w:tc>
          <w:tcPr>
            <w:tcW w:type="dxa" w:w="3408"/>
            <w:vAlign w:val="top"/>
          </w:tcPr>
          <w:p>
            <w:r>
              <w:t>M7 completeness</w:t>
            </w:r>
          </w:p>
        </w:tc>
        <w:tc>
          <w:tcPr>
            <w:tcW w:type="dxa" w:w="3408"/>
            <w:vAlign w:val="top"/>
          </w:tcPr>
          <w:p>
            <w:r>
              <w:t>GAP-040</w:t>
            </w:r>
          </w:p>
        </w:tc>
        <w:tc>
          <w:tcPr>
            <w:tcW w:type="dxa" w:w="3408"/>
            <w:vAlign w:val="top"/>
          </w:tcPr>
          <w:p>
            <w:r>
              <w:t>PASS</w:t>
            </w:r>
          </w:p>
        </w:tc>
      </w:tr>
    </w:tbl>
    <w:p>
      <w:pPr>
        <w:pStyle w:val="Heading1"/>
      </w:pPr>
      <w:r>
        <w:t>7. Known Limitations / Qualifications</w:t>
      </w:r>
    </w:p>
    <w:p>
      <w:r>
        <w:t>The normal packetforge_server execution model still presents Press ENTER to disconnect... before clean shutdown on the successful workflow. In the GAP-039 recovery execution, stdin was redirected to /dev/null so that the existing application could complete its normal shutdown path without interactive input. This is a test automation/lifecycle consideration, not a V1 architecture defect.</w:t>
      </w:r>
    </w:p>
    <w:p>
      <w:r>
        <w:t>GAP-037 did not repeat an independent file-descriptor observation specifically for the malformed-packet path. Protocol-failure cleanup is supported by the existing GAP-034 runtime validation together with the source-level centralized cleanup audit. This qualification should remain visible rather than being presented as a separate fresh runtime observation.</w:t>
      </w:r>
    </w:p>
    <w:p>
      <w:r>
        <w:t>During GAP-039, an explicit wait for Server #1 was attempted after the shell variable containing its PID was no longer available, producing a shell-level wait error. This did not indicate a PacketForge process failure: the Server #1 log showed the expected failure, connection cleanup, and server stop; port 9090 was free before the fresh Server #2 was started.</w:t>
      </w:r>
    </w:p>
    <w:p>
      <w:r>
        <w:t>GAP-033's original application-level response-send failure experiment was timing-sensitive. The final closure evidence therefore used deterministic transport/PacketIO failure injection and the GDB-synchronized GAP-035 workflow test. No production implementation change was required.</w:t>
      </w:r>
    </w:p>
    <w:p>
      <w:r>
        <w:t>M7 validates restart recovery, not automatic runtime self-healing. Automatic reconnection, automatic server restart, multi-client persistence, failover, checkpoint restoration, and persistent state recovery remain outside the frozen V1 scope.</w:t>
      </w:r>
    </w:p>
    <w:p>
      <w:pPr>
        <w:pStyle w:val="Heading1"/>
      </w:pPr>
      <w:r>
        <w:t>8. M7 Final Disposition</w:t>
      </w:r>
    </w:p>
    <w:p>
      <w:r>
        <w:t>M7 — Failure &amp; Lifecycle Validation: COMPLETE / PASS</w:t>
      </w:r>
    </w:p>
    <w:p>
      <w:r>
        <w:t>All M7 GAPs, GAP-031 through GAP-040, are recorded as CLOSED / PASS. M7 validation covered failure detection, receive/send failure handling, malformed packet handling, peer disconnect during an active workflow, repeated independent lifecycles, resource cleanup, error propagation consistency, and restart recovery. No M7 activity required a change to the frozen PacketForge V1 architecture.</w:t>
      </w:r>
    </w:p>
    <w:p>
      <w:r>
        <w:t>GAP-031  CLOSED / PASS</w:t>
      </w:r>
    </w:p>
    <w:p>
      <w:r>
        <w:t>GAP-032  CLOSED / PASS</w:t>
      </w:r>
    </w:p>
    <w:p>
      <w:r>
        <w:t>GAP-033  CLOSED / PASS</w:t>
      </w:r>
    </w:p>
    <w:p>
      <w:r>
        <w:t>GAP-034  CLOSED / PASS</w:t>
      </w:r>
    </w:p>
    <w:p>
      <w:r>
        <w:t>GAP-035  CLOSED / PASS</w:t>
      </w:r>
    </w:p>
    <w:p>
      <w:r>
        <w:t>GAP-036  CLOSED / PASS</w:t>
      </w:r>
    </w:p>
    <w:p>
      <w:r>
        <w:t>GAP-037  CLOSED / PASS</w:t>
      </w:r>
    </w:p>
    <w:p>
      <w:r>
        <w:t>GAP-038  CLOSED / PASS</w:t>
      </w:r>
    </w:p>
    <w:p>
      <w:r>
        <w:t>GAP-039  CLOSED / PASS</w:t>
      </w:r>
    </w:p>
    <w:p>
      <w:r>
        <w:t>GAP-040  CLOSED / PASS</w:t>
      </w:r>
    </w:p>
    <w:p>
      <w:r/>
    </w:p>
    <w:p>
      <w:r>
        <w:t>M7        COMPLETE</w:t>
      </w:r>
    </w:p>
    <w:p>
      <w:pPr>
        <w:pStyle w:val="Heading1"/>
      </w:pPr>
      <w:r>
        <w:t>9. Review / Sign-off</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Role</w:t>
            </w:r>
          </w:p>
        </w:tc>
        <w:tc>
          <w:tcPr>
            <w:tcW w:type="dxa" w:w="3408"/>
            <w:vAlign w:val="center"/>
          </w:tcPr>
          <w:p>
            <w:r>
              <w:rPr>
                <w:b/>
              </w:rPr>
              <w:t>Name</w:t>
            </w:r>
          </w:p>
        </w:tc>
        <w:tc>
          <w:tcPr>
            <w:tcW w:type="dxa" w:w="3408"/>
            <w:vAlign w:val="center"/>
          </w:tcPr>
          <w:p>
            <w:r>
              <w:rPr>
                <w:b/>
              </w:rPr>
              <w:t>Status / Date</w:t>
            </w:r>
          </w:p>
        </w:tc>
      </w:tr>
      <w:tr>
        <w:tc>
          <w:tcPr>
            <w:tcW w:type="dxa" w:w="3408"/>
            <w:vAlign w:val="top"/>
          </w:tcPr>
          <w:p>
            <w:r>
              <w:t>Author / Engineering</w:t>
            </w:r>
          </w:p>
        </w:tc>
        <w:tc>
          <w:tcPr>
            <w:tcW w:type="dxa" w:w="3408"/>
            <w:vAlign w:val="top"/>
          </w:tcPr>
          <w:p>
            <w:r>
              <w:t>Mohan</w:t>
            </w:r>
          </w:p>
        </w:tc>
        <w:tc>
          <w:tcPr>
            <w:tcW w:type="dxa" w:w="3408"/>
            <w:vAlign w:val="top"/>
          </w:tcPr>
          <w:p>
            <w:r>
              <w:t>Draft v0.1 / 27-Sep-2026</w:t>
            </w:r>
          </w:p>
        </w:tc>
      </w:tr>
      <w:tr>
        <w:tc>
          <w:tcPr>
            <w:tcW w:type="dxa" w:w="3408"/>
            <w:vAlign w:val="top"/>
          </w:tcPr>
          <w:p>
            <w:r>
              <w:t>Technical review</w:t>
            </w:r>
          </w:p>
        </w:tc>
        <w:tc>
          <w:tcPr>
            <w:tcW w:type="dxa" w:w="3408"/>
            <w:vAlign w:val="top"/>
          </w:tcPr>
          <w:p>
            <w:r>
              <w:t>TBD</w:t>
            </w:r>
          </w:p>
        </w:tc>
        <w:tc>
          <w:tcPr>
            <w:tcW w:type="dxa" w:w="3408"/>
            <w:vAlign w:val="top"/>
          </w:tcPr>
          <w:p>
            <w:r>
              <w:t>Pending review</w:t>
            </w:r>
          </w:p>
        </w:tc>
      </w:tr>
      <w:tr>
        <w:tc>
          <w:tcPr>
            <w:tcW w:type="dxa" w:w="3408"/>
            <w:vAlign w:val="top"/>
          </w:tcPr>
          <w:p>
            <w:r>
              <w:t>Project / Architecture approval</w:t>
            </w:r>
          </w:p>
        </w:tc>
        <w:tc>
          <w:tcPr>
            <w:tcW w:type="dxa" w:w="3408"/>
            <w:vAlign w:val="top"/>
          </w:tcPr>
          <w:p>
            <w:r>
              <w:t>TBD</w:t>
            </w:r>
          </w:p>
        </w:tc>
        <w:tc>
          <w:tcPr>
            <w:tcW w:type="dxa" w:w="3408"/>
            <w:vAlign w:val="top"/>
          </w:tcPr>
          <w:p>
            <w:r>
              <w:t>Pending approval</w:t>
            </w:r>
          </w:p>
        </w:tc>
      </w:tr>
    </w:tbl>
    <w:p>
      <w:r/>
    </w:p>
    <w:p>
      <w:r>
        <w:t>End of draft.</w:t>
      </w:r>
    </w:p>
    <w:p>
      <w:r>
        <w:t>Draft v0.1 | 27 September 2026</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Draft v0.1 | 26 September 2026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PacketForge V1.0 | M6 Integration Test Suite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