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pBdr>
          <w:top w:val="nil"/>
          <w:left w:val="nil"/>
          <w:bottom w:val="nil"/>
          <w:right w:val="nil"/>
          <w:between w:val="nil"/>
        </w:pBdr>
      </w:pPr>
      <w:r>
        <w:t>学术成果分享平台</w:t>
        <w:br/>
        <w:t>现成调研统计报告</w:t>
      </w:r>
    </w:p>
    <w:p>
      <w:pPr>
        <w:spacing w:after="240"/>
      </w:pPr>
      <w:r>
        <w:rPr>
          <w:rFonts w:ascii="Aptos" w:hAnsi="Aptos" w:eastAsia="Microsoft YaHei"/>
          <w:b w:val="0"/>
          <w:color w:val="5C6877"/>
          <w:sz w:val="21"/>
        </w:rPr>
        <w:t>课程实践需求调研支撑材料  |  2026年10月修订</w:t>
      </w:r>
    </w:p>
    <w:p>
      <w:pPr>
        <w:spacing w:after="16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本报告汇总可追溯的公开二手研究，用于辅助识别学术成果分享平台的需求。各研究的抽样对象、时间与统计口径不同，不能相加为统一样本，也不能据此推断本校用户的实际比例。当前较有依据的设计关注点是成果发现与展示、维护负担和指标可解释性；具体优先级仍须与课程任务边界和本组需求文档共同判断。</w:t>
      </w:r>
    </w:p>
    <w:p>
      <w:pPr>
        <w:pStyle w:val="Heading1"/>
      </w:pPr>
      <w:r>
        <w:t>核心结论</w:t>
      </w:r>
    </w:p>
    <w:p>
      <w:pPr>
        <w:pStyle w:val="ListBullet"/>
        <w:spacing w:after="60"/>
      </w:pPr>
      <w:r>
        <w:rPr>
          <w:rFonts w:ascii="Aptos" w:hAnsi="Aptos" w:eastAsia="Microsoft YaHei"/>
          <w:b/>
          <w:color w:val="232A34"/>
          <w:sz w:val="21"/>
        </w:rPr>
        <w:t>成果发现优先。</w:t>
      </w:r>
      <w:r>
        <w:rPr>
          <w:rFonts w:ascii="Aptos" w:hAnsi="Aptos" w:eastAsia="Microsoft YaHei"/>
          <w:b w:val="0"/>
          <w:color w:val="232A34"/>
          <w:sz w:val="21"/>
        </w:rPr>
        <w:t>科研人员主要使用平台查找、分享和展示成果，深度问答与评论的使用率较低。</w:t>
      </w:r>
    </w:p>
    <w:p>
      <w:pPr>
        <w:pStyle w:val="ListBullet"/>
        <w:spacing w:after="60"/>
      </w:pPr>
      <w:r>
        <w:rPr>
          <w:rFonts w:ascii="Aptos" w:hAnsi="Aptos" w:eastAsia="Microsoft YaHei"/>
          <w:b/>
          <w:color w:val="232A34"/>
          <w:sz w:val="21"/>
        </w:rPr>
        <w:t>维护成本必须低。</w:t>
      </w:r>
      <w:r>
        <w:rPr>
          <w:rFonts w:ascii="Aptos" w:hAnsi="Aptos" w:eastAsia="Microsoft YaHei"/>
          <w:b w:val="0"/>
          <w:color w:val="232A34"/>
          <w:sz w:val="21"/>
        </w:rPr>
        <w:t>在一项ResearchGate调查中，83%的受访者每周检索或浏览该平台不足1小时，94%每周维护个人主页不足1小时；这不是对全部平台的统一估计。</w:t>
      </w:r>
    </w:p>
    <w:p>
      <w:pPr>
        <w:pStyle w:val="ListBullet"/>
        <w:spacing w:after="60"/>
      </w:pPr>
      <w:r>
        <w:rPr>
          <w:rFonts w:ascii="Aptos" w:hAnsi="Aptos" w:eastAsia="Microsoft YaHei"/>
          <w:b/>
          <w:color w:val="232A34"/>
          <w:sz w:val="21"/>
        </w:rPr>
        <w:t>可信性高于功能数量。</w:t>
      </w:r>
      <w:r>
        <w:rPr>
          <w:rFonts w:ascii="Aptos" w:hAnsi="Aptos" w:eastAsia="Microsoft YaHei"/>
          <w:b w:val="0"/>
          <w:color w:val="232A34"/>
          <w:sz w:val="21"/>
        </w:rPr>
        <w:t>作者消歧、成果归属、来源追踪和统计口径透明直接影响平台可信度。</w:t>
      </w:r>
    </w:p>
    <w:p>
      <w:pPr>
        <w:pStyle w:val="ListBullet"/>
        <w:spacing w:after="60"/>
      </w:pPr>
      <w:r>
        <w:rPr>
          <w:rFonts w:ascii="Aptos" w:hAnsi="Aptos" w:eastAsia="Microsoft YaHei"/>
          <w:b/>
          <w:color w:val="232A34"/>
          <w:sz w:val="21"/>
        </w:rPr>
        <w:t>评价指标必须可解释。</w:t>
      </w:r>
      <w:r>
        <w:rPr>
          <w:rFonts w:ascii="Aptos" w:hAnsi="Aptos" w:eastAsia="Microsoft YaHei"/>
          <w:b w:val="0"/>
          <w:color w:val="232A34"/>
          <w:sz w:val="21"/>
        </w:rPr>
        <w:t>同一调查中，57%的受访者表示不理解ResearchGate Score的计算方式；本项目应明确展示统计口径。</w:t>
      </w:r>
    </w:p>
    <w:p>
      <w:pPr>
        <w:pStyle w:val="Heading1"/>
      </w:pPr>
      <w:r>
        <w:t>一  跨研究统计结果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研究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样本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统计维度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主要结果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需求含义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Nature全球调查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&gt;3,500人，95国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认知与访问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88%听说过ResearchGate；接近50%定期访问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存在稳定的平台认知和检索需求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PLOS ONE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695份有效问卷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使用时间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83%每周检索/浏览RG不足1小时；94%每周主页维护不足1小时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减少维护步骤，但比例不外推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奥地利科研调查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379人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时间障碍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47%认为时间不足阻碍进一步使用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降低操作和维护负担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奥地利科研调查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ResearchGate用户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科研可见度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66%认为平台提高了自身可见度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个人门户和成果展示有明确价值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PLOS ONE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695名科研人员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指标透明度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57%不理解RG Score的计算方式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避免黑箱综合评分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中文Kano研究</w:t>
            </w:r>
          </w:p>
        </w:tc>
        <w:tc>
          <w:tcPr>
            <w:tcW w:type="dxa" w:w="153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183份有效问卷</w:t>
            </w:r>
          </w:p>
        </w:tc>
        <w:tc>
          <w:tcPr>
            <w:tcW w:type="dxa" w:w="136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需求属性</w:t>
            </w:r>
          </w:p>
        </w:tc>
        <w:tc>
          <w:tcPr>
            <w:tcW w:type="dxa" w:w="25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文献获取Better=0.748、Worse=-0.614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6"/>
              </w:rPr>
              <w:t>检索和获取体验值得优先验证</w:t>
            </w:r>
          </w:p>
        </w:tc>
      </w:tr>
    </w:tbl>
    <w:p>
      <w:pPr>
        <w:spacing w:after="6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注：RG为ResearchGate。不同研究的抽样地区、年份、对象和问题不同；不合并样本量，不机械平均比例，也不把研究结论等同于本组一手调研。</w:t>
      </w:r>
    </w:p>
    <w:p>
      <w:pPr>
        <w:pStyle w:val="Heading1"/>
      </w:pPr>
      <w:r>
        <w:t>二  中国用户需求优先级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2024年中文研究先访谈12名科研用户，再回收221份问卷并获得183份有效问卷，有效率82.8%。研究使用Kano模型和Better-Worse系数识别需求属性。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Better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Worse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17365D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平台判断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项目申报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0.785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-0.591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魅力型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创新增强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激励机制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0.782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-0.508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魅力型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创新增强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多端使用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0.756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-0.717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期望型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体验优化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文献获取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0.748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-0.614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期望型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核心功能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社交网络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0.667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-0.727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期望型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合作发现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科研协同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0.661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-0.761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期望型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合作发现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交流互动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0.453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-0.807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必备型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基础能力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学术评价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0.279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-0.745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必备型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透明统计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自我展示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0.491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-0.304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无差别型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控制投入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left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写作投稿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0.367</w:t>
            </w:r>
          </w:p>
        </w:tc>
        <w:tc>
          <w:tcPr>
            <w:tcW w:type="dxa" w:w="141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-0.391</w:t>
            </w:r>
          </w:p>
        </w:tc>
        <w:tc>
          <w:tcPr>
            <w:tcW w:type="dxa" w:w="181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无差别型</w:t>
            </w:r>
          </w:p>
        </w:tc>
        <w:tc>
          <w:tcPr>
            <w:tcW w:type="dxa" w:w="24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shd w:fill="F5F8FC"/>
          </w:tcPr>
          <w:p>
            <w:pPr>
              <w:spacing w:before="0" w:after="0" w:line="276" w:lineRule="auto"/>
              <w:jc w:val="center"/>
            </w:pPr>
            <w:r>
              <w:rPr>
                <w:rFonts w:ascii="Aptos" w:hAnsi="Aptos" w:eastAsia="Microsoft YaHei"/>
                <w:b w:val="0"/>
                <w:color w:val="232A34"/>
                <w:sz w:val="18"/>
              </w:rPr>
              <w:t>后续考虑</w:t>
            </w:r>
          </w:p>
        </w:tc>
      </w:tr>
    </w:tbl>
    <w:p>
      <w:pPr>
        <w:spacing w:after="8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Better越高，提供该功能越能提高满意度；Worse绝对值越高，缺少该功能越容易引发不满。</w:t>
      </w:r>
    </w:p>
    <w:p>
      <w:pPr>
        <w:pStyle w:val="Heading1"/>
        <w:pageBreakBefore/>
      </w:pPr>
      <w:r>
        <w:t>三  证据解释边界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上述数据分别来自ResearchGate用户、一般科研人员及中文学术社交网络需求研究。它们能够提示潜在痛点，却不能直接给出本校师生的占比或证明本项目某功能必然受欢迎。Kano的Better/Worse系数也不等同于使用人数比例。</w:t>
      </w:r>
    </w:p>
    <w:p>
      <w:pPr>
        <w:pStyle w:val="Heading1"/>
      </w:pPr>
      <w:r>
        <w:t>四  综合需求判断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一期核心  </w:t>
      </w:r>
      <w:r>
        <w:rPr>
          <w:rFonts w:ascii="Aptos" w:hAnsi="Aptos" w:eastAsia="Microsoft YaHei"/>
          <w:b w:val="0"/>
          <w:color w:val="232A34"/>
          <w:sz w:val="21"/>
        </w:rPr>
        <w:t>统一检索、多源成果聚合、作者消歧、科研人员门户、成果认领、来源与更新时间展示、透明统计。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体验重点  </w:t>
      </w:r>
      <w:r>
        <w:rPr>
          <w:rFonts w:ascii="Aptos" w:hAnsi="Aptos" w:eastAsia="Microsoft YaHei"/>
          <w:b w:val="0"/>
          <w:color w:val="232A34"/>
          <w:sz w:val="21"/>
        </w:rPr>
        <w:t>自动生成候选成果列表，支持批量确认、批量排除和异常纠错，减少科研人员长期维护成本。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评价原则  </w:t>
      </w:r>
      <w:r>
        <w:rPr>
          <w:rFonts w:ascii="Aptos" w:hAnsi="Aptos" w:eastAsia="Microsoft YaHei"/>
          <w:b w:val="0"/>
          <w:color w:val="232A34"/>
          <w:sz w:val="21"/>
        </w:rPr>
        <w:t>展示成果数、引用数、年度趋势和合作关系等可解释指标，不生成无法复核的统一综合分。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学科适配  </w:t>
      </w:r>
      <w:r>
        <w:rPr>
          <w:rFonts w:ascii="Aptos" w:hAnsi="Aptos" w:eastAsia="Microsoft YaHei"/>
          <w:b w:val="0"/>
          <w:color w:val="232A34"/>
          <w:sz w:val="21"/>
        </w:rPr>
        <w:t>统计比较应提示来源覆盖差异；一期成果类型以本组SRS规定的论文、专利、项目和软件著作为边界。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后续增强  </w:t>
      </w:r>
      <w:r>
        <w:rPr>
          <w:rFonts w:ascii="Aptos" w:hAnsi="Aptos" w:eastAsia="Microsoft YaHei"/>
          <w:b w:val="0"/>
          <w:color w:val="232A34"/>
          <w:sz w:val="21"/>
        </w:rPr>
        <w:t>合作发现和推荐属于需求验证方向；是否进入一期，以课程任务书与需求基线为准。</w:t>
      </w:r>
    </w:p>
    <w:p>
      <w:pPr>
        <w:spacing w:after="80"/>
        <w:ind w:left="198" w:hanging="198"/>
      </w:pPr>
      <w:r>
        <w:rPr>
          <w:rFonts w:ascii="Aptos" w:hAnsi="Aptos" w:eastAsia="Microsoft YaHei"/>
          <w:b/>
          <w:color w:val="232A34"/>
          <w:sz w:val="21"/>
        </w:rPr>
        <w:t xml:space="preserve">控制范围  </w:t>
      </w:r>
      <w:r>
        <w:rPr>
          <w:rFonts w:ascii="Aptos" w:hAnsi="Aptos" w:eastAsia="Microsoft YaHei"/>
          <w:b w:val="0"/>
          <w:color w:val="232A34"/>
          <w:sz w:val="21"/>
        </w:rPr>
        <w:t>保留轻量联系与反馈能力，但一期不建设完整的科研社交社区、复杂积分体系或写作投稿工具。</w:t>
      </w:r>
    </w:p>
    <w:p>
      <w:pPr>
        <w:pStyle w:val="Heading1"/>
      </w:pPr>
      <w:r>
        <w:t>五  统计口径说明</w:t>
      </w:r>
    </w:p>
    <w:p>
      <w:pPr>
        <w:spacing w:after="100" w:line="324" w:lineRule="auto"/>
      </w:pPr>
      <w:r>
        <w:rPr>
          <w:rFonts w:ascii="Aptos" w:hAnsi="Aptos" w:eastAsia="Microsoft YaHei"/>
          <w:b w:val="0"/>
          <w:color w:val="232A34"/>
          <w:sz w:val="21"/>
        </w:rPr>
        <w:t>本报告是公开二手资料汇编，未实际执行本组访谈或问卷。不同研究的统计不能加总、平均或作为本校人群估计。详细检索、来源与执行状态见《调研依据与执行记录V1.0》。使用这些结果时，先核对原始问题和样本，再由本组需求边界筛选；本报告中的设计建议并非额外已批准需求。</w:t>
      </w:r>
    </w:p>
    <w:p>
      <w:pPr>
        <w:pStyle w:val="Heading1"/>
        <w:pageBreakBefore/>
      </w:pPr>
      <w:r>
        <w:t>参考资料</w:t>
      </w:r>
    </w:p>
    <w:p>
      <w:pPr>
        <w:spacing w:after="60"/>
        <w:ind w:left="312" w:hanging="312"/>
      </w:pPr>
      <w:r>
        <w:rPr>
          <w:rFonts w:ascii="Aptos" w:hAnsi="Aptos" w:eastAsia="Microsoft YaHei"/>
          <w:b w:val="0"/>
          <w:color w:val="232A34"/>
          <w:sz w:val="17"/>
        </w:rPr>
        <w:t xml:space="preserve">1. Van Noorden R. Online collaboration: Scientists and the social network. Nature, 2014. </w:t>
      </w:r>
      <w:hyperlink r:id="rId11">
        <w:r>
          <w:rPr>
            <w:color w:val="1F5A93"/>
            <w:u w:val="single"/>
          </w:rPr>
          <w:t>链接</w:t>
        </w:r>
      </w:hyperlink>
    </w:p>
    <w:p>
      <w:pPr>
        <w:spacing w:after="60"/>
        <w:ind w:left="312" w:hanging="312"/>
      </w:pPr>
      <w:r>
        <w:rPr>
          <w:rFonts w:ascii="Aptos" w:hAnsi="Aptos" w:eastAsia="Microsoft YaHei"/>
          <w:b w:val="0"/>
          <w:color w:val="232A34"/>
          <w:sz w:val="17"/>
        </w:rPr>
        <w:t xml:space="preserve">2. Meier A, Tunger D. Survey on opinions and usage patterns for the ResearchGate platform. PLOS ONE, 2018. </w:t>
      </w:r>
      <w:hyperlink r:id="rId12">
        <w:r>
          <w:rPr>
            <w:color w:val="1F5A93"/>
            <w:u w:val="single"/>
          </w:rPr>
          <w:t>链接</w:t>
        </w:r>
      </w:hyperlink>
    </w:p>
    <w:p>
      <w:pPr>
        <w:spacing w:after="60"/>
        <w:ind w:left="312" w:hanging="312"/>
      </w:pPr>
      <w:r>
        <w:rPr>
          <w:rFonts w:ascii="Aptos" w:hAnsi="Aptos" w:eastAsia="Microsoft YaHei"/>
          <w:b w:val="0"/>
          <w:color w:val="232A34"/>
          <w:sz w:val="17"/>
        </w:rPr>
        <w:t xml:space="preserve">3. 吴瑞, 张耀坤. 基于用户信息需求分析的学术社交网络功能优化策略研究. 数字图书馆论坛, 2024. </w:t>
      </w:r>
      <w:hyperlink r:id="rId13">
        <w:r>
          <w:rPr>
            <w:color w:val="1F5A93"/>
            <w:u w:val="single"/>
          </w:rPr>
          <w:t>链接</w:t>
        </w:r>
      </w:hyperlink>
    </w:p>
    <w:p>
      <w:pPr>
        <w:spacing w:after="60"/>
        <w:ind w:left="312" w:hanging="312"/>
      </w:pPr>
      <w:r>
        <w:rPr>
          <w:rFonts w:ascii="Aptos" w:hAnsi="Aptos" w:eastAsia="Microsoft YaHei"/>
          <w:b w:val="0"/>
          <w:color w:val="232A34"/>
          <w:sz w:val="17"/>
        </w:rPr>
        <w:t xml:space="preserve">4. Buehling K et al. Competitive performativity of academic social networks. Research Evaluation, 2024. </w:t>
      </w:r>
      <w:hyperlink r:id="rId14">
        <w:r>
          <w:rPr>
            <w:color w:val="1F5A93"/>
            <w:u w:val="single"/>
          </w:rPr>
          <w:t>链接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992" w:right="1020" w:bottom="935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5C6877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5C6877"/>
        <w:sz w:val="17"/>
      </w:rPr>
      <w:t>软件系统分析与设计  需求调研支撑材料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Aptos" w:hAnsi="Aptos" w:eastAsia="Microsoft YaHei"/>
      <w:color w:val="232A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ature.com/news/online-collaboration-scientists-and-the-social-network-1.15711" TargetMode="External"/><Relationship Id="rId12" Type="http://schemas.openxmlformats.org/officeDocument/2006/relationships/hyperlink" Target="https://doi.org/10.1371/journal.pone.0204945" TargetMode="External"/><Relationship Id="rId13" Type="http://schemas.openxmlformats.org/officeDocument/2006/relationships/hyperlink" Target="https://dlf.istic.ac.cn/dlf/ch/reader/view_abstract.aspx?file_no=202408006&amp;flag=1" TargetMode="External"/><Relationship Id="rId14" Type="http://schemas.openxmlformats.org/officeDocument/2006/relationships/hyperlink" Target="https://doi.org/10.1093/reseval/rvae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学术成果分享平台现成调研统计报告</dc:title>
  <dc:subject>需求调研统计汇总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