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00"/>
        <w:jc w:val="center"/>
      </w:pPr>
      <w:r>
        <w:t>学术成果分享平台需求分析报告</w:t>
      </w:r>
    </w:p>
    <w:p>
      <w:pPr>
        <w:spacing w:before="560" w:line="408" w:lineRule="auto"/>
        <w:jc w:val="center"/>
      </w:pPr>
      <w:r>
        <w:rPr>
          <w:rFonts w:ascii="Calibri" w:hAnsi="Calibri" w:eastAsia="宋体"/>
          <w:color w:val="4A525A"/>
          <w:sz w:val="22"/>
        </w:rPr>
        <w:t>课程：《软件系统分析与设计》　作业：作业 3 需求分析　团队：03组 可御风雪可燃冰</w:t>
        <w:br/>
        <w:t>子组：CognitaNexus 与 OvO　版本：V1.0　日期：2026年10月24日</w:t>
      </w:r>
    </w:p>
    <w:p>
      <w:pPr>
        <w:spacing w:before="1100"/>
        <w:jc w:val="center"/>
      </w:pPr>
      <w:r>
        <w:rPr>
          <w:rFonts w:ascii="Calibri" w:hAnsi="Calibri" w:eastAsia="宋体"/>
          <w:b/>
          <w:color w:val="244A69"/>
          <w:sz w:val="24"/>
        </w:rPr>
        <w:t>学术成果分享平台　需求分析阶段交付材料</w:t>
      </w:r>
    </w:p>
    <w:p>
      <w:r>
        <w:br w:type="page"/>
      </w:r>
    </w:p>
    <w:p>
      <w:pPr>
        <w:pStyle w:val="Heading1"/>
      </w:pPr>
      <w:r>
        <w:t>1 报告结论与范围</w:t>
      </w:r>
    </w:p>
    <w:p>
      <w:pPr>
        <w:ind w:firstLine="420"/>
      </w:pPr>
      <w:r>
        <w:t>本报告把已确认的需求基线转化为可核查的分析模型。当前模型以学者为中心，覆盖论文、专利、科研项目和获奖四类成果；以来源记录和成果参与关系保留可追溯证据；以认领申请和门户授权分离“申请状态”与“对象级管理权”；以采集任务、更新记录支撑失败恢复与审计。核心业务类图和三张关键时序图与 FR01～FR16、IN01 及适用的 NF01～NF08 保持对应，不提前规定数据库表、接口地址或技术框架。</w:t>
      </w:r>
    </w:p>
    <w:p>
      <w:pPr>
        <w:ind w:firstLine="420"/>
      </w:pPr>
      <w:r>
        <w:t>本阶段交付范围包括业务对象清单、核心业务类图、数据采集入库、门户认领审核、检索请求处理三张时序图、模型一致性说明和质量检查。推荐功能、论文全文、付费数据库采集、自动转移既有门户授权、跨类型自动合并成果不在当前模型承诺内。</w:t>
      </w:r>
    </w:p>
    <w:p>
      <w:pPr>
        <w:pStyle w:val="Heading1"/>
      </w:pPr>
      <w:r>
        <w:t>2 分析依据与方法</w:t>
      </w:r>
    </w:p>
    <w:p>
      <w:pPr>
        <w:pStyle w:val="Heading2"/>
      </w:pPr>
      <w:r>
        <w:t>2.1 输入依据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效力边界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课程作业 3 展示与提交要求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确定必须交付的业务对象、类图、三张时序图和 Word 报告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课程硬性要求优先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共同需求基线 V1.9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确定 FR01～FR16、IN01、NF01～NF08 的范围和优先级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不在分析阶段改写父需求语义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共同 SRS V1.1 Implementation RC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细化角色、状态、异常和验收口径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Review Candidate，待双组签认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OvO SRS V0.4 与核心规则 SPEC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核对采集、去重、消歧、检索和权限规则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作为可追溯细化输入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既有用例图、活动图和状态图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检查参与者、流程和状态的一致性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图文冲突时登记修改，不默选规则</w:t>
            </w:r>
          </w:p>
        </w:tc>
      </w:tr>
    </w:tbl>
    <w:p>
      <w:pPr>
        <w:spacing w:after="0"/>
      </w:pPr>
    </w:p>
    <w:p>
      <w:pPr>
        <w:pStyle w:val="Heading2"/>
      </w:pPr>
      <w:r>
        <w:t>2.2 分析步骤</w:t>
      </w:r>
    </w:p>
    <w:p>
      <w:pPr>
        <w:pStyle w:val="ListNumber"/>
      </w:pPr>
      <w:r>
        <w:t>从需求名词、状态对象和审计对象中识别候选业务对象。</w:t>
      </w:r>
    </w:p>
    <w:p>
      <w:pPr>
        <w:pStyle w:val="ListNumber"/>
      </w:pPr>
      <w:r>
        <w:t>合并同义对象，分离账号、学者档案、认领申请、门户授权、成果实体和来源记录。</w:t>
      </w:r>
    </w:p>
    <w:p>
      <w:pPr>
        <w:pStyle w:val="ListNumber"/>
      </w:pPr>
      <w:r>
        <w:t>为每个对象确定稳定标识、关键业务属性、状态和领域操作。</w:t>
      </w:r>
    </w:p>
    <w:p>
      <w:pPr>
        <w:pStyle w:val="ListNumber"/>
      </w:pPr>
      <w:r>
        <w:t>使用继承表达四类成果的共同语义，使用组合表达离开主对象即失去独立业务意义的记录。</w:t>
      </w:r>
    </w:p>
    <w:p>
      <w:pPr>
        <w:pStyle w:val="ListNumber"/>
      </w:pPr>
      <w:r>
        <w:t>按用例主成功流程和异常闭环建立时序图，逐项回查 SRS、状态图及权限规则。</w:t>
      </w:r>
    </w:p>
    <w:p>
      <w:pPr>
        <w:pStyle w:val="Heading1"/>
      </w:pPr>
      <w:r>
        <w:t>3 核心业务对象清单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 w:val="true"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业务对象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核心职责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关键状态或属性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需求来源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BO-01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账号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保存登录身份和账号有效性，不等同于学者档案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账号标识、账号状态、角色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FR04、NF03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BO-02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学者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承载公开身份、机构、领域和成果关系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学者标识、姓名、别名、公开状态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FR03、FR15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BO-03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学术成果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四类成果的抽象父类，承载共同元数据和生效版本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成果标识、标题、年份、公开状态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FR02、FR16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BO-04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论文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保存 DOI、发表载体和发表日期；作者顺序由成果参与关系记录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DOI、发表载体、发表日期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FR02、FR12、FR16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BO-05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专利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保存申请号、发明人和公开日期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申请号、申请/公开日期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FR02、FR16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BO-06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科研项目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保存项目编号、负责人和承担单位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项目编号、起止日期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FR02、FR16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BO-07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获奖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保存奖项、年度和获奖主体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奖项名称、获奖年度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FR02、FR16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BO-08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成果参与关系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连接学者与成果，保留角色、顺序、证据和关系状态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自动关联、本人确认、待核验、争议、已排除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FR07、FR15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BO-09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机构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统一机构身份、名称沿革和任职关联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机构标识、名称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FR03、FR11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BO-10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学术领域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支撑分类、筛选、统计和热点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领域标识、名称、父子关系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FR01、FR11、FR13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BO-11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来源记录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保存来源ID、原始值、许可和时间，支持追溯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来源记录ID、采集时间、许可范围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FR08、FR16、NF07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BO-12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认领申请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保存申请、补充、审核和终态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待审核、待补充、已通过、已驳回、争议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FR05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BO-13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认领证据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保存受控证据引用及可见性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证据类型、受控引用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FR05、NF06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BO-14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门户授权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表达账号对特定学者门户的对象级管理权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授权状态、生效时间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FR04～FR07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BO-15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采集任务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管理来源采集、检查点、失败和恢复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待执行、运行中、成功、失败、重试、已停止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FR08、FR10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BO-16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更新记录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保存字段前后值、原因和操作者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记录标识、对象、前后值、原因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FR10、FR14</w:t>
            </w:r>
          </w:p>
        </w:tc>
      </w:tr>
    </w:tbl>
    <w:p>
      <w:pPr>
        <w:spacing w:after="0"/>
      </w:pPr>
    </w:p>
    <w:p>
      <w:pPr>
        <w:ind w:firstLine="420"/>
      </w:pPr>
      <w:r>
        <w:t>对象边界的关键结论是：账号不自动生成学者身份；姓名相同不构成同一学者证据；采集成功不等于治理通过；认领申请通过只授予目标门户权限，不代表该学者名下全部成果均已本人确认。</w:t>
      </w:r>
    </w:p>
    <w:p>
      <w:pPr>
        <w:pStyle w:val="Heading1"/>
        <w:pageBreakBefore/>
      </w:pPr>
      <w:r>
        <w:t>4 核心业务类图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75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A-CLASS-01-core-busi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7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Calibri" w:hAnsi="Calibri" w:eastAsia="宋体"/>
          <w:b/>
          <w:color w:val="3F4A54"/>
          <w:sz w:val="18"/>
        </w:rPr>
        <w:t>图　DGA-CLASS-01 学术成果分享平台核心业务类图</w:t>
      </w:r>
    </w:p>
    <w:p>
      <w:pPr>
        <w:pStyle w:val="Heading2"/>
      </w:pPr>
      <w:r>
        <w:t>4.1 继承与组合决策</w:t>
      </w:r>
    </w:p>
    <w:p>
      <w:pPr>
        <w:ind w:firstLine="420"/>
      </w:pPr>
      <w:r>
        <w:t>论文、专利、科研项目和获奖继承学术成果，共享成果标识、标题、年份和公开状态，同时保留各自的专属字段。该结构避免把四类成果压成包含大量空字段的单一对象，也不把每种成果拆成彼此无关的重复模型。</w:t>
      </w:r>
    </w:p>
    <w:p>
      <w:pPr>
        <w:ind w:firstLine="420"/>
      </w:pPr>
      <w:r>
        <w:t>学术成果与来源记录、成果参与关系采用组合：来源证据和参与关系必须依附具体成果，但删除一名学者的关系不得删除成果实体及其他参与者关系。认领申请与认领证据采用组合；账号与门户授权、学者与机构/领域采用关联。采集任务与来源记录采用聚合，表示任务可产生多条来源记录，而来源记录在任务结束后仍作为追溯证据保留。</w:t>
      </w:r>
    </w:p>
    <w:p>
      <w:pPr>
        <w:pStyle w:val="Heading2"/>
      </w:pPr>
      <w:r>
        <w:t>4.2 属性和方法边界</w:t>
      </w:r>
    </w:p>
    <w:p>
      <w:pPr>
        <w:ind w:firstLine="420"/>
      </w:pPr>
      <w:r>
        <w:t>类图中的方法表达业务责任，例如“审核、授予、撤销、启动、停止、重试、登记新版本”，不是接口签名。数据类型用于澄清字段意义，不等价于数据库类型。公开状态、关系状态和任务状态必须使用 SRS 已定义的枚举，不允许由实现人员另造同义状态。</w:t>
      </w:r>
    </w:p>
    <w:p>
      <w:pPr>
        <w:pStyle w:val="Heading1"/>
      </w:pPr>
      <w:r>
        <w:t>5 数据采集入库交互模型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16110" cy="47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A-SEQUENCE-01-collection-inges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611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Calibri" w:hAnsi="Calibri" w:eastAsia="宋体"/>
          <w:b/>
          <w:color w:val="3F4A54"/>
          <w:sz w:val="18"/>
        </w:rPr>
        <w:t>图　DGA-SEQUENCE-01 数据采集入库时序图</w:t>
      </w:r>
    </w:p>
    <w:p>
      <w:pPr>
        <w:ind w:firstLine="420"/>
      </w:pPr>
      <w:r>
        <w:t>管理员在来源已登记、启用且许可范围匹配时创建和启动任务。采集服务按安全检查点分批读取，来源适配器保留来源ID、原始值和来源证据；清洗去重服务先完成字段规范化，再按稳定标识及规则生成唯一实体、候选或新实体。证据不足或冲突项进入人工核验队列，不能直接自动合并。批次成功后更新检查点并传播生效结果；来源失败、人工停止和恢复重试均保留已成功数据及审计历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参与者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管理员、采集管理界面、采集任务服务、来源适配器、外部数据来源、清洗与去重服务、成果存储、人工核验队列、更新与索引服务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前置条件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来源获准且启用；管理员具有具体管理权限；任务配置通过校验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主要结果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成果/候选和来源记录入库；任务状态、检查点、摘要与失败范围可查询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异常闭环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越界拒绝、来源超时/限流、冲突转人工、停止保留历史、从安全检查点幂等重试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追踪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FR08～FR10、FR15～FR16；UC-09/UC-10；NF04、NF05、NF07</w:t>
            </w:r>
          </w:p>
        </w:tc>
      </w:tr>
    </w:tbl>
    <w:p>
      <w:pPr>
        <w:spacing w:after="0"/>
      </w:pPr>
    </w:p>
    <w:p>
      <w:pPr>
        <w:pStyle w:val="Heading1"/>
      </w:pPr>
      <w:r>
        <w:t>6 门户认领审核交互模型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16291" cy="47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A-SEQUENCE-02-claim-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6291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Calibri" w:hAnsi="Calibri" w:eastAsia="宋体"/>
          <w:b/>
          <w:color w:val="3F4A54"/>
          <w:sz w:val="18"/>
        </w:rPr>
        <w:t>图　DGA-SEQUENCE-02 门户认领审核时序图</w:t>
      </w:r>
    </w:p>
    <w:p>
      <w:pPr>
        <w:ind w:firstLine="420"/>
      </w:pPr>
      <w:r>
        <w:t>认领流程先校验会话、账号、目标档案和已有进行中申请；材料受理后只保存受控证据引用。审核员可要求补充、通过或驳回。证据不足时申请进入待补充并在补充校验后回到待审核；存在未解决授权冲突时保持待审核，不覆盖既有授权。无冲突且最终权限、版本校验通过时，申请通过与对象级门户授权在同一成功结果中完成并记录审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参与者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登录用户、认领页面、认证与授权服务、认领服务、学者门户、证据存储、审核管理员、审计与通知服务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前置条件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账号有效；目标学者档案存在；用户提交本人声明和必要证据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主要结果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申请状态可跟踪；通过时授予目标门户权限；驳回或冲突不改变既有授权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异常闭环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未登录、字段无效、重复申请、证据不足、版本变化、竞争认领冲突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追踪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FR04～FR05、FR14（本流程）；FR06～FR07（授权后的下游能力）；UC-05/UC-06；NF03、NF05、NF06</w:t>
            </w:r>
          </w:p>
        </w:tc>
      </w:tr>
    </w:tbl>
    <w:p>
      <w:pPr>
        <w:spacing w:after="0"/>
      </w:pPr>
    </w:p>
    <w:p>
      <w:pPr>
        <w:pStyle w:val="Heading1"/>
      </w:pPr>
      <w:r>
        <w:t>7 检索请求处理交互模型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37333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A-SEQUENCE-03-search-req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7333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Calibri" w:hAnsi="Calibri" w:eastAsia="宋体"/>
          <w:b/>
          <w:color w:val="3F4A54"/>
          <w:sz w:val="18"/>
        </w:rPr>
        <w:t>图　DGA-SEQUENCE-03 检索请求处理时序图</w:t>
      </w:r>
    </w:p>
    <w:p>
      <w:pPr>
        <w:ind w:firstLine="420"/>
      </w:pPr>
      <w:r>
        <w:t>检索服务规范化关键词、类型、年份、领域、排序和分页游标，随后应用公开范围与权限过滤。索引只返回稳定实体ID，实体存储提供当前生效版本，来源服务提供合法来源摘要。系统必须区分条件错误、索引故障、空结果和有结果四种可观察状态；稳定排序在并列字段后使用稳定实体ID打破并列，翻页保留查询上下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参与者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访客、检索页面、查询服务、可见性规则、检索索引、成果与学者存储、来源服务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前置条件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无需登录；输入可以为空关键词但必须符合字段范围和组合规则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主要结果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返回公开有效的学者/成果摘要、稳定分页游标和来源摘要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异常闭环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字段级校验失败不执行查询；索引故障给出重试入口；无结果不伪装为错误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追踪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FR01～FR03；UC-01～UC-03；NF01～NF03、NF05</w:t>
            </w:r>
          </w:p>
        </w:tc>
      </w:tr>
    </w:tbl>
    <w:p>
      <w:pPr>
        <w:spacing w:after="0"/>
      </w:pPr>
    </w:p>
    <w:p>
      <w:pPr>
        <w:pStyle w:val="Heading1"/>
      </w:pPr>
      <w:r>
        <w:t>8 分析模型一致性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分析元素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SRS/用例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既有模型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一致性判定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账号、学者、门户授权分离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FR03～FR07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总体用例图、认领活动图、认领状态图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一致；避免“注册即成为学者”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四类成果继承学术成果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FR02、FR16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成果治理局部用例图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一致；共性集中、专属字段保留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成果参与关系独立建模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FR07、FR12、FR15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治理与身份消歧图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一致；关系状态不污染成果实体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采集任务六状态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FR08、FR10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数据采集任务状态图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一致；禁止失败直接跳成功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认领申请状态与门户公开状态分离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FR05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认领活动图、认领申请状态图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一致；竞争申请不自动转移授权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稳定分页和公开过滤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FR01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总体用例图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一致；时序图补齐查询内部协作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来源记录和更新记录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FR10、FR14、FR16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采集治理用例图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一致；支持前后值、原因和来源追踪</w:t>
            </w:r>
          </w:p>
        </w:tc>
      </w:tr>
    </w:tbl>
    <w:p>
      <w:pPr>
        <w:spacing w:after="0"/>
      </w:pPr>
    </w:p>
    <w:p>
      <w:pPr>
        <w:pStyle w:val="Heading1"/>
      </w:pPr>
      <w:r>
        <w:t>9 非功能与合规约束</w:t>
      </w:r>
    </w:p>
    <w:p>
      <w:pPr>
        <w:pStyle w:val="ListBullet"/>
      </w:pPr>
      <w:r>
        <w:t>公开检索、门户和统计无需登录，但只返回当前公开生效数据。</w:t>
      </w:r>
    </w:p>
    <w:p>
      <w:pPr>
        <w:pStyle w:val="ListBullet"/>
      </w:pPr>
      <w:r>
        <w:t>每次受保护写操作同时校验会话、账号状态、操作能力、对象级授权和对象版本。</w:t>
      </w:r>
    </w:p>
    <w:p>
      <w:pPr>
        <w:pStyle w:val="ListBullet"/>
      </w:pPr>
      <w:r>
        <w:t>采集失败不得破坏已成功历史；重试从安全检查点恢复并保持幂等。</w:t>
      </w:r>
    </w:p>
    <w:p>
      <w:pPr>
        <w:pStyle w:val="ListBullet"/>
      </w:pPr>
      <w:r>
        <w:t>认领证据只对申请人和有权审核者可见；不在公开页面或普通日志中暴露。</w:t>
      </w:r>
    </w:p>
    <w:p>
      <w:pPr>
        <w:pStyle w:val="ListBullet"/>
      </w:pPr>
      <w:r>
        <w:t>真实、模拟和混合数据必须明确标识；不得爬取个人隐私、收费数据库或未授权内容。</w:t>
      </w:r>
    </w:p>
    <w:p>
      <w:pPr>
        <w:pStyle w:val="ListBullet"/>
      </w:pPr>
      <w:r>
        <w:t>模型中的服务名称用于职责分解，不构成微服务数量、接口或部署架构承诺。</w:t>
      </w:r>
    </w:p>
    <w:p>
      <w:pPr>
        <w:pStyle w:val="Heading1"/>
      </w:pPr>
      <w:r>
        <w:t>10 质量检查与待完成事项</w:t>
      </w:r>
    </w:p>
    <w:p>
      <w:pPr>
        <w:ind w:firstLine="420"/>
      </w:pPr>
      <w:r>
        <w:t>文本与 PlantUML 图源已完成静态核对，核心类图与三张时序图均通过 PlantUML 语法渲染。数据采集入库图已有 CodeArts 导入候选包；核心类图、认领审核和检索处理仍须在 CodeArts Modeling 中导入或重绘、人工精修并重新导出。最终提交前还需由各模型负责人逐图签认，补齐两小组全体成员的实际 AI 使用记录与签名；课堂展示后将教师及互评意见写入修改说明与版本记录表。</w:t>
      </w:r>
    </w:p>
    <w:p>
      <w:pPr>
        <w:pStyle w:val="Heading1"/>
        <w:pageBreakBefore/>
      </w:pPr>
      <w:r>
        <w:t>附录 A 分工与签认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协作/复核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业务对象识别与报告统稿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高昕宇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宋显涵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对象清单与报告底稿完成，待联合签认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核心业务类图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王昊涵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高昕宇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底稿完成，待 CodeArts 精修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数据采集入库时序图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宋显涵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王昊涵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底稿及候选包完成，待平台验证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门户认领审核时序图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李昊阳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王昊涵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底稿完成，待 CodeArts 精修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检索请求处理时序图与展示整合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孙子涵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高昕宇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底稿完成，待 CodeArts 精修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AI 声明与一致性追踪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宋显涵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全员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V1.0 已形成，待收齐实际记录并联合签认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宋体"/>
          <w:sz w:val="2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737B83"/>
        <w:sz w:val="16"/>
      </w:rPr>
      <w:t xml:space="preserve">03组 可御风雪可燃冰　·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Calibri" w:hAnsi="Calibri" w:eastAsia="宋体"/>
      <w:color w:val="1C23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学术成果分享平台需求分析报告</dc:title>
  <dc:subject>软件系统分析与设计课程作业3需求分析</dc:subject>
  <dc:creator>03组 可御风雪可燃冰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