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600"/>
        <w:jc w:val="center"/>
      </w:pPr>
      <w:r>
        <w:t>需求分析阶段 AI 使用声明</w:t>
      </w:r>
    </w:p>
    <w:p>
      <w:pPr>
        <w:spacing w:before="560" w:line="408" w:lineRule="auto"/>
        <w:jc w:val="center"/>
      </w:pPr>
      <w:r>
        <w:rPr>
          <w:rFonts w:ascii="Calibri" w:hAnsi="Calibri" w:eastAsia="宋体"/>
          <w:color w:val="4A525A"/>
          <w:sz w:val="22"/>
        </w:rPr>
        <w:t>团队：03组 可御风雪可燃冰　作业：作业 3 需求分析　版本：V1.0　日期：2026年10月24日</w:t>
      </w:r>
    </w:p>
    <w:p>
      <w:pPr>
        <w:spacing w:before="1100"/>
        <w:jc w:val="center"/>
      </w:pPr>
      <w:r>
        <w:rPr>
          <w:rFonts w:ascii="Calibri" w:hAnsi="Calibri" w:eastAsia="宋体"/>
          <w:b/>
          <w:color w:val="244A69"/>
          <w:sz w:val="24"/>
        </w:rPr>
        <w:t>学术成果分享平台　需求分析阶段交付材料</w:t>
      </w:r>
    </w:p>
    <w:p>
      <w:r>
        <w:br w:type="page"/>
      </w:r>
    </w:p>
    <w:p>
      <w:pPr>
        <w:pStyle w:val="Heading1"/>
      </w:pPr>
      <w:r>
        <w:t>1 声明结论</w:t>
      </w:r>
    </w:p>
    <w:p>
      <w:pPr>
        <w:ind w:firstLine="420"/>
      </w:pPr>
      <w:r>
        <w:t>本团队在业务对象梳理、模型草拟、文档组织、一致性检查和图形渲染中使用了生成式 AI。AI 只提供候选结构、文字和检查建议，需求边界、业务规则、UML 关系、最终取舍和提交责任由团队成员承担。未经过人工理解、核对和签认的输出不作为最终成果。</w:t>
      </w:r>
    </w:p>
    <w:p>
      <w:pPr>
        <w:pStyle w:val="Heading1"/>
      </w:pPr>
      <w:r>
        <w:t>2 双组工具与路线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cantSplit/>
          <w:tblHeader w:val="true"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244A69"/>
          </w:tcPr>
          <w:p>
            <w:pPr>
              <w:spacing w:before="50" w:after="50" w:line="276" w:lineRule="auto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小组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244A69"/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主要 AI 与工具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244A69"/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主要用途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244A69"/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人工验证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50" w:after="50" w:line="276" w:lineRule="auto"/>
              <w:jc w:val="center"/>
            </w:pPr>
            <w:r>
              <w:rPr>
                <w:rFonts w:ascii="Calibri" w:hAnsi="Calibri" w:eastAsia="宋体"/>
                <w:b w:val="0"/>
                <w:color w:val="1C232A"/>
                <w:sz w:val="17"/>
              </w:rPr>
              <w:t>CognitaNexus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7"/>
              </w:rPr>
              <w:t>DeepSeek、Pi、PlantUML、Git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7"/>
              </w:rPr>
              <w:t>规则细化、算法边界、文档结构维护和跨文件检查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7"/>
              </w:rPr>
              <w:t>按 FR/AC/BR/SPEC 核对；负责人确认实际模型版本和提示记录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before="50" w:after="50" w:line="276" w:lineRule="auto"/>
              <w:jc w:val="center"/>
            </w:pPr>
            <w:r>
              <w:rPr>
                <w:rFonts w:ascii="Calibri" w:hAnsi="Calibri" w:eastAsia="宋体"/>
                <w:b w:val="0"/>
                <w:color w:val="1C232A"/>
                <w:sz w:val="17"/>
              </w:rPr>
              <w:t>OvO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7"/>
              </w:rPr>
              <w:t>ChatGPT、Codex、PlantUML、CodeArts Modeling、Git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7"/>
              </w:rPr>
              <w:t>用户场景、异常闭环、UML 草拟、文档生成、追踪与静态检查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7"/>
              </w:rPr>
              <w:t>按 SRS、用例、状态、权限和课程清单核对；平台实际导入后签认</w:t>
            </w:r>
          </w:p>
        </w:tc>
      </w:tr>
    </w:tbl>
    <w:p>
      <w:pPr>
        <w:spacing w:after="0"/>
      </w:pPr>
    </w:p>
    <w:p>
      <w:pPr>
        <w:ind w:firstLine="420"/>
      </w:pPr>
      <w:r>
        <w:t>两组采用不同建模侧重点：CognitaNexus 更强调规则细粒度、证据和算法边界；OvO 更强调角色、主流程、异常流程和可观察状态。联合评审不按篇幅或模型原文二选一，而以课程要求和共同需求语义为准形成统一版本。</w:t>
      </w:r>
    </w:p>
    <w:p>
      <w:pPr>
        <w:pStyle w:val="Heading1"/>
      </w:pPr>
      <w:r>
        <w:t>3 本阶段生成内容及复核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cantSplit/>
          <w:tblHeader w:val="true"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244A69"/>
          </w:tcPr>
          <w:p>
            <w:pPr>
              <w:spacing w:before="50" w:after="50" w:line="276" w:lineRule="auto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环节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244A69"/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AI 辅助内容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244A69"/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人工检查要点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244A69"/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当前证据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50" w:after="50" w:line="276" w:lineRule="auto"/>
              <w:jc w:val="center"/>
            </w:pPr>
            <w:r>
              <w:rPr>
                <w:rFonts w:ascii="Calibri" w:hAnsi="Calibri" w:eastAsia="宋体"/>
                <w:b w:val="0"/>
                <w:color w:val="1C232A"/>
                <w:sz w:val="17"/>
              </w:rPr>
              <w:t>业务对象识别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7"/>
              </w:rPr>
              <w:t>从 SRS 名词、状态和审计对象生成候选清单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7"/>
              </w:rPr>
              <w:t>合并同义词；分离账号/学者、申请/授权、成果/来源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7"/>
              </w:rPr>
              <w:t>对象清单、类图和一致性矩阵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before="50" w:after="50" w:line="276" w:lineRule="auto"/>
              <w:jc w:val="center"/>
            </w:pPr>
            <w:r>
              <w:rPr>
                <w:rFonts w:ascii="Calibri" w:hAnsi="Calibri" w:eastAsia="宋体"/>
                <w:b w:val="0"/>
                <w:color w:val="1C232A"/>
                <w:sz w:val="17"/>
              </w:rPr>
              <w:t>核心业务类图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7"/>
              </w:rPr>
              <w:t>生成继承、关联、聚合和组合候选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7"/>
              </w:rPr>
              <w:t>四类成果继承合理；组合关系不造成误删；方法不写成接口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7"/>
              </w:rPr>
              <w:t>PlantUML 图源和渲染图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50" w:after="50" w:line="276" w:lineRule="auto"/>
              <w:jc w:val="center"/>
            </w:pPr>
            <w:r>
              <w:rPr>
                <w:rFonts w:ascii="Calibri" w:hAnsi="Calibri" w:eastAsia="宋体"/>
                <w:b w:val="0"/>
                <w:color w:val="1C232A"/>
                <w:sz w:val="17"/>
              </w:rPr>
              <w:t>采集入库时序图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7"/>
              </w:rPr>
              <w:t>整理来源校验、批处理、清洗去重、核验和恢复消息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7"/>
              </w:rPr>
              <w:t>消息方向、任务状态、检查点、人工核验和幂等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7"/>
              </w:rPr>
              <w:t>图源、预览、CodeArts 候选包、检查表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before="50" w:after="50" w:line="276" w:lineRule="auto"/>
              <w:jc w:val="center"/>
            </w:pPr>
            <w:r>
              <w:rPr>
                <w:rFonts w:ascii="Calibri" w:hAnsi="Calibri" w:eastAsia="宋体"/>
                <w:b w:val="0"/>
                <w:color w:val="1C232A"/>
                <w:sz w:val="17"/>
              </w:rPr>
              <w:t>认领审核时序图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7"/>
              </w:rPr>
              <w:t>整理认证、受理、补充、冲突、通过和驳回分支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7"/>
              </w:rPr>
              <w:t>申请状态与授权分离；冲突不覆盖既有授权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7"/>
              </w:rPr>
              <w:t>图源和预览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50" w:after="50" w:line="276" w:lineRule="auto"/>
              <w:jc w:val="center"/>
            </w:pPr>
            <w:r>
              <w:rPr>
                <w:rFonts w:ascii="Calibri" w:hAnsi="Calibri" w:eastAsia="宋体"/>
                <w:b w:val="0"/>
                <w:color w:val="1C232A"/>
                <w:sz w:val="17"/>
              </w:rPr>
              <w:t>检索处理时序图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7"/>
              </w:rPr>
              <w:t>整理校验、过滤、排序、分页、空结果和错误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7"/>
              </w:rPr>
              <w:t>公开范围、稳定分页、空结果与故障可区分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7"/>
              </w:rPr>
              <w:t>图源和预览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before="50" w:after="50" w:line="276" w:lineRule="auto"/>
              <w:jc w:val="center"/>
            </w:pPr>
            <w:r>
              <w:rPr>
                <w:rFonts w:ascii="Calibri" w:hAnsi="Calibri" w:eastAsia="宋体"/>
                <w:b w:val="0"/>
                <w:color w:val="1C232A"/>
                <w:sz w:val="17"/>
              </w:rPr>
              <w:t>Word 文档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7"/>
              </w:rPr>
              <w:t>生成结构、表格、图注和版本材料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7"/>
              </w:rPr>
              <w:t>成员逐段理解；核对编号、范围、图片清晰度和待填项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7"/>
              </w:rPr>
              <w:t>DOCX 渲染检查记录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4 人工验证规则</w:t>
      </w:r>
    </w:p>
    <w:p>
      <w:pPr>
        <w:pStyle w:val="ListNumber"/>
      </w:pPr>
      <w:r>
        <w:t>每张图由主责成员逐条讲解参与者、消息、分支和业务结果；不能讲清的内容删除或重写。</w:t>
      </w:r>
    </w:p>
    <w:p>
      <w:pPr>
        <w:pStyle w:val="ListNumber"/>
      </w:pPr>
      <w:r>
        <w:t>图中每个关键对象和状态均能回溯到 SRS 或需求建模成果；无依据的技术实现不进入分析模型。</w:t>
      </w:r>
    </w:p>
    <w:p>
      <w:pPr>
        <w:pStyle w:val="ListNumber"/>
      </w:pPr>
      <w:r>
        <w:t>PlantUML 通过语法渲染只证明图源可生成，不证明业务正确；CodeArts ZIP 通过结构校验也不等于平台已成功导入。</w:t>
      </w:r>
    </w:p>
    <w:p>
      <w:pPr>
        <w:pStyle w:val="ListNumber"/>
      </w:pPr>
      <w:r>
        <w:t>CodeArts 源文件必须由成员在平台实际打开、精修、重新导出，并与 Word/PPT 中图片一致。</w:t>
      </w:r>
    </w:p>
    <w:p>
      <w:pPr>
        <w:pStyle w:val="ListNumber"/>
      </w:pPr>
      <w:r>
        <w:t>任何性能、容量、采集量或人工调研结果，只有存在实际证据时才写为已完成；计划值和验收目标不得写成实测结果。</w:t>
      </w:r>
    </w:p>
    <w:p>
      <w:pPr>
        <w:pStyle w:val="Heading1"/>
      </w:pPr>
      <w:r>
        <w:t>5 成员确认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05"/>
        <w:gridCol w:w="1905"/>
        <w:gridCol w:w="1905"/>
        <w:gridCol w:w="1905"/>
        <w:gridCol w:w="1905"/>
      </w:tblGrid>
      <w:tr>
        <w:trPr>
          <w:cantSplit/>
          <w:tblHeader w:val="true"/>
        </w:trPr>
        <w:tc>
          <w:tcPr>
            <w:tcW w:type="dxa" w:w="19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244A69"/>
          </w:tcPr>
          <w:p>
            <w:pPr>
              <w:spacing w:before="50" w:after="50" w:line="276" w:lineRule="auto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6"/>
              </w:rPr>
              <w:t>成员</w:t>
            </w:r>
          </w:p>
        </w:tc>
        <w:tc>
          <w:tcPr>
            <w:tcW w:type="dxa" w:w="19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244A69"/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/>
                <w:color w:val="FFFFFF"/>
                <w:sz w:val="16"/>
              </w:rPr>
              <w:t>负责内容</w:t>
            </w:r>
          </w:p>
        </w:tc>
        <w:tc>
          <w:tcPr>
            <w:tcW w:type="dxa" w:w="19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244A69"/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/>
                <w:color w:val="FFFFFF"/>
                <w:sz w:val="16"/>
              </w:rPr>
              <w:t>实际使用工具/模型确认</w:t>
            </w:r>
          </w:p>
        </w:tc>
        <w:tc>
          <w:tcPr>
            <w:tcW w:type="dxa" w:w="19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244A69"/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/>
                <w:color w:val="FFFFFF"/>
                <w:sz w:val="16"/>
              </w:rPr>
              <w:t>理解并承担责任签名</w:t>
            </w:r>
          </w:p>
        </w:tc>
        <w:tc>
          <w:tcPr>
            <w:tcW w:type="dxa" w:w="19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244A69"/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/>
                <w:color w:val="FFFFFF"/>
                <w:sz w:val="16"/>
              </w:rPr>
              <w:t>日期</w:t>
            </w:r>
          </w:p>
        </w:tc>
      </w:tr>
      <w:tr>
        <w:trPr>
          <w:cantSplit/>
        </w:trPr>
        <w:tc>
          <w:tcPr>
            <w:tcW w:type="dxa" w:w="19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50" w:after="50" w:line="276" w:lineRule="auto"/>
              <w:jc w:val="center"/>
            </w:pPr>
            <w:r>
              <w:rPr>
                <w:rFonts w:ascii="Calibri" w:hAnsi="Calibri" w:eastAsia="宋体"/>
                <w:b w:val="0"/>
                <w:color w:val="1C232A"/>
                <w:sz w:val="16"/>
              </w:rPr>
              <w:t>高昕宇</w:t>
            </w:r>
          </w:p>
        </w:tc>
        <w:tc>
          <w:tcPr>
            <w:tcW w:type="dxa" w:w="19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6"/>
              </w:rPr>
              <w:t>业务对象识别、需求分析报告统稿</w:t>
            </w:r>
          </w:p>
        </w:tc>
        <w:tc>
          <w:tcPr>
            <w:tcW w:type="dxa" w:w="19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6"/>
              </w:rPr>
              <w:t>待本人确认</w:t>
            </w:r>
          </w:p>
        </w:tc>
        <w:tc>
          <w:tcPr>
            <w:tcW w:type="dxa" w:w="19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6"/>
              </w:rPr>
              <w:t>待填写</w:t>
            </w:r>
          </w:p>
        </w:tc>
        <w:tc>
          <w:tcPr>
            <w:tcW w:type="dxa" w:w="19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6"/>
              </w:rPr>
              <w:t>待填写</w:t>
            </w:r>
          </w:p>
        </w:tc>
      </w:tr>
      <w:tr>
        <w:trPr>
          <w:cantSplit/>
        </w:trPr>
        <w:tc>
          <w:tcPr>
            <w:tcW w:type="dxa" w:w="19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before="50" w:after="50" w:line="276" w:lineRule="auto"/>
              <w:jc w:val="center"/>
            </w:pPr>
            <w:r>
              <w:rPr>
                <w:rFonts w:ascii="Calibri" w:hAnsi="Calibri" w:eastAsia="宋体"/>
                <w:b w:val="0"/>
                <w:color w:val="1C232A"/>
                <w:sz w:val="16"/>
              </w:rPr>
              <w:t>王昊涵</w:t>
            </w:r>
          </w:p>
        </w:tc>
        <w:tc>
          <w:tcPr>
            <w:tcW w:type="dxa" w:w="19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6"/>
              </w:rPr>
              <w:t>核心业务类图</w:t>
            </w:r>
          </w:p>
        </w:tc>
        <w:tc>
          <w:tcPr>
            <w:tcW w:type="dxa" w:w="19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6"/>
              </w:rPr>
              <w:t>待本人确认</w:t>
            </w:r>
          </w:p>
        </w:tc>
        <w:tc>
          <w:tcPr>
            <w:tcW w:type="dxa" w:w="19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6"/>
              </w:rPr>
              <w:t>待填写</w:t>
            </w:r>
          </w:p>
        </w:tc>
        <w:tc>
          <w:tcPr>
            <w:tcW w:type="dxa" w:w="19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6"/>
              </w:rPr>
              <w:t>待填写</w:t>
            </w:r>
          </w:p>
        </w:tc>
      </w:tr>
      <w:tr>
        <w:trPr>
          <w:cantSplit/>
        </w:trPr>
        <w:tc>
          <w:tcPr>
            <w:tcW w:type="dxa" w:w="19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50" w:after="50" w:line="276" w:lineRule="auto"/>
              <w:jc w:val="center"/>
            </w:pPr>
            <w:r>
              <w:rPr>
                <w:rFonts w:ascii="Calibri" w:hAnsi="Calibri" w:eastAsia="宋体"/>
                <w:b w:val="0"/>
                <w:color w:val="1C232A"/>
                <w:sz w:val="16"/>
              </w:rPr>
              <w:t>宋显涵</w:t>
            </w:r>
          </w:p>
        </w:tc>
        <w:tc>
          <w:tcPr>
            <w:tcW w:type="dxa" w:w="19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6"/>
              </w:rPr>
              <w:t>数据采集入库时序图、文档整合</w:t>
            </w:r>
          </w:p>
        </w:tc>
        <w:tc>
          <w:tcPr>
            <w:tcW w:type="dxa" w:w="19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6"/>
              </w:rPr>
              <w:t>Codex、PlantUML、CodeArts 示例包</w:t>
            </w:r>
          </w:p>
        </w:tc>
        <w:tc>
          <w:tcPr>
            <w:tcW w:type="dxa" w:w="19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6"/>
              </w:rPr>
              <w:t>待填写</w:t>
            </w:r>
          </w:p>
        </w:tc>
        <w:tc>
          <w:tcPr>
            <w:tcW w:type="dxa" w:w="19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6"/>
              </w:rPr>
              <w:t>待填写</w:t>
            </w:r>
          </w:p>
        </w:tc>
      </w:tr>
      <w:tr>
        <w:trPr>
          <w:cantSplit/>
        </w:trPr>
        <w:tc>
          <w:tcPr>
            <w:tcW w:type="dxa" w:w="19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before="50" w:after="50" w:line="276" w:lineRule="auto"/>
              <w:jc w:val="center"/>
            </w:pPr>
            <w:r>
              <w:rPr>
                <w:rFonts w:ascii="Calibri" w:hAnsi="Calibri" w:eastAsia="宋体"/>
                <w:b w:val="0"/>
                <w:color w:val="1C232A"/>
                <w:sz w:val="16"/>
              </w:rPr>
              <w:t>李昊阳</w:t>
            </w:r>
          </w:p>
        </w:tc>
        <w:tc>
          <w:tcPr>
            <w:tcW w:type="dxa" w:w="19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6"/>
              </w:rPr>
              <w:t>门户认领审核时序图、课堂反馈记录</w:t>
            </w:r>
          </w:p>
        </w:tc>
        <w:tc>
          <w:tcPr>
            <w:tcW w:type="dxa" w:w="19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6"/>
              </w:rPr>
              <w:t>待本人确认</w:t>
            </w:r>
          </w:p>
        </w:tc>
        <w:tc>
          <w:tcPr>
            <w:tcW w:type="dxa" w:w="19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6"/>
              </w:rPr>
              <w:t>待填写</w:t>
            </w:r>
          </w:p>
        </w:tc>
        <w:tc>
          <w:tcPr>
            <w:tcW w:type="dxa" w:w="19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6"/>
              </w:rPr>
              <w:t>待填写</w:t>
            </w:r>
          </w:p>
        </w:tc>
      </w:tr>
      <w:tr>
        <w:trPr>
          <w:cantSplit/>
        </w:trPr>
        <w:tc>
          <w:tcPr>
            <w:tcW w:type="dxa" w:w="19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50" w:after="50" w:line="276" w:lineRule="auto"/>
              <w:jc w:val="center"/>
            </w:pPr>
            <w:r>
              <w:rPr>
                <w:rFonts w:ascii="Calibri" w:hAnsi="Calibri" w:eastAsia="宋体"/>
                <w:b w:val="0"/>
                <w:color w:val="1C232A"/>
                <w:sz w:val="16"/>
              </w:rPr>
              <w:t>孙子涵</w:t>
            </w:r>
          </w:p>
        </w:tc>
        <w:tc>
          <w:tcPr>
            <w:tcW w:type="dxa" w:w="19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6"/>
              </w:rPr>
              <w:t>检索请求处理时序图与展示整合</w:t>
            </w:r>
          </w:p>
        </w:tc>
        <w:tc>
          <w:tcPr>
            <w:tcW w:type="dxa" w:w="19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6"/>
              </w:rPr>
              <w:t>待本人确认</w:t>
            </w:r>
          </w:p>
        </w:tc>
        <w:tc>
          <w:tcPr>
            <w:tcW w:type="dxa" w:w="19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6"/>
              </w:rPr>
              <w:t>待填写</w:t>
            </w:r>
          </w:p>
        </w:tc>
        <w:tc>
          <w:tcPr>
            <w:tcW w:type="dxa" w:w="19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6"/>
              </w:rPr>
              <w:t>待填写</w:t>
            </w:r>
          </w:p>
        </w:tc>
      </w:tr>
      <w:tr>
        <w:trPr>
          <w:cantSplit/>
        </w:trPr>
        <w:tc>
          <w:tcPr>
            <w:tcW w:type="dxa" w:w="19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before="50" w:after="50" w:line="276" w:lineRule="auto"/>
              <w:jc w:val="center"/>
            </w:pPr>
            <w:r>
              <w:rPr>
                <w:rFonts w:ascii="Calibri" w:hAnsi="Calibri" w:eastAsia="宋体"/>
                <w:b w:val="0"/>
                <w:color w:val="1C232A"/>
                <w:sz w:val="16"/>
              </w:rPr>
              <w:t>CognitaNexus 组成员</w:t>
            </w:r>
          </w:p>
        </w:tc>
        <w:tc>
          <w:tcPr>
            <w:tcW w:type="dxa" w:w="19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6"/>
              </w:rPr>
              <w:t>规则细化、共同 SRS 和交叉复核</w:t>
            </w:r>
          </w:p>
        </w:tc>
        <w:tc>
          <w:tcPr>
            <w:tcW w:type="dxa" w:w="19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6"/>
              </w:rPr>
              <w:t>待各成员确认</w:t>
            </w:r>
          </w:p>
        </w:tc>
        <w:tc>
          <w:tcPr>
            <w:tcW w:type="dxa" w:w="19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6"/>
              </w:rPr>
              <w:t>待填写</w:t>
            </w:r>
          </w:p>
        </w:tc>
        <w:tc>
          <w:tcPr>
            <w:tcW w:type="dxa" w:w="19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6"/>
              </w:rPr>
              <w:t>待填写</w:t>
            </w:r>
          </w:p>
        </w:tc>
      </w:tr>
    </w:tbl>
    <w:p>
      <w:pPr>
        <w:spacing w:after="0"/>
      </w:pPr>
    </w:p>
    <w:p>
      <w:pPr>
        <w:pStyle w:val="Heading1"/>
      </w:pPr>
      <w:r>
        <w:t>6 责任边界</w:t>
      </w:r>
    </w:p>
    <w:p>
      <w:pPr>
        <w:ind w:firstLine="420"/>
      </w:pPr>
      <w:r>
        <w:t>团队保留 AI 生成内容的修改权和否决权。课程提交前由全体成员确认实际使用记录；“待本人确认”不是最终提交状态，未确认的信息不得替成员推断或补写。最终版本以全队签认、CodeArts 平台导出和课堂反馈修订后的文件为准。</w:t>
      </w:r>
    </w:p>
    <w:p>
      <w:pPr>
        <w:spacing w:before="0" w:after="0" w:line="20" w:lineRule="exact"/>
      </w:pPr>
      <w:r>
        <w:rPr>
          <w:rFonts w:ascii="Calibri" w:hAnsi="Calibri" w:eastAsia="宋体"/>
          <w:sz w:val="2"/>
        </w:rPr>
        <w:t xml:space="preserve"> </w:t>
      </w:r>
    </w:p>
    <w:sectPr w:rsidR="00FC693F" w:rsidRPr="0006063C" w:rsidSect="00034616">
      <w:footerReference w:type="default" r:id="rId9"/>
      <w:pgSz w:w="11906" w:h="16838"/>
      <w:pgMar w:top="1134" w:right="1134" w:bottom="1020" w:left="1247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宋体"/>
        <w:color w:val="737B83"/>
        <w:sz w:val="16"/>
      </w:rPr>
      <w:t xml:space="preserve">03组 可御风雪可燃冰　·　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00"/>
    </w:pPr>
    <w:rPr>
      <w:rFonts w:ascii="Calibri" w:hAnsi="Calibri" w:eastAsia="宋体"/>
      <w:color w:val="1C232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2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需求分析阶段 AI 使用声明</dc:title>
  <dc:subject>软件系统分析与设计课程作业3需求分析</dc:subject>
  <dc:creator>03组 可御风雪可燃冰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