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Relecteur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Statut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Date relecture :  _______________</w:t>
            </w:r>
          </w:p>
        </w:tc>
      </w:tr>
    </w:tbl>
    <w:p/>
    <w:p>
      <w:pPr>
        <w:pStyle w:val="Heading1"/>
      </w:pPr>
      <w:r>
        <w:t>Table of Contents</w:t>
      </w:r>
    </w:p>
    <w:p/>
    <w:p>
      <w:pPr>
        <w:pStyle w:val="ListBullet"/>
        <w:ind w:left="360"/>
      </w:pPr>
      <w:r>
        <w:rPr>
          <w:color w:val="175BCE"/>
          <w:u w:val="single"/>
        </w:rPr>
        <w:t>🏠 Accueil</w:t>
      </w:r>
    </w:p>
    <w:p/>
    <w:p>
      <w:pPr>
        <w:pStyle w:val="Heading2"/>
      </w:pPr>
      <w:r>
        <w:t>👤 Je suis en faillite</w:t>
      </w:r>
    </w:p>
    <w:p/>
    <w:p>
      <w:pPr>
        <w:pStyle w:val="ListBullet"/>
        <w:ind w:left="360"/>
      </w:pPr>
      <w:r>
        <w:rPr>
          <w:color w:val="175BCE"/>
          <w:u w:val="single"/>
        </w:rPr>
        <w:t>Vue d'ensemble</w:t>
      </w:r>
    </w:p>
    <w:p>
      <w:pPr>
        <w:pStyle w:val="ListBullet"/>
        <w:ind w:left="360"/>
      </w:pPr>
      <w:r>
        <w:rPr>
          <w:color w:val="175BCE"/>
          <w:u w:val="single"/>
        </w:rPr>
        <w:t>Vos obligations immédiates</w:t>
      </w:r>
    </w:p>
    <w:p>
      <w:pPr>
        <w:pStyle w:val="ListBullet"/>
        <w:ind w:left="360"/>
      </w:pPr>
      <w:r>
        <w:rPr>
          <w:color w:val="175BCE"/>
          <w:u w:val="single"/>
        </w:rPr>
        <w:t>Vos droits</w:t>
      </w:r>
    </w:p>
    <w:p>
      <w:pPr>
        <w:pStyle w:val="ListBullet"/>
        <w:ind w:left="360"/>
      </w:pPr>
      <w:r>
        <w:rPr>
          <w:color w:val="175BCE"/>
          <w:u w:val="single"/>
        </w:rPr>
        <w:t>L'effacement des dettes</w:t>
      </w:r>
    </w:p>
    <w:p>
      <w:pPr>
        <w:pStyle w:val="ListBullet"/>
        <w:ind w:left="360"/>
      </w:pPr>
      <w:r>
        <w:rPr>
          <w:color w:val="175BCE"/>
          <w:u w:val="single"/>
        </w:rPr>
        <w:t>Reprendre une activité</w:t>
      </w:r>
    </w:p>
    <w:p>
      <w:pPr>
        <w:pStyle w:val="ListBullet"/>
        <w:ind w:left="360"/>
      </w:pPr>
      <w:r>
        <w:rPr>
          <w:color w:val="175BCE"/>
          <w:u w:val="single"/>
        </w:rPr>
        <w:t>L'interdiction de gérer</w:t>
      </w:r>
    </w:p>
    <w:p>
      <w:pPr>
        <w:pStyle w:val="ListBullet"/>
        <w:ind w:left="360"/>
      </w:pPr>
      <w:r>
        <w:rPr>
          <w:color w:val="175BCE"/>
          <w:u w:val="single"/>
        </w:rPr>
        <w:t>FAQ - Questions fréquentes</w:t>
      </w:r>
    </w:p>
    <w:p/>
    <w:p>
      <w:pPr>
        <w:pStyle w:val="Heading2"/>
      </w:pPr>
      <w:r>
        <w:t>💼 Je suis créancier</w:t>
      </w:r>
    </w:p>
    <w:p/>
    <w:p>
      <w:pPr>
        <w:pStyle w:val="ListBullet"/>
        <w:ind w:left="360"/>
      </w:pPr>
      <w:r>
        <w:rPr>
          <w:color w:val="175BCE"/>
          <w:u w:val="single"/>
        </w:rPr>
        <w:t>Vue d'ensemble</w:t>
      </w:r>
    </w:p>
    <w:p>
      <w:pPr>
        <w:pStyle w:val="ListBullet"/>
        <w:ind w:left="360"/>
      </w:pPr>
      <w:r>
        <w:rPr>
          <w:color w:val="175BCE"/>
          <w:u w:val="single"/>
        </w:rPr>
        <w:t>Déclarer votre créance</w:t>
      </w:r>
    </w:p>
    <w:p>
      <w:pPr>
        <w:pStyle w:val="ListBullet"/>
        <w:ind w:left="360"/>
      </w:pPr>
      <w:r>
        <w:rPr>
          <w:color w:val="175BCE"/>
          <w:u w:val="single"/>
        </w:rPr>
        <w:t>Vérification et contestation</w:t>
      </w:r>
    </w:p>
    <w:p>
      <w:pPr>
        <w:pStyle w:val="ListBullet"/>
        <w:ind w:left="360"/>
      </w:pPr>
      <w:r>
        <w:rPr>
          <w:color w:val="175BCE"/>
          <w:u w:val="single"/>
        </w:rPr>
        <w:t>Le paiement (dividendes)</w:t>
      </w:r>
    </w:p>
    <w:p>
      <w:pPr>
        <w:pStyle w:val="ListBullet"/>
        <w:ind w:left="360"/>
      </w:pPr>
      <w:r>
        <w:rPr>
          <w:color w:val="175BCE"/>
          <w:u w:val="single"/>
        </w:rPr>
        <w:t>Vos droits spécifiques</w:t>
      </w:r>
    </w:p>
    <w:p>
      <w:pPr>
        <w:pStyle w:val="ListBullet"/>
        <w:ind w:left="360"/>
      </w:pPr>
      <w:r>
        <w:rPr>
          <w:color w:val="175BCE"/>
          <w:u w:val="single"/>
        </w:rPr>
        <w:t>FAQ - Questions fréquentes</w:t>
      </w:r>
    </w:p>
    <w:p/>
    <w:p>
      <w:pPr>
        <w:pStyle w:val="Heading2"/>
      </w:pPr>
      <w:r>
        <w:t>📖 Comprendre la procédure</w:t>
      </w:r>
    </w:p>
    <w:p/>
    <w:p>
      <w:pPr>
        <w:pStyle w:val="ListBullet"/>
        <w:ind w:left="360"/>
      </w:pPr>
      <w:r>
        <w:rPr>
          <w:color w:val="175BCE"/>
          <w:u w:val="single"/>
        </w:rPr>
        <w:t>Qu'est-ce qu'une faillite ?</w:t>
      </w:r>
    </w:p>
    <w:p>
      <w:pPr>
        <w:pStyle w:val="ListBullet"/>
        <w:ind w:left="360"/>
      </w:pPr>
      <w:r>
        <w:rPr>
          <w:color w:val="175BCE"/>
          <w:u w:val="single"/>
        </w:rPr>
        <w:t>Les acteurs de la faillite</w:t>
      </w:r>
    </w:p>
    <w:p>
      <w:pPr>
        <w:pStyle w:val="ListBullet"/>
        <w:ind w:left="360"/>
      </w:pPr>
      <w:r>
        <w:rPr>
          <w:color w:val="175BCE"/>
          <w:u w:val="single"/>
        </w:rPr>
        <w:t>Le déroulement chronologique</w:t>
      </w:r>
    </w:p>
    <w:p>
      <w:pPr>
        <w:pStyle w:val="ListBullet"/>
        <w:ind w:left="360"/>
      </w:pPr>
      <w:r>
        <w:rPr>
          <w:color w:val="175BCE"/>
          <w:u w:val="single"/>
        </w:rPr>
        <w:t>Le dessaisissement</w:t>
      </w:r>
    </w:p>
    <w:p>
      <w:pPr>
        <w:pStyle w:val="ListBullet"/>
        <w:ind w:left="360"/>
      </w:pPr>
      <w:r>
        <w:rPr>
          <w:color w:val="175BCE"/>
          <w:u w:val="single"/>
        </w:rPr>
        <w:t>La liquidation des actifs</w:t>
      </w:r>
    </w:p>
    <w:p>
      <w:pPr>
        <w:pStyle w:val="ListBullet"/>
        <w:ind w:left="360"/>
      </w:pPr>
      <w:r>
        <w:rPr>
          <w:color w:val="175BCE"/>
          <w:u w:val="single"/>
        </w:rPr>
        <w:t>La clôture de la faillite</w:t>
      </w:r>
    </w:p>
    <w:p/>
    <w:p>
      <w:pPr>
        <w:pStyle w:val="Heading2"/>
      </w:pPr>
      <w:r>
        <w:t>📚 Ressources</w:t>
      </w:r>
    </w:p>
    <w:p/>
    <w:p>
      <w:pPr>
        <w:pStyle w:val="ListBullet"/>
        <w:ind w:left="360"/>
      </w:pPr>
      <w:r>
        <w:rPr>
          <w:color w:val="175BCE"/>
          <w:u w:val="single"/>
        </w:rPr>
        <w:t>⏰ Délais importants</w:t>
      </w:r>
    </w:p>
    <w:p>
      <w:pPr>
        <w:pStyle w:val="ListBullet"/>
        <w:ind w:left="360"/>
      </w:pPr>
      <w:r>
        <w:rPr>
          <w:color w:val="175BCE"/>
          <w:u w:val="single"/>
        </w:rPr>
        <w:t>📖 Glossaire</w:t>
      </w:r>
    </w:p>
    <w:p>
      <w:pPr>
        <w:pStyle w:val="ListBullet"/>
        <w:ind w:left="360"/>
      </w:pPr>
      <w:r>
        <w:rPr>
          <w:color w:val="175BCE"/>
          <w:u w:val="single"/>
        </w:rPr>
        <w:t>🔗 Ressources officielles</w:t>
      </w:r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infofaillite.be — SUMMARY.md — Relecture GitBook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