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sz w:val="44"/>
        </w:rPr>
        <w:t>FLOOD PREDICTION SYSTEM</w:t>
        <w:br/>
        <w:t>USING STACKING ENSEMBLE MACHINE LEARNING</w:t>
      </w:r>
    </w:p>
    <w:p>
      <w:pPr>
        <w:jc w:val="center"/>
      </w:pPr>
      <w:r>
        <w:rPr>
          <w:rFonts w:ascii="Times New Roman" w:hAnsi="Times New Roman"/>
          <w:sz w:val="32"/>
        </w:rPr>
        <w:br/>
        <w:t>Project Synopsis</w:t>
      </w:r>
    </w:p>
    <w:p>
      <w:pPr>
        <w:jc w:val="center"/>
      </w:pPr>
      <w:r>
        <w:rPr>
          <w:rFonts w:ascii="Times New Roman" w:hAnsi="Times New Roman"/>
          <w:sz w:val="28"/>
        </w:rPr>
        <w:br/>
        <w:br/>
        <w:t>Subject: Disaster Management Preparedness (DMP)</w:t>
      </w:r>
    </w:p>
    <w:p>
      <w:r>
        <w:br w:type="page"/>
      </w:r>
    </w:p>
    <w:p>
      <w:pPr>
        <w:pStyle w:val="Heading1"/>
      </w:pPr>
      <w:r>
        <w:rPr>
          <w:color w:val="000000"/>
        </w:rPr>
        <w:t>Table of Contents</w:t>
      </w:r>
    </w:p>
    <w:p>
      <w:pPr>
        <w:spacing w:after="40"/>
      </w:pPr>
      <w:r>
        <w:t>1. Introduction</w:t>
      </w:r>
    </w:p>
    <w:p>
      <w:pPr>
        <w:spacing w:after="40"/>
      </w:pPr>
      <w:r>
        <w:t>2. Problem Statement</w:t>
      </w:r>
    </w:p>
    <w:p>
      <w:pPr>
        <w:spacing w:after="40"/>
      </w:pPr>
      <w:r>
        <w:t>3. Objectives</w:t>
      </w:r>
    </w:p>
    <w:p>
      <w:pPr>
        <w:spacing w:after="40"/>
      </w:pPr>
      <w:r>
        <w:t>4. Methodology</w:t>
      </w:r>
    </w:p>
    <w:p>
      <w:pPr>
        <w:spacing w:after="40"/>
      </w:pPr>
      <w:r>
        <w:t xml:space="preserve">   4.1 Data Collection</w:t>
      </w:r>
    </w:p>
    <w:p>
      <w:pPr>
        <w:spacing w:after="40"/>
      </w:pPr>
      <w:r>
        <w:t xml:space="preserve">   4.2 Data Preprocessing</w:t>
      </w:r>
    </w:p>
    <w:p>
      <w:pPr>
        <w:spacing w:after="40"/>
      </w:pPr>
      <w:r>
        <w:t xml:space="preserve">   4.3 Feature Engineering</w:t>
      </w:r>
    </w:p>
    <w:p>
      <w:pPr>
        <w:spacing w:after="40"/>
      </w:pPr>
      <w:r>
        <w:t xml:space="preserve">   4.4 Target Variable Transformation</w:t>
      </w:r>
    </w:p>
    <w:p>
      <w:pPr>
        <w:spacing w:after="40"/>
      </w:pPr>
      <w:r>
        <w:t xml:space="preserve">   4.5 Model Architecture</w:t>
      </w:r>
    </w:p>
    <w:p>
      <w:pPr>
        <w:spacing w:after="40"/>
      </w:pPr>
      <w:r>
        <w:t xml:space="preserve">   4.6 Evaluation Metrics</w:t>
      </w:r>
    </w:p>
    <w:p>
      <w:pPr>
        <w:spacing w:after="40"/>
      </w:pPr>
      <w:r>
        <w:t>5. Tools &amp; Technologies</w:t>
      </w:r>
    </w:p>
    <w:p>
      <w:pPr>
        <w:spacing w:after="40"/>
      </w:pPr>
      <w:r>
        <w:t>6. Expected Outcomes</w:t>
      </w:r>
    </w:p>
    <w:p>
      <w:pPr>
        <w:spacing w:after="40"/>
      </w:pPr>
      <w:r>
        <w:t>7. Project Timeline</w:t>
      </w:r>
    </w:p>
    <w:p>
      <w:pPr>
        <w:spacing w:after="40"/>
      </w:pPr>
      <w:r>
        <w:t>8. Future Scope</w:t>
      </w:r>
    </w:p>
    <w:p>
      <w:pPr>
        <w:spacing w:after="40"/>
      </w:pPr>
      <w:r>
        <w:t>9. References</w:t>
      </w:r>
    </w:p>
    <w:p>
      <w:r>
        <w:br w:type="page"/>
      </w:r>
    </w:p>
    <w:p>
      <w:pPr>
        <w:pStyle w:val="Heading1"/>
      </w:pPr>
      <w:r>
        <w:rPr>
          <w:color w:val="000000"/>
        </w:rPr>
        <w:t>1. Introduction</w:t>
      </w:r>
    </w:p>
    <w:p>
      <w:r>
        <w:t>Floods are among the most devastating natural disasters worldwide, causing significant loss of life, property damage, and economic disruption. Traditional flood prediction methods rely on manual assessment and simple meteorological models, which often lack precision and timeliness.</w:t>
      </w:r>
    </w:p>
    <w:p>
      <w:r>
        <w:t>This project develops a Machine Learning-based Flood Prediction System that analyzes multiple environmental, infrastructural, and climatic factors to predict flood risk. By leveraging a Stacking Ensemble approach combining Random Forest and XGBoost classifiers, the system provides accurate, data-driven flood risk assessments that can assist disaster management authorities in making proactive decisions.</w:t>
      </w:r>
    </w:p>
    <w:p>
      <w:r>
        <w:t>As part of the Disaster Management Preparedness (DMP) curriculum, this project demonstrates how modern machine learning techniques can be applied to real-world disaster prediction and mitigation, enabling early warning systems and informed resource allocation during flood-prone seasons.</w:t>
      </w:r>
    </w:p>
    <w:p>
      <w:pPr>
        <w:pStyle w:val="Heading1"/>
      </w:pPr>
      <w:r>
        <w:rPr>
          <w:color w:val="000000"/>
        </w:rPr>
        <w:t>2. Problem Statement</w:t>
      </w:r>
    </w:p>
    <w:p>
      <w:r>
        <w:t>Existing flood warning systems are often reactive rather than predictive and fail to account for the complex interplay of factors such as monsoon intensity, drainage infrastructure quality, deforestation levels, and urbanization patterns. There is a need for an intelligent system that can:</w:t>
      </w:r>
    </w:p>
    <w:p>
      <w:pPr>
        <w:pStyle w:val="ListBullet"/>
      </w:pPr>
      <w:r>
        <w:t>Analyze multiple contributing factors simultaneously</w:t>
      </w:r>
    </w:p>
    <w:p>
      <w:pPr>
        <w:pStyle w:val="ListBullet"/>
      </w:pPr>
      <w:r>
        <w:t>Classify regions into flood risk categories (Low / High)</w:t>
      </w:r>
    </w:p>
    <w:p>
      <w:pPr>
        <w:pStyle w:val="ListBullet"/>
      </w:pPr>
      <w:r>
        <w:t>Provide predictions that support early warning and resource allocation</w:t>
      </w:r>
    </w:p>
    <w:p>
      <w:pPr>
        <w:pStyle w:val="ListBullet"/>
      </w:pPr>
      <w:r>
        <w:t>Aid disaster management preparedness through data-driven insights</w:t>
      </w:r>
    </w:p>
    <w:p>
      <w:pPr>
        <w:pStyle w:val="Heading1"/>
      </w:pPr>
      <w:r>
        <w:rPr>
          <w:color w:val="000000"/>
        </w:rPr>
        <w:t>3. Objectives</w:t>
      </w:r>
    </w:p>
    <w:p>
      <w:r>
        <w:t>1. To collect and preprocess flood-related data encompassing 15+ environmental and infrastructural parameters.</w:t>
      </w:r>
    </w:p>
    <w:p>
      <w:r>
        <w:t>2. To perform Exploratory Data Analysis (EDA) identifying key flood-contributing factors.</w:t>
      </w:r>
    </w:p>
    <w:p>
      <w:r>
        <w:t>3. To engineer domain-specific features that capture compound risk indicators.</w:t>
      </w:r>
    </w:p>
    <w:p>
      <w:r>
        <w:t>4. To build and train a Stacking Ensemble classifier (Random Forest + XGBoost) for flood risk prediction.</w:t>
      </w:r>
    </w:p>
    <w:p>
      <w:r>
        <w:t>5. To evaluate model performance and achieve reliable classification accuracy.</w:t>
      </w:r>
    </w:p>
    <w:p>
      <w:r>
        <w:t>6. To demonstrate the application of machine learning in disaster management preparedness.</w:t>
      </w:r>
    </w:p>
    <w:p>
      <w:pPr>
        <w:pStyle w:val="Heading1"/>
      </w:pPr>
      <w:r>
        <w:rPr>
          <w:color w:val="000000"/>
        </w:rPr>
        <w:t>4. Methodology</w:t>
      </w:r>
    </w:p>
    <w:p>
      <w:pPr>
        <w:pStyle w:val="Heading2"/>
      </w:pPr>
      <w:r>
        <w:rPr>
          <w:color w:val="000000"/>
        </w:rPr>
        <w:t>4.1 Data Collection</w:t>
      </w:r>
    </w:p>
    <w:p>
      <w:r>
        <w:t>The dataset used in this project is sourced from Kaggle and contains 50,000 records with 21 features covering various flood-contributing factors. The target variable is FloodProbability, a continuous value ranging from 0.285 to 0.725.</w:t>
      </w:r>
    </w:p>
    <w:p>
      <w:pPr>
        <w:pStyle w:val="Heading2"/>
      </w:pPr>
      <w:r>
        <w:rPr>
          <w:color w:val="000000"/>
        </w:rPr>
        <w:t>4.2 Data Preprocessing</w:t>
      </w:r>
    </w:p>
    <w:p>
      <w:r>
        <w:t>The data preprocessing pipeline includes the following steps: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Description</w:t>
            </w:r>
          </w:p>
        </w:tc>
      </w:tr>
      <w:tr>
        <w:tc>
          <w:tcPr>
            <w:tcW w:type="dxa" w:w="4320"/>
          </w:tcPr>
          <w:p>
            <w:r>
              <w:rPr>
                <w:rFonts w:ascii="Times New Roman" w:hAnsi="Times New Roman"/>
                <w:sz w:val="22"/>
              </w:rPr>
              <w:t>Null Value Check</w:t>
            </w:r>
          </w:p>
        </w:tc>
        <w:tc>
          <w:tcPr>
            <w:tcW w:type="dxa" w:w="4320"/>
          </w:tcPr>
          <w:p>
            <w:r>
              <w:rPr>
                <w:rFonts w:ascii="Times New Roman" w:hAnsi="Times New Roman"/>
                <w:sz w:val="22"/>
              </w:rPr>
              <w:t>Confirmed zero missing values across all 21 features</w:t>
            </w:r>
          </w:p>
        </w:tc>
      </w:tr>
      <w:tr>
        <w:tc>
          <w:tcPr>
            <w:tcW w:type="dxa" w:w="4320"/>
          </w:tcPr>
          <w:p>
            <w:r>
              <w:rPr>
                <w:rFonts w:ascii="Times New Roman" w:hAnsi="Times New Roman"/>
                <w:sz w:val="22"/>
              </w:rPr>
              <w:t>Feature Selection</w:t>
            </w:r>
          </w:p>
        </w:tc>
        <w:tc>
          <w:tcPr>
            <w:tcW w:type="dxa" w:w="4320"/>
          </w:tcPr>
          <w:p>
            <w:r>
              <w:rPr>
                <w:rFonts w:ascii="Times New Roman" w:hAnsi="Times New Roman"/>
                <w:sz w:val="22"/>
              </w:rPr>
              <w:t>Selected 15 most relevant features from original 21 based on correlation analysis</w:t>
            </w:r>
          </w:p>
        </w:tc>
      </w:tr>
      <w:tr>
        <w:tc>
          <w:tcPr>
            <w:tcW w:type="dxa" w:w="4320"/>
          </w:tcPr>
          <w:p>
            <w:r>
              <w:rPr>
                <w:rFonts w:ascii="Times New Roman" w:hAnsi="Times New Roman"/>
                <w:sz w:val="22"/>
              </w:rPr>
              <w:t>Outlier Detection</w:t>
            </w:r>
          </w:p>
        </w:tc>
        <w:tc>
          <w:tcPr>
            <w:tcW w:type="dxa" w:w="4320"/>
          </w:tcPr>
          <w:p>
            <w:r>
              <w:rPr>
                <w:rFonts w:ascii="Times New Roman" w:hAnsi="Times New Roman"/>
                <w:sz w:val="22"/>
              </w:rPr>
              <w:t>Identified outliers using IQR-based box plot analysis</w:t>
            </w:r>
          </w:p>
        </w:tc>
      </w:tr>
      <w:tr>
        <w:tc>
          <w:tcPr>
            <w:tcW w:type="dxa" w:w="4320"/>
          </w:tcPr>
          <w:p>
            <w:r>
              <w:rPr>
                <w:rFonts w:ascii="Times New Roman" w:hAnsi="Times New Roman"/>
                <w:sz w:val="22"/>
              </w:rPr>
              <w:t>Outlier Capping</w:t>
            </w:r>
          </w:p>
        </w:tc>
        <w:tc>
          <w:tcPr>
            <w:tcW w:type="dxa" w:w="4320"/>
          </w:tcPr>
          <w:p>
            <w:r>
              <w:rPr>
                <w:rFonts w:ascii="Times New Roman" w:hAnsi="Times New Roman"/>
                <w:sz w:val="22"/>
              </w:rPr>
              <w:t>Applied IQR capping method on 9 features with significant outliers</w:t>
            </w:r>
          </w:p>
        </w:tc>
      </w:tr>
      <w:tr>
        <w:tc>
          <w:tcPr>
            <w:tcW w:type="dxa" w:w="4320"/>
          </w:tcPr>
          <w:p>
            <w:r>
              <w:rPr>
                <w:rFonts w:ascii="Times New Roman" w:hAnsi="Times New Roman"/>
                <w:sz w:val="22"/>
              </w:rPr>
              <w:t>Data Export</w:t>
            </w:r>
          </w:p>
        </w:tc>
        <w:tc>
          <w:tcPr>
            <w:tcW w:type="dxa" w:w="4320"/>
          </w:tcPr>
          <w:p>
            <w:r>
              <w:rPr>
                <w:rFonts w:ascii="Times New Roman" w:hAnsi="Times New Roman"/>
                <w:sz w:val="22"/>
              </w:rPr>
              <w:t>Saved cleaned dataset as cleaned_floods.csv (50,000 records × 16 columns)</w:t>
            </w:r>
          </w:p>
        </w:tc>
      </w:tr>
    </w:tbl>
    <w:p>
      <w:pPr>
        <w:pStyle w:val="Heading2"/>
      </w:pPr>
      <w:r>
        <w:rPr>
          <w:color w:val="000000"/>
        </w:rPr>
        <w:t>4.3 Feature Engineering</w:t>
      </w:r>
    </w:p>
    <w:p>
      <w:r>
        <w:t>Five compound features were created from domain knowledge to capture higher-level risk indicators: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Formula</w:t>
            </w:r>
          </w:p>
        </w:tc>
        <w:tc>
          <w:tcPr>
            <w:tcW w:type="dxa" w:w="2880"/>
          </w:tcPr>
          <w:p>
            <w:r>
              <w:rPr>
                <w:b/>
              </w:rPr>
              <w:t>Rationale</w:t>
            </w:r>
          </w:p>
        </w:tc>
      </w:tr>
      <w:tr>
        <w:tc>
          <w:tcPr>
            <w:tcW w:type="dxa" w:w="2880"/>
          </w:tcPr>
          <w:p>
            <w:r>
              <w:rPr>
                <w:rFonts w:ascii="Times New Roman" w:hAnsi="Times New Roman"/>
                <w:sz w:val="22"/>
              </w:rPr>
              <w:t>InfraScore</w:t>
            </w:r>
          </w:p>
        </w:tc>
        <w:tc>
          <w:tcPr>
            <w:tcW w:type="dxa" w:w="2880"/>
          </w:tcPr>
          <w:p>
            <w:r>
              <w:rPr>
                <w:rFonts w:ascii="Times New Roman" w:hAnsi="Times New Roman"/>
                <w:sz w:val="22"/>
              </w:rPr>
              <w:t>DamsQuality + DrainageSystems + DeterioratingInfrastructure + RiverManagement</w:t>
            </w:r>
          </w:p>
        </w:tc>
        <w:tc>
          <w:tcPr>
            <w:tcW w:type="dxa" w:w="2880"/>
          </w:tcPr>
          <w:p>
            <w:r>
              <w:rPr>
                <w:rFonts w:ascii="Times New Roman" w:hAnsi="Times New Roman"/>
                <w:sz w:val="22"/>
              </w:rPr>
              <w:t>Combined infrastructure quality</w:t>
            </w:r>
          </w:p>
        </w:tc>
      </w:tr>
      <w:tr>
        <w:tc>
          <w:tcPr>
            <w:tcW w:type="dxa" w:w="2880"/>
          </w:tcPr>
          <w:p>
            <w:r>
              <w:rPr>
                <w:rFonts w:ascii="Times New Roman" w:hAnsi="Times New Roman"/>
                <w:sz w:val="22"/>
              </w:rPr>
              <w:t>EnvRisk</w:t>
            </w:r>
          </w:p>
        </w:tc>
        <w:tc>
          <w:tcPr>
            <w:tcW w:type="dxa" w:w="2880"/>
          </w:tcPr>
          <w:p>
            <w:r>
              <w:rPr>
                <w:rFonts w:ascii="Times New Roman" w:hAnsi="Times New Roman"/>
                <w:sz w:val="22"/>
              </w:rPr>
              <w:t>Deforestation + WetlandLoss + Urbanization + Encroachments</w:t>
            </w:r>
          </w:p>
        </w:tc>
        <w:tc>
          <w:tcPr>
            <w:tcW w:type="dxa" w:w="2880"/>
          </w:tcPr>
          <w:p>
            <w:r>
              <w:rPr>
                <w:rFonts w:ascii="Times New Roman" w:hAnsi="Times New Roman"/>
                <w:sz w:val="22"/>
              </w:rPr>
              <w:t>Environmental degradation score</w:t>
            </w:r>
          </w:p>
        </w:tc>
      </w:tr>
      <w:tr>
        <w:tc>
          <w:tcPr>
            <w:tcW w:type="dxa" w:w="2880"/>
          </w:tcPr>
          <w:p>
            <w:r>
              <w:rPr>
                <w:rFonts w:ascii="Times New Roman" w:hAnsi="Times New Roman"/>
                <w:sz w:val="22"/>
              </w:rPr>
              <w:t>ClimateRisk</w:t>
            </w:r>
          </w:p>
        </w:tc>
        <w:tc>
          <w:tcPr>
            <w:tcW w:type="dxa" w:w="2880"/>
          </w:tcPr>
          <w:p>
            <w:r>
              <w:rPr>
                <w:rFonts w:ascii="Times New Roman" w:hAnsi="Times New Roman"/>
                <w:sz w:val="22"/>
              </w:rPr>
              <w:t>MonsoonIntensity + ClimateChange + Landslides + Siltation</w:t>
            </w:r>
          </w:p>
        </w:tc>
        <w:tc>
          <w:tcPr>
            <w:tcW w:type="dxa" w:w="2880"/>
          </w:tcPr>
          <w:p>
            <w:r>
              <w:rPr>
                <w:rFonts w:ascii="Times New Roman" w:hAnsi="Times New Roman"/>
                <w:sz w:val="22"/>
              </w:rPr>
              <w:t>Natural hazard intensity</w:t>
            </w:r>
          </w:p>
        </w:tc>
      </w:tr>
      <w:tr>
        <w:tc>
          <w:tcPr>
            <w:tcW w:type="dxa" w:w="2880"/>
          </w:tcPr>
          <w:p>
            <w:r>
              <w:rPr>
                <w:rFonts w:ascii="Times New Roman" w:hAnsi="Times New Roman"/>
                <w:sz w:val="22"/>
              </w:rPr>
              <w:t>RiskRatio</w:t>
            </w:r>
          </w:p>
        </w:tc>
        <w:tc>
          <w:tcPr>
            <w:tcW w:type="dxa" w:w="2880"/>
          </w:tcPr>
          <w:p>
            <w:r>
              <w:rPr>
                <w:rFonts w:ascii="Times New Roman" w:hAnsi="Times New Roman"/>
                <w:sz w:val="22"/>
              </w:rPr>
              <w:t>EnvRisk / (InfraScore + 1)</w:t>
            </w:r>
          </w:p>
        </w:tc>
        <w:tc>
          <w:tcPr>
            <w:tcW w:type="dxa" w:w="2880"/>
          </w:tcPr>
          <w:p>
            <w:r>
              <w:rPr>
                <w:rFonts w:ascii="Times New Roman" w:hAnsi="Times New Roman"/>
                <w:sz w:val="22"/>
              </w:rPr>
              <w:t>Risk vs. preparedness ratio</w:t>
            </w:r>
          </w:p>
        </w:tc>
      </w:tr>
      <w:tr>
        <w:tc>
          <w:tcPr>
            <w:tcW w:type="dxa" w:w="2880"/>
          </w:tcPr>
          <w:p>
            <w:r>
              <w:rPr>
                <w:rFonts w:ascii="Times New Roman" w:hAnsi="Times New Roman"/>
                <w:sz w:val="22"/>
              </w:rPr>
              <w:t>TotalScore</w:t>
            </w:r>
          </w:p>
        </w:tc>
        <w:tc>
          <w:tcPr>
            <w:tcW w:type="dxa" w:w="2880"/>
          </w:tcPr>
          <w:p>
            <w:r>
              <w:rPr>
                <w:rFonts w:ascii="Times New Roman" w:hAnsi="Times New Roman"/>
                <w:sz w:val="22"/>
              </w:rPr>
              <w:t>Sum of all 15 base features</w:t>
            </w:r>
          </w:p>
        </w:tc>
        <w:tc>
          <w:tcPr>
            <w:tcW w:type="dxa" w:w="2880"/>
          </w:tcPr>
          <w:p>
            <w:r>
              <w:rPr>
                <w:rFonts w:ascii="Times New Roman" w:hAnsi="Times New Roman"/>
                <w:sz w:val="22"/>
              </w:rPr>
              <w:t>Overall risk aggregation</w:t>
            </w:r>
          </w:p>
        </w:tc>
      </w:tr>
    </w:tbl>
    <w:p>
      <w:pPr>
        <w:pStyle w:val="Heading2"/>
      </w:pPr>
      <w:r>
        <w:rPr>
          <w:color w:val="000000"/>
        </w:rPr>
        <w:t>4.4 Target Variable Transformation</w:t>
      </w:r>
    </w:p>
    <w:p>
      <w:r>
        <w:t>The continuous FloodProbability value was converted into a binary classification problem:</w:t>
      </w:r>
    </w:p>
    <w:p>
      <w:pPr>
        <w:pStyle w:val="ListBullet"/>
      </w:pPr>
      <w:r>
        <w:t>Class 0 (Low Risk): Below median flood probability</w:t>
      </w:r>
    </w:p>
    <w:p>
      <w:pPr>
        <w:pStyle w:val="ListBullet"/>
      </w:pPr>
      <w:r>
        <w:t>Class 1 (High Risk): At or above median flood probability</w:t>
      </w:r>
    </w:p>
    <w:p>
      <w:pPr>
        <w:pStyle w:val="Heading2"/>
      </w:pPr>
      <w:r>
        <w:rPr>
          <w:color w:val="000000"/>
        </w:rPr>
        <w:t>4.5 Model Architecture — Stacking Ensemble</w:t>
      </w:r>
    </w:p>
    <w:p>
      <w:r>
        <w:t>The system uses a Stacking Ensemble architecture where multiple base models make predictions, and a meta-learner (final Random Forest) combines their outputs for the final prediction.</w:t>
      </w:r>
    </w:p>
    <w:p>
      <w:pPr>
        <w:pStyle w:val="ListBullet"/>
      </w:pPr>
      <w:r>
        <w:t>Level 1 — Base Models:</w:t>
      </w:r>
    </w:p>
    <w:p>
      <w:r>
        <w:t xml:space="preserve">    • Random Forest Classifier (300 estimators)</w:t>
      </w:r>
    </w:p>
    <w:p>
      <w:r>
        <w:t xml:space="preserve">    • XGBoost Classifier (200 estimators)</w:t>
      </w:r>
    </w:p>
    <w:p>
      <w:pPr>
        <w:pStyle w:val="ListBullet"/>
      </w:pPr>
      <w:r>
        <w:t>Level 2 — Meta-Learner:</w:t>
      </w:r>
    </w:p>
    <w:p>
      <w:r>
        <w:t xml:space="preserve">    • Random Forest Classifier (200 estimators)</w:t>
      </w:r>
    </w:p>
    <w:p/>
    <w:p>
      <w:r>
        <w:t>Train/Test Split: 80% training, 20% testing (random_state=42)</w:t>
      </w:r>
    </w:p>
    <w:p>
      <w:r>
        <w:t>Cross-Validation: 5-fold CV for generating meta-features</w:t>
      </w:r>
    </w:p>
    <w:p>
      <w:pPr>
        <w:pStyle w:val="Heading2"/>
      </w:pPr>
      <w:r>
        <w:rPr>
          <w:color w:val="000000"/>
        </w:rPr>
        <w:t>4.6 Evaluation Metrics</w:t>
      </w:r>
    </w:p>
    <w:p>
      <w:pPr>
        <w:pStyle w:val="ListBullet"/>
      </w:pPr>
      <w:r>
        <w:t>Accuracy Score</w:t>
      </w:r>
    </w:p>
    <w:p>
      <w:pPr>
        <w:pStyle w:val="ListBullet"/>
      </w:pPr>
      <w:r>
        <w:t>Classification Report (Precision, Recall, F1-Score per class)</w:t>
      </w:r>
    </w:p>
    <w:p>
      <w:pPr>
        <w:pStyle w:val="Heading1"/>
      </w:pPr>
      <w:r>
        <w:rPr>
          <w:color w:val="000000"/>
        </w:rPr>
        <w:t>5. Tools &amp; Technologies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Tool / Library</w:t>
            </w:r>
          </w:p>
        </w:tc>
      </w:tr>
      <w:tr>
        <w:tc>
          <w:tcPr>
            <w:tcW w:type="dxa" w:w="4320"/>
          </w:tcPr>
          <w:p>
            <w:r>
              <w:rPr>
                <w:rFonts w:ascii="Times New Roman" w:hAnsi="Times New Roman"/>
                <w:sz w:val="22"/>
              </w:rPr>
              <w:t>Programming Language</w:t>
            </w:r>
          </w:p>
        </w:tc>
        <w:tc>
          <w:tcPr>
            <w:tcW w:type="dxa" w:w="4320"/>
          </w:tcPr>
          <w:p>
            <w:r>
              <w:rPr>
                <w:rFonts w:ascii="Times New Roman" w:hAnsi="Times New Roman"/>
                <w:sz w:val="22"/>
              </w:rPr>
              <w:t>Python 3.11</w:t>
            </w:r>
          </w:p>
        </w:tc>
      </w:tr>
      <w:tr>
        <w:tc>
          <w:tcPr>
            <w:tcW w:type="dxa" w:w="4320"/>
          </w:tcPr>
          <w:p>
            <w:r>
              <w:rPr>
                <w:rFonts w:ascii="Times New Roman" w:hAnsi="Times New Roman"/>
                <w:sz w:val="22"/>
              </w:rPr>
              <w:t>Data Processing</w:t>
            </w:r>
          </w:p>
        </w:tc>
        <w:tc>
          <w:tcPr>
            <w:tcW w:type="dxa" w:w="4320"/>
          </w:tcPr>
          <w:p>
            <w:r>
              <w:rPr>
                <w:rFonts w:ascii="Times New Roman" w:hAnsi="Times New Roman"/>
                <w:sz w:val="22"/>
              </w:rPr>
              <w:t>Pandas, NumPy</w:t>
            </w:r>
          </w:p>
        </w:tc>
      </w:tr>
      <w:tr>
        <w:tc>
          <w:tcPr>
            <w:tcW w:type="dxa" w:w="4320"/>
          </w:tcPr>
          <w:p>
            <w:r>
              <w:rPr>
                <w:rFonts w:ascii="Times New Roman" w:hAnsi="Times New Roman"/>
                <w:sz w:val="22"/>
              </w:rPr>
              <w:t>Visualization</w:t>
            </w:r>
          </w:p>
        </w:tc>
        <w:tc>
          <w:tcPr>
            <w:tcW w:type="dxa" w:w="4320"/>
          </w:tcPr>
          <w:p>
            <w:r>
              <w:rPr>
                <w:rFonts w:ascii="Times New Roman" w:hAnsi="Times New Roman"/>
                <w:sz w:val="22"/>
              </w:rPr>
              <w:t>Matplotlib, Seaborn</w:t>
            </w:r>
          </w:p>
        </w:tc>
      </w:tr>
      <w:tr>
        <w:tc>
          <w:tcPr>
            <w:tcW w:type="dxa" w:w="4320"/>
          </w:tcPr>
          <w:p>
            <w:r>
              <w:rPr>
                <w:rFonts w:ascii="Times New Roman" w:hAnsi="Times New Roman"/>
                <w:sz w:val="22"/>
              </w:rPr>
              <w:t>Machine Learning</w:t>
            </w:r>
          </w:p>
        </w:tc>
        <w:tc>
          <w:tcPr>
            <w:tcW w:type="dxa" w:w="4320"/>
          </w:tcPr>
          <w:p>
            <w:r>
              <w:rPr>
                <w:rFonts w:ascii="Times New Roman" w:hAnsi="Times New Roman"/>
                <w:sz w:val="22"/>
              </w:rPr>
              <w:t>Scikit-learn, XGBoost</w:t>
            </w:r>
          </w:p>
        </w:tc>
      </w:tr>
      <w:tr>
        <w:tc>
          <w:tcPr>
            <w:tcW w:type="dxa" w:w="4320"/>
          </w:tcPr>
          <w:p>
            <w:r>
              <w:rPr>
                <w:rFonts w:ascii="Times New Roman" w:hAnsi="Times New Roman"/>
                <w:sz w:val="22"/>
              </w:rPr>
              <w:t>Development Environment</w:t>
            </w:r>
          </w:p>
        </w:tc>
        <w:tc>
          <w:tcPr>
            <w:tcW w:type="dxa" w:w="4320"/>
          </w:tcPr>
          <w:p>
            <w:r>
              <w:rPr>
                <w:rFonts w:ascii="Times New Roman" w:hAnsi="Times New Roman"/>
                <w:sz w:val="22"/>
              </w:rPr>
              <w:t>Jupyter Notebook</w:t>
            </w:r>
          </w:p>
        </w:tc>
      </w:tr>
    </w:tbl>
    <w:p>
      <w:pPr>
        <w:pStyle w:val="Heading1"/>
      </w:pPr>
      <w:r>
        <w:rPr>
          <w:color w:val="000000"/>
        </w:rPr>
        <w:t>6. Expected Outcomes</w:t>
      </w:r>
    </w:p>
    <w:p>
      <w:r>
        <w:t>1. A trained Stacking Ensemble model achieving approximately 78% accuracy on flood risk classification.</w:t>
      </w:r>
    </w:p>
    <w:p>
      <w:r>
        <w:t>2. Identification of the most influential factors contributing to flood risk through feature importance analysis.</w:t>
      </w:r>
    </w:p>
    <w:p>
      <w:r>
        <w:t>3. A prediction pipeline that accepts real-time environmental parameters and outputs flood risk level (Low/High).</w:t>
      </w:r>
    </w:p>
    <w:p>
      <w:r>
        <w:t>4. Cleaned and preprocessed dataset ready for further research in disaster management.</w:t>
      </w:r>
    </w:p>
    <w:p>
      <w:r>
        <w:t>5. Demonstration of how ML can enhance disaster management preparedness strategies.</w:t>
      </w:r>
    </w:p>
    <w:p>
      <w:pPr>
        <w:pStyle w:val="Heading1"/>
      </w:pPr>
      <w:r>
        <w:rPr>
          <w:color w:val="000000"/>
        </w:rPr>
        <w:t>7. Project Timeline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Activities</w:t>
            </w:r>
          </w:p>
        </w:tc>
      </w:tr>
      <w:tr>
        <w:tc>
          <w:tcPr>
            <w:tcW w:type="dxa" w:w="2880"/>
          </w:tcPr>
          <w:p>
            <w:r>
              <w:rPr>
                <w:rFonts w:ascii="Times New Roman" w:hAnsi="Times New Roman"/>
                <w:sz w:val="22"/>
              </w:rPr>
              <w:t>Phase 1</w:t>
            </w:r>
          </w:p>
        </w:tc>
        <w:tc>
          <w:tcPr>
            <w:tcW w:type="dxa" w:w="2880"/>
          </w:tcPr>
          <w:p>
            <w:r>
              <w:rPr>
                <w:rFonts w:ascii="Times New Roman" w:hAnsi="Times New Roman"/>
                <w:sz w:val="22"/>
              </w:rPr>
              <w:t>Week 1–2</w:t>
            </w:r>
          </w:p>
        </w:tc>
        <w:tc>
          <w:tcPr>
            <w:tcW w:type="dxa" w:w="2880"/>
          </w:tcPr>
          <w:p>
            <w:r>
              <w:rPr>
                <w:rFonts w:ascii="Times New Roman" w:hAnsi="Times New Roman"/>
                <w:sz w:val="22"/>
              </w:rPr>
              <w:t>Literature review, data collection</w:t>
            </w:r>
          </w:p>
        </w:tc>
      </w:tr>
      <w:tr>
        <w:tc>
          <w:tcPr>
            <w:tcW w:type="dxa" w:w="2880"/>
          </w:tcPr>
          <w:p>
            <w:r>
              <w:rPr>
                <w:rFonts w:ascii="Times New Roman" w:hAnsi="Times New Roman"/>
                <w:sz w:val="22"/>
              </w:rPr>
              <w:t>Phase 2</w:t>
            </w:r>
          </w:p>
        </w:tc>
        <w:tc>
          <w:tcPr>
            <w:tcW w:type="dxa" w:w="2880"/>
          </w:tcPr>
          <w:p>
            <w:r>
              <w:rPr>
                <w:rFonts w:ascii="Times New Roman" w:hAnsi="Times New Roman"/>
                <w:sz w:val="22"/>
              </w:rPr>
              <w:t>Week 3–4</w:t>
            </w:r>
          </w:p>
        </w:tc>
        <w:tc>
          <w:tcPr>
            <w:tcW w:type="dxa" w:w="2880"/>
          </w:tcPr>
          <w:p>
            <w:r>
              <w:rPr>
                <w:rFonts w:ascii="Times New Roman" w:hAnsi="Times New Roman"/>
                <w:sz w:val="22"/>
              </w:rPr>
              <w:t>Data preprocessing, EDA, feature selection</w:t>
            </w:r>
          </w:p>
        </w:tc>
      </w:tr>
      <w:tr>
        <w:tc>
          <w:tcPr>
            <w:tcW w:type="dxa" w:w="2880"/>
          </w:tcPr>
          <w:p>
            <w:r>
              <w:rPr>
                <w:rFonts w:ascii="Times New Roman" w:hAnsi="Times New Roman"/>
                <w:sz w:val="22"/>
              </w:rPr>
              <w:t>Phase 3</w:t>
            </w:r>
          </w:p>
        </w:tc>
        <w:tc>
          <w:tcPr>
            <w:tcW w:type="dxa" w:w="2880"/>
          </w:tcPr>
          <w:p>
            <w:r>
              <w:rPr>
                <w:rFonts w:ascii="Times New Roman" w:hAnsi="Times New Roman"/>
                <w:sz w:val="22"/>
              </w:rPr>
              <w:t>Week 5–6</w:t>
            </w:r>
          </w:p>
        </w:tc>
        <w:tc>
          <w:tcPr>
            <w:tcW w:type="dxa" w:w="2880"/>
          </w:tcPr>
          <w:p>
            <w:r>
              <w:rPr>
                <w:rFonts w:ascii="Times New Roman" w:hAnsi="Times New Roman"/>
                <w:sz w:val="22"/>
              </w:rPr>
              <w:t>Feature engineering, model training</w:t>
            </w:r>
          </w:p>
        </w:tc>
      </w:tr>
      <w:tr>
        <w:tc>
          <w:tcPr>
            <w:tcW w:type="dxa" w:w="2880"/>
          </w:tcPr>
          <w:p>
            <w:r>
              <w:rPr>
                <w:rFonts w:ascii="Times New Roman" w:hAnsi="Times New Roman"/>
                <w:sz w:val="22"/>
              </w:rPr>
              <w:t>Phase 4</w:t>
            </w:r>
          </w:p>
        </w:tc>
        <w:tc>
          <w:tcPr>
            <w:tcW w:type="dxa" w:w="2880"/>
          </w:tcPr>
          <w:p>
            <w:r>
              <w:rPr>
                <w:rFonts w:ascii="Times New Roman" w:hAnsi="Times New Roman"/>
                <w:sz w:val="22"/>
              </w:rPr>
              <w:t>Week 7–8</w:t>
            </w:r>
          </w:p>
        </w:tc>
        <w:tc>
          <w:tcPr>
            <w:tcW w:type="dxa" w:w="2880"/>
          </w:tcPr>
          <w:p>
            <w:r>
              <w:rPr>
                <w:rFonts w:ascii="Times New Roman" w:hAnsi="Times New Roman"/>
                <w:sz w:val="22"/>
              </w:rPr>
              <w:t>Model evaluation, tuning, documentation</w:t>
            </w:r>
          </w:p>
        </w:tc>
      </w:tr>
      <w:tr>
        <w:tc>
          <w:tcPr>
            <w:tcW w:type="dxa" w:w="2880"/>
          </w:tcPr>
          <w:p>
            <w:r>
              <w:rPr>
                <w:rFonts w:ascii="Times New Roman" w:hAnsi="Times New Roman"/>
                <w:sz w:val="22"/>
              </w:rPr>
              <w:t>Phase 5</w:t>
            </w:r>
          </w:p>
        </w:tc>
        <w:tc>
          <w:tcPr>
            <w:tcW w:type="dxa" w:w="2880"/>
          </w:tcPr>
          <w:p>
            <w:r>
              <w:rPr>
                <w:rFonts w:ascii="Times New Roman" w:hAnsi="Times New Roman"/>
                <w:sz w:val="22"/>
              </w:rPr>
              <w:t>Week 9–10</w:t>
            </w:r>
          </w:p>
        </w:tc>
        <w:tc>
          <w:tcPr>
            <w:tcW w:type="dxa" w:w="2880"/>
          </w:tcPr>
          <w:p>
            <w:r>
              <w:rPr>
                <w:rFonts w:ascii="Times New Roman" w:hAnsi="Times New Roman"/>
                <w:sz w:val="22"/>
              </w:rPr>
              <w:t>Testing, final report submission</w:t>
            </w:r>
          </w:p>
        </w:tc>
      </w:tr>
    </w:tbl>
    <w:p>
      <w:pPr>
        <w:pStyle w:val="Heading1"/>
      </w:pPr>
      <w:r>
        <w:rPr>
          <w:color w:val="000000"/>
        </w:rPr>
        <w:t>8. Future Scope</w:t>
      </w:r>
    </w:p>
    <w:p>
      <w:pPr>
        <w:pStyle w:val="ListBullet"/>
      </w:pPr>
      <w:r>
        <w:t>Integration with real-time weather APIs for live flood risk monitoring.</w:t>
      </w:r>
    </w:p>
    <w:p>
      <w:pPr>
        <w:pStyle w:val="ListBullet"/>
      </w:pPr>
      <w:r>
        <w:t>Expansion to multi-class prediction (Low / Medium / High) with more granular data.</w:t>
      </w:r>
    </w:p>
    <w:p>
      <w:pPr>
        <w:pStyle w:val="ListBullet"/>
      </w:pPr>
      <w:r>
        <w:t>Development of a web-based dashboard using Flask or Streamlit for user-friendly access.</w:t>
      </w:r>
    </w:p>
    <w:p>
      <w:pPr>
        <w:pStyle w:val="ListBullet"/>
      </w:pPr>
      <w:r>
        <w:t>Incorporation of geospatial data (satellite imagery, river level sensors) for region-specific prediction.</w:t>
      </w:r>
    </w:p>
    <w:p>
      <w:pPr>
        <w:pStyle w:val="ListBullet"/>
      </w:pPr>
      <w:r>
        <w:t>Model retraining pipeline with automated data ingestion for continuous improvement.</w:t>
      </w:r>
    </w:p>
    <w:p>
      <w:pPr>
        <w:pStyle w:val="Heading1"/>
      </w:pPr>
      <w:r>
        <w:rPr>
          <w:color w:val="000000"/>
        </w:rPr>
        <w:t>9. References</w:t>
      </w:r>
    </w:p>
    <w:p>
      <w:r>
        <w:t>[1] Scikit-learn Documentation — Ensemble Methods. https://scikit-learn.org/stable/modules/ensemble.html</w:t>
      </w:r>
    </w:p>
    <w:p>
      <w:r>
        <w:t>[2] XGBoost Documentation. https://xgboost.readthedocs.io/</w:t>
      </w:r>
    </w:p>
    <w:p>
      <w:r>
        <w:t>[3] Kaggle Flood Prediction Factor Dataset.</w:t>
      </w:r>
    </w:p>
    <w:p>
      <w:r>
        <w:t>[4] Wolpert, D.H. (1992). "Stacked Generalization." Neural Networks, 5(2), 241–259.</w:t>
      </w:r>
    </w:p>
    <w:p>
      <w:r>
        <w:t>[5] Breiman, L. (2001). "Random Forests." Machine Learning, 45(1), 5–32.</w:t>
      </w:r>
    </w:p>
    <w:p>
      <w:r>
        <w:t>[6] National Disaster Management Authority (NDMA), Government of India — Flood Management Guidelines.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